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3BE" w:rsidRDefault="000563BE">
      <w:pPr>
        <w:rPr>
          <w:rFonts w:asciiTheme="majorHAnsi" w:eastAsia="Times New Roman" w:hAnsiTheme="majorHAnsi" w:cs="Arial"/>
          <w:color w:val="auto"/>
          <w:lang w:eastAsia="en-AU"/>
        </w:rPr>
      </w:pPr>
      <w:bookmarkStart w:id="0" w:name="_Toc508375742"/>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5F3BA9" w:rsidRDefault="000E36A1" w:rsidP="000E36A1">
      <w:pPr>
        <w:pStyle w:val="Heading1"/>
      </w:pPr>
      <w:r>
        <w:t>Proposed Code of Practice for the Keeping of Racing Greyhounds (2017)</w:t>
      </w:r>
    </w:p>
    <w:p w:rsidR="000E36A1" w:rsidRDefault="000E36A1" w:rsidP="000E36A1">
      <w:pPr>
        <w:pStyle w:val="Heading2"/>
      </w:pPr>
      <w:r>
        <w:t>Regulatory Impact Statement</w:t>
      </w:r>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5F3BA9" w:rsidRDefault="005F3BA9" w:rsidP="000A4F4A">
      <w:pPr>
        <w:pStyle w:val="NormalWeb"/>
        <w:spacing w:line="140" w:lineRule="atLeast"/>
        <w:rPr>
          <w:rFonts w:asciiTheme="majorHAnsi" w:hAnsiTheme="majorHAnsi" w:cs="Arial"/>
          <w:sz w:val="22"/>
          <w:szCs w:val="22"/>
        </w:rPr>
      </w:pPr>
    </w:p>
    <w:p w:rsidR="000E36A1" w:rsidRDefault="000E36A1">
      <w:pPr>
        <w:rPr>
          <w:rFonts w:asciiTheme="majorHAnsi" w:eastAsia="Times New Roman" w:hAnsiTheme="majorHAnsi" w:cs="Arial"/>
          <w:color w:val="auto"/>
          <w:lang w:eastAsia="en-AU"/>
        </w:rPr>
      </w:pPr>
      <w:r>
        <w:rPr>
          <w:rFonts w:asciiTheme="majorHAnsi" w:hAnsiTheme="majorHAnsi" w:cs="Arial"/>
        </w:rPr>
        <w:br w:type="page"/>
      </w:r>
    </w:p>
    <w:p w:rsidR="000E36A1" w:rsidRDefault="000E36A1" w:rsidP="000A4F4A">
      <w:pPr>
        <w:pStyle w:val="NormalWeb"/>
        <w:spacing w:line="140" w:lineRule="atLeast"/>
        <w:rPr>
          <w:rFonts w:asciiTheme="majorHAnsi" w:hAnsiTheme="majorHAnsi" w:cs="Arial"/>
          <w:sz w:val="22"/>
          <w:szCs w:val="22"/>
        </w:rPr>
      </w:pPr>
    </w:p>
    <w:p w:rsidR="000A4F4A" w:rsidRPr="00000991" w:rsidRDefault="000A4F4A" w:rsidP="000A4F4A">
      <w:pPr>
        <w:pStyle w:val="NormalWeb"/>
        <w:spacing w:line="140" w:lineRule="atLeast"/>
        <w:rPr>
          <w:rFonts w:asciiTheme="majorHAnsi" w:hAnsiTheme="majorHAnsi" w:cs="Arial"/>
          <w:sz w:val="22"/>
          <w:szCs w:val="22"/>
        </w:rPr>
      </w:pPr>
      <w:r>
        <w:rPr>
          <w:rFonts w:asciiTheme="majorHAnsi" w:hAnsiTheme="majorHAnsi" w:cs="Arial"/>
          <w:sz w:val="22"/>
          <w:szCs w:val="22"/>
        </w:rPr>
        <w:t>Code of Practice for the Keeping of Racing Greyhounds</w:t>
      </w:r>
      <w:r w:rsidRPr="00000991">
        <w:rPr>
          <w:rFonts w:asciiTheme="majorHAnsi" w:hAnsiTheme="majorHAnsi" w:cs="Arial"/>
          <w:sz w:val="22"/>
          <w:szCs w:val="22"/>
        </w:rPr>
        <w:t xml:space="preserve"> </w:t>
      </w:r>
      <w:r>
        <w:rPr>
          <w:rFonts w:asciiTheme="majorHAnsi" w:hAnsiTheme="majorHAnsi" w:cs="Arial"/>
          <w:sz w:val="22"/>
          <w:szCs w:val="22"/>
        </w:rPr>
        <w:t>Regulatory</w:t>
      </w:r>
      <w:r w:rsidRPr="00000991">
        <w:rPr>
          <w:rFonts w:asciiTheme="majorHAnsi" w:hAnsiTheme="majorHAnsi" w:cs="Arial"/>
          <w:sz w:val="22"/>
          <w:szCs w:val="22"/>
        </w:rPr>
        <w:t xml:space="preserve"> Impact Assessment, </w:t>
      </w:r>
      <w:r w:rsidR="00A63FF5">
        <w:rPr>
          <w:rFonts w:asciiTheme="majorHAnsi" w:hAnsiTheme="majorHAnsi" w:cs="Arial"/>
          <w:sz w:val="22"/>
          <w:szCs w:val="22"/>
        </w:rPr>
        <w:t>February 2017</w:t>
      </w:r>
      <w:r w:rsidRPr="00000991">
        <w:rPr>
          <w:rFonts w:asciiTheme="majorHAnsi" w:hAnsiTheme="majorHAnsi" w:cs="Arial"/>
          <w:sz w:val="22"/>
          <w:szCs w:val="22"/>
        </w:rPr>
        <w:t>.</w:t>
      </w:r>
    </w:p>
    <w:p w:rsidR="000A4F4A" w:rsidRPr="00000991" w:rsidRDefault="000A4F4A" w:rsidP="000A4F4A">
      <w:pPr>
        <w:pStyle w:val="NormalWeb"/>
        <w:spacing w:line="140" w:lineRule="atLeast"/>
        <w:rPr>
          <w:rFonts w:asciiTheme="majorHAnsi" w:hAnsiTheme="majorHAnsi" w:cs="Arial"/>
          <w:sz w:val="22"/>
          <w:szCs w:val="22"/>
        </w:rPr>
      </w:pPr>
      <w:r w:rsidRPr="00000991">
        <w:rPr>
          <w:rFonts w:asciiTheme="majorHAnsi" w:hAnsiTheme="majorHAnsi" w:cs="Arial"/>
          <w:sz w:val="22"/>
          <w:szCs w:val="22"/>
        </w:rPr>
        <w:t>© The State of Victoria Department of Economic Development, Jobs, Transport and Resources</w:t>
      </w:r>
    </w:p>
    <w:p w:rsidR="000A4F4A" w:rsidRPr="00000991" w:rsidRDefault="000A4F4A" w:rsidP="000A4F4A">
      <w:pPr>
        <w:pStyle w:val="NormalWeb"/>
        <w:spacing w:before="120" w:after="120"/>
        <w:rPr>
          <w:rFonts w:asciiTheme="majorHAnsi" w:hAnsiTheme="majorHAnsi" w:cs="Arial"/>
          <w:sz w:val="22"/>
          <w:szCs w:val="22"/>
        </w:rPr>
      </w:pPr>
      <w:r w:rsidRPr="00000991">
        <w:rPr>
          <w:rFonts w:asciiTheme="majorHAnsi" w:hAnsiTheme="majorHAnsi" w:cs="Arial"/>
          <w:noProof/>
          <w:sz w:val="22"/>
          <w:szCs w:val="22"/>
        </w:rPr>
        <w:drawing>
          <wp:inline distT="0" distB="0" distL="0" distR="0" wp14:anchorId="438125A8" wp14:editId="4C8E67AF">
            <wp:extent cx="763905" cy="271145"/>
            <wp:effectExtent l="0" t="0" r="0" b="0"/>
            <wp:docPr id="11" name="Picture 11" descr="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3905" cy="271145"/>
                    </a:xfrm>
                    <a:prstGeom prst="rect">
                      <a:avLst/>
                    </a:prstGeom>
                    <a:noFill/>
                    <a:ln>
                      <a:noFill/>
                    </a:ln>
                  </pic:spPr>
                </pic:pic>
              </a:graphicData>
            </a:graphic>
          </wp:inline>
        </w:drawing>
      </w:r>
    </w:p>
    <w:p w:rsidR="000A4F4A" w:rsidRPr="00000991" w:rsidRDefault="000A4F4A" w:rsidP="000A4F4A">
      <w:pPr>
        <w:pStyle w:val="ImprintText"/>
        <w:spacing w:line="140" w:lineRule="atLeast"/>
        <w:rPr>
          <w:rFonts w:asciiTheme="majorHAnsi" w:hAnsiTheme="majorHAnsi"/>
          <w:sz w:val="22"/>
          <w:szCs w:val="22"/>
        </w:rPr>
      </w:pPr>
      <w:r w:rsidRPr="00000991">
        <w:rPr>
          <w:rFonts w:asciiTheme="majorHAnsi" w:hAnsiTheme="majorHAnsi"/>
          <w:sz w:val="22"/>
          <w:szCs w:val="22"/>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and Primary Industries logo. To view a copy of this licence, visit </w:t>
      </w:r>
      <w:bookmarkStart w:id="1" w:name="_GoBack"/>
      <w:r w:rsidR="000E36A1">
        <w:fldChar w:fldCharType="begin"/>
      </w:r>
      <w:r w:rsidR="000E36A1">
        <w:instrText xml:space="preserve"> HYPERLINK "http://creativecommons.org/licenses/by/3.0/au/deed.en" </w:instrText>
      </w:r>
      <w:r w:rsidR="000E36A1">
        <w:fldChar w:fldCharType="separate"/>
      </w:r>
      <w:r w:rsidRPr="00000991">
        <w:rPr>
          <w:rStyle w:val="Hyperlink"/>
          <w:rFonts w:asciiTheme="majorHAnsi" w:hAnsiTheme="majorHAnsi"/>
          <w:sz w:val="22"/>
          <w:szCs w:val="22"/>
        </w:rPr>
        <w:t>http://creativecommons.org/licenses/by/3.0/au/deed.en</w:t>
      </w:r>
      <w:r w:rsidR="000E36A1">
        <w:rPr>
          <w:rStyle w:val="Hyperlink"/>
          <w:rFonts w:asciiTheme="majorHAnsi" w:hAnsiTheme="majorHAnsi"/>
          <w:sz w:val="22"/>
          <w:szCs w:val="22"/>
        </w:rPr>
        <w:fldChar w:fldCharType="end"/>
      </w:r>
      <w:bookmarkEnd w:id="1"/>
    </w:p>
    <w:p w:rsidR="000A4F4A" w:rsidRPr="00000991" w:rsidRDefault="000A4F4A" w:rsidP="000A4F4A">
      <w:pPr>
        <w:jc w:val="both"/>
        <w:rPr>
          <w:rFonts w:asciiTheme="majorHAnsi" w:hAnsiTheme="majorHAnsi"/>
        </w:rPr>
      </w:pPr>
      <w:r w:rsidRPr="00000991">
        <w:rPr>
          <w:rFonts w:asciiTheme="majorHAnsi" w:hAnsiTheme="majorHAnsi"/>
        </w:rPr>
        <w:br/>
      </w:r>
      <w:r w:rsidRPr="00000991">
        <w:rPr>
          <w:rStyle w:val="Strong"/>
          <w:rFonts w:asciiTheme="majorHAnsi" w:hAnsiTheme="majorHAnsi"/>
        </w:rPr>
        <w:t>Accessibility</w:t>
      </w:r>
      <w:r w:rsidRPr="00000991">
        <w:rPr>
          <w:rFonts w:asciiTheme="majorHAnsi" w:hAnsiTheme="majorHAnsi"/>
        </w:rPr>
        <w:br/>
        <w:t xml:space="preserve">If you would like to receive this publication in an alternative format, please telephone the Customer Service Centre 136 186, email </w:t>
      </w:r>
      <w:hyperlink r:id="rId10" w:history="1">
        <w:r w:rsidRPr="00000991">
          <w:rPr>
            <w:rStyle w:val="Hyperlink"/>
            <w:rFonts w:asciiTheme="majorHAnsi" w:hAnsiTheme="majorHAnsi"/>
          </w:rPr>
          <w:t>customer.service@depi.vic.gov.au</w:t>
        </w:r>
      </w:hyperlink>
      <w:r w:rsidRPr="00000991">
        <w:rPr>
          <w:rFonts w:asciiTheme="majorHAnsi" w:hAnsiTheme="majorHAnsi"/>
        </w:rPr>
        <w:t xml:space="preserve">, via the National Relay Service on 133 677 </w:t>
      </w:r>
      <w:hyperlink r:id="rId11" w:history="1">
        <w:r w:rsidRPr="00000991">
          <w:rPr>
            <w:rStyle w:val="Hyperlink"/>
            <w:rFonts w:asciiTheme="majorHAnsi" w:hAnsiTheme="majorHAnsi"/>
          </w:rPr>
          <w:t>www.relayservice.com.au</w:t>
        </w:r>
      </w:hyperlink>
      <w:r w:rsidRPr="00000991">
        <w:rPr>
          <w:rFonts w:asciiTheme="majorHAnsi" w:hAnsiTheme="majorHAnsi"/>
        </w:rPr>
        <w:t xml:space="preserve">. This document is also available on the internet at </w:t>
      </w:r>
      <w:hyperlink r:id="rId12" w:history="1">
        <w:r w:rsidRPr="00000991">
          <w:rPr>
            <w:rStyle w:val="Hyperlink"/>
            <w:rFonts w:asciiTheme="majorHAnsi" w:hAnsiTheme="majorHAnsi"/>
          </w:rPr>
          <w:t>www.economicdevelopment.vic.gov.au</w:t>
        </w:r>
      </w:hyperlink>
      <w:r w:rsidRPr="00000991">
        <w:rPr>
          <w:rFonts w:asciiTheme="majorHAnsi" w:hAnsiTheme="majorHAnsi"/>
        </w:rPr>
        <w:t>.</w:t>
      </w:r>
    </w:p>
    <w:p w:rsidR="000A4F4A" w:rsidRPr="00000991" w:rsidRDefault="007B521C" w:rsidP="000A4F4A">
      <w:pPr>
        <w:jc w:val="both"/>
        <w:rPr>
          <w:rFonts w:asciiTheme="majorHAnsi" w:hAnsiTheme="majorHAnsi"/>
        </w:rPr>
      </w:pPr>
      <w:r>
        <w:rPr>
          <w:rFonts w:asciiTheme="majorHAnsi" w:hAnsiTheme="majorHAnsi"/>
        </w:rPr>
        <w:t xml:space="preserve"> </w:t>
      </w:r>
      <w:r w:rsidR="000A4F4A" w:rsidRPr="00000991">
        <w:rPr>
          <w:rFonts w:asciiTheme="majorHAnsi" w:hAnsiTheme="majorHAnsi"/>
        </w:rPr>
        <w:br/>
      </w:r>
      <w:r w:rsidR="000A4F4A" w:rsidRPr="00000991">
        <w:rPr>
          <w:rStyle w:val="Strong"/>
          <w:rFonts w:asciiTheme="majorHAnsi" w:hAnsiTheme="majorHAnsi"/>
        </w:rPr>
        <w:t>Disclaimer</w:t>
      </w:r>
      <w:r w:rsidR="000A4F4A" w:rsidRPr="00000991">
        <w:rPr>
          <w:rFonts w:asciiTheme="majorHAnsi" w:hAnsiTheme="majorHAnsi"/>
        </w:rPr>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rsidR="000A4F4A" w:rsidRPr="00000991" w:rsidRDefault="000A4F4A" w:rsidP="000A4F4A">
      <w:pPr>
        <w:jc w:val="both"/>
        <w:rPr>
          <w:rFonts w:asciiTheme="majorHAnsi" w:hAnsiTheme="majorHAnsi"/>
        </w:rPr>
      </w:pPr>
    </w:p>
    <w:p w:rsidR="000A4F4A" w:rsidRPr="00000991" w:rsidRDefault="000A4F4A" w:rsidP="000A4F4A">
      <w:pPr>
        <w:jc w:val="both"/>
        <w:rPr>
          <w:rFonts w:asciiTheme="majorHAnsi" w:hAnsiTheme="majorHAnsi"/>
        </w:rPr>
      </w:pPr>
      <w:r w:rsidRPr="00000991">
        <w:rPr>
          <w:rFonts w:asciiTheme="majorHAnsi" w:hAnsiTheme="majorHAnsi"/>
          <w:b/>
        </w:rPr>
        <w:t>Consultants</w:t>
      </w:r>
      <w:r w:rsidR="005F3BA9">
        <w:rPr>
          <w:rFonts w:asciiTheme="majorHAnsi" w:hAnsiTheme="majorHAnsi"/>
          <w:b/>
        </w:rPr>
        <w:br/>
      </w:r>
      <w:r w:rsidRPr="00000991">
        <w:rPr>
          <w:rFonts w:asciiTheme="majorHAnsi" w:hAnsiTheme="majorHAnsi"/>
        </w:rPr>
        <w:t xml:space="preserve">Rivers Economic Consulting and </w:t>
      </w:r>
      <w:r>
        <w:rPr>
          <w:rFonts w:asciiTheme="majorHAnsi" w:hAnsiTheme="majorHAnsi"/>
        </w:rPr>
        <w:t>Tracy</w:t>
      </w:r>
      <w:r w:rsidRPr="00000991">
        <w:rPr>
          <w:rFonts w:asciiTheme="majorHAnsi" w:hAnsiTheme="majorHAnsi"/>
        </w:rPr>
        <w:t xml:space="preserve"> H</w:t>
      </w:r>
      <w:r>
        <w:rPr>
          <w:rFonts w:asciiTheme="majorHAnsi" w:hAnsiTheme="majorHAnsi"/>
        </w:rPr>
        <w:t>elman.</w:t>
      </w:r>
    </w:p>
    <w:p w:rsidR="000A4F4A" w:rsidRDefault="000A4F4A" w:rsidP="000A4F4A">
      <w:pPr>
        <w:rPr>
          <w:rFonts w:ascii="Arial" w:hAnsi="Arial"/>
          <w:b/>
          <w:color w:val="1F497D"/>
          <w:kern w:val="32"/>
          <w:sz w:val="28"/>
        </w:rPr>
      </w:pPr>
      <w:r>
        <w:br w:type="page"/>
      </w:r>
    </w:p>
    <w:p w:rsidR="00BE55AE" w:rsidRPr="005F3BA9" w:rsidRDefault="00BE55AE" w:rsidP="00BE55AE">
      <w:pPr>
        <w:pStyle w:val="Heading2"/>
      </w:pPr>
      <w:bookmarkStart w:id="2" w:name="_Toc477190123"/>
      <w:bookmarkStart w:id="3" w:name="_Toc456126041"/>
      <w:bookmarkEnd w:id="0"/>
      <w:r>
        <w:lastRenderedPageBreak/>
        <w:t>Assessment Letter</w:t>
      </w:r>
      <w:bookmarkEnd w:id="2"/>
    </w:p>
    <w:p w:rsidR="00BE55AE" w:rsidRDefault="00BE55AE" w:rsidP="0042749A">
      <w:pPr>
        <w:jc w:val="center"/>
        <w:rPr>
          <w:b/>
        </w:rPr>
      </w:pPr>
    </w:p>
    <w:p w:rsidR="005F3BA9" w:rsidRDefault="005F3BA9" w:rsidP="0042749A">
      <w:pPr>
        <w:jc w:val="center"/>
        <w:rPr>
          <w:b/>
        </w:rPr>
      </w:pPr>
      <w:r>
        <w:rPr>
          <w:b/>
          <w:noProof/>
          <w:lang w:eastAsia="en-AU"/>
        </w:rPr>
        <w:drawing>
          <wp:inline distT="0" distB="0" distL="0" distR="0" wp14:anchorId="0E2C939F" wp14:editId="5F27F594">
            <wp:extent cx="5220335" cy="7381875"/>
            <wp:effectExtent l="19050" t="19050" r="18415" b="28575"/>
            <wp:docPr id="3" name="Picture 3" descr="Commissioner for Better Regulation&#10;GPO Box 4379&#10;Melbourne Victoria 3001&#10;Telephone: 03 9092 5800&#10;3 March 2017&#10;Ms Sally Fensling&#10;Executive Director, Domestic Animals, Forestry and Game Branch&#10;Department of economic Development, Jobs, Transport and Resources&#10;475 Mickleham Road&#10;ATTWOOD VIC 3049&#10;Dear Ms Fensling&#10;REGULATORY IMPACT STATEMENT FOR THE PROPOSED CODE OF PRACTICE FOR THE KEEPING OF RACING GREYHOUNDS 2017&#10;I would like to thank the staff of the Domestic Animals, Forestry and Game Branch within the Department of economic Development, Jobs, Transport and Resources (DEDJTR) for working with my team on the preparation of the Regulatory Impact Statement (RIS) for the Proposed Code of Practice for the Keeping of Racing Greyhounds 2017.&#10;Under section 10 of the Subordinate Legislation Act 1994 (The Act), the Commissioner for Better Regulation is required to provided independent advice on the adequacy of all RIS prepared in Victoria. The Commissioner’s role is to advise on the adequacy or otherwise of the analysis presented in the RIS, rather than the merits or otherwise of policy or regulatory proposals. A RIS is deemed to be adequate when it contains analysis that is logical, draws on relevant evidence, is transparent about assumptions made, and is proportionate to the proposal’s expected effects. The RIS also needs to be clearly written so that it can be a suitable basis for public consultation.&#10;I am pleased to advise that the final version of the RIS received on 23 February 2017 meets the adequacy requirements of the Act.&#10;The proposed Code prescribes and enforces requirements for greyhound owners, rearers and trainers, including health management plans, independent veterinarian checks, fencing and housing requirements and socialisation requirements. Greyhound Racing Victoria (GRV) will administer and enforce the proposed Code.&#10;" title="Assessment letter 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eyhounds RIS Assessment Letter_030317_Page_1.jpg"/>
                    <pic:cNvPicPr/>
                  </pic:nvPicPr>
                  <pic:blipFill>
                    <a:blip r:embed="rId13"/>
                    <a:stretch>
                      <a:fillRect/>
                    </a:stretch>
                  </pic:blipFill>
                  <pic:spPr>
                    <a:xfrm>
                      <a:off x="0" y="0"/>
                      <a:ext cx="5220335" cy="7381875"/>
                    </a:xfrm>
                    <a:prstGeom prst="rect">
                      <a:avLst/>
                    </a:prstGeom>
                    <a:ln>
                      <a:solidFill>
                        <a:schemeClr val="tx1">
                          <a:lumMod val="50000"/>
                          <a:lumOff val="50000"/>
                        </a:schemeClr>
                      </a:solidFill>
                    </a:ln>
                  </pic:spPr>
                </pic:pic>
              </a:graphicData>
            </a:graphic>
          </wp:inline>
        </w:drawing>
      </w:r>
    </w:p>
    <w:p w:rsidR="005F3BA9" w:rsidRDefault="005F3BA9" w:rsidP="0042749A">
      <w:pPr>
        <w:jc w:val="center"/>
        <w:rPr>
          <w:b/>
        </w:rPr>
      </w:pPr>
    </w:p>
    <w:p w:rsidR="005F3BA9" w:rsidRDefault="005F3BA9">
      <w:r>
        <w:br w:type="page"/>
      </w:r>
    </w:p>
    <w:p w:rsidR="005F3BA9" w:rsidRDefault="005F3BA9" w:rsidP="0042749A">
      <w:pPr>
        <w:jc w:val="center"/>
      </w:pPr>
      <w:r>
        <w:rPr>
          <w:noProof/>
          <w:lang w:eastAsia="en-AU"/>
        </w:rPr>
        <w:lastRenderedPageBreak/>
        <w:drawing>
          <wp:inline distT="0" distB="0" distL="0" distR="0" wp14:anchorId="1B051F29" wp14:editId="2E892D0E">
            <wp:extent cx="5220335" cy="7381875"/>
            <wp:effectExtent l="19050" t="19050" r="18415" b="28575"/>
            <wp:docPr id="6" name="Picture 6" descr="The RIS states that the Department’s objectives in regard to the proposed Code are:&#10;“To increase (improve) the quality of life and welfare of greyhounds, throughout their lifecycle and provide consistent management which will alleviate stress and therefore enable an easy, smooth and rapid, transition to a pet at any point in it lifecycle.”&#10;To achieve this, the RIS explains that the proposed Code covers a range of matters related to:&#10;“management practices that impact on animal welfare and quality of life (excluding the issues of live baiting and wastage), and the transition to rehoming.”&#10;The RIS notes that:&#10;“The issues of wastage (oversupply of dogs) and euthanasia is not addressed specifically in this RIS” but that “Although the proposed Code does not address wastage in itself, GRV strategies and policies (running in conjunction with the proposed Code) will.”&#10;The RIS analyses 6 options to achieve the Department’s objectives which are variations of the preferred option – the proposed Code with GRV enforcement. These include adjusting elements of the proposed Code that have more significant compliance costs (health management plans and rearing requirements), and options based around the instruments or enforcement tools used to influence compliance (including voluntary compliance with the proposed Code supported by an information campaign; adopting the proposed Code in local rules; or using local councils to enforce the proposed Code). The RIS uses a multi-criteria analysis to examine options against the criteria of animal welfare, rehoming potential, and net cost to industry and government. The Department concludes that the proposed Code achieves the best welfare and rehoming outcomes, while also considering the costs.&#10;The Department estimates that the proposed Code will impose a net cost of around $118 million over 10 years, which will affect greyhound breeders and trainers, and GRV in administering and enforcing the Code. The Department notes that many of these costs will be passed on to owners which is likely to increase the “cost by $1,550 per dog over their lifetime … a 7.8% increase from the average estimated costs of ownership. It is unclear if this will reduce involvement in the industry.”&#10;The Department expects that “small industry participants are not likely to face significantly different or disproportionate costs in complying with the proposed Code”, as the costs that breeders and trainers will face ‘per dog’ are likely to be similar, and driven by existing levels of compliance rather than size of operation.&#10;IN regard to the costs for hobby breeders, the proposed Code exempts hobby breeders (defined as 2 adult greyhounds and 1 litter) from complying with housing pen/yard requirements, but that “all record keeping requirements, vet agreements, health plans etc however, would still need to be undertaken.”&#10;" title="Assessment letter 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eyhounds RIS Assessment Letter_030317_Page_2.jpg"/>
                    <pic:cNvPicPr/>
                  </pic:nvPicPr>
                  <pic:blipFill>
                    <a:blip r:embed="rId14"/>
                    <a:stretch>
                      <a:fillRect/>
                    </a:stretch>
                  </pic:blipFill>
                  <pic:spPr>
                    <a:xfrm>
                      <a:off x="0" y="0"/>
                      <a:ext cx="5220335" cy="7381875"/>
                    </a:xfrm>
                    <a:prstGeom prst="rect">
                      <a:avLst/>
                    </a:prstGeom>
                    <a:ln>
                      <a:solidFill>
                        <a:schemeClr val="tx1">
                          <a:lumMod val="50000"/>
                          <a:lumOff val="50000"/>
                        </a:schemeClr>
                      </a:solidFill>
                    </a:ln>
                  </pic:spPr>
                </pic:pic>
              </a:graphicData>
            </a:graphic>
          </wp:inline>
        </w:drawing>
      </w:r>
    </w:p>
    <w:p w:rsidR="005F3BA9" w:rsidRDefault="005F3BA9">
      <w:r>
        <w:br w:type="page"/>
      </w:r>
    </w:p>
    <w:p w:rsidR="00422316" w:rsidRDefault="005F3BA9" w:rsidP="0042749A">
      <w:pPr>
        <w:jc w:val="center"/>
        <w:rPr>
          <w:rFonts w:asciiTheme="majorHAnsi" w:eastAsiaTheme="majorEastAsia" w:hAnsiTheme="majorHAnsi" w:cstheme="majorBidi"/>
          <w:b/>
          <w:color w:val="365F91" w:themeColor="accent1" w:themeShade="BF"/>
          <w:sz w:val="26"/>
          <w:szCs w:val="26"/>
        </w:rPr>
      </w:pPr>
      <w:r>
        <w:rPr>
          <w:noProof/>
          <w:lang w:eastAsia="en-AU"/>
        </w:rPr>
        <w:lastRenderedPageBreak/>
        <w:drawing>
          <wp:inline distT="0" distB="0" distL="0" distR="0" wp14:anchorId="5F923EA9" wp14:editId="087ACBAA">
            <wp:extent cx="5220335" cy="7381875"/>
            <wp:effectExtent l="19050" t="19050" r="18415" b="28575"/>
            <wp:docPr id="7" name="Picture 7" descr="In terms of evaluation, the Department notes that the proposed Code will be evaluated in the context of GRV’s “broad based animal welfare evaluation strategy” from mid-2019. The stated aims of this evaluation strategy include:&#10;• “preventing excessive breeding (reducing litter numbers)&#10;• Reducing the premature death of racing greyhounds&#10;• Optimising the use of the racing greyhound populations&#10;• Improving outcomes for rehoming greyhounds&#10;• Informing GRVs infrastructure investments into greyhound welfare and&#10;• Providing training to industry participants to improve greyhound welfare at every stage of the dog’s lifecycle.”&#10;The Department notes the high level of cooperation it has received from GRV in preparing the RIS, especially in regard to the provision of data, and relevant information. &#10;Should you wish to discuss any of the issues raised in this letter, or the implications of new information or policy options identified through the public consultation process for your proposal, please do not hesitate to contact our office on (03) 9092 5800.&#10;Yours sincerely&#10;Anna Cronin&#10;Commissioner  for Better Regulation&#10;" title="Assessment letter 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hounds RIS Assessment Letter_030317_Page_3.jpg"/>
                    <pic:cNvPicPr/>
                  </pic:nvPicPr>
                  <pic:blipFill>
                    <a:blip r:embed="rId15"/>
                    <a:stretch>
                      <a:fillRect/>
                    </a:stretch>
                  </pic:blipFill>
                  <pic:spPr>
                    <a:xfrm>
                      <a:off x="0" y="0"/>
                      <a:ext cx="5220335" cy="7381875"/>
                    </a:xfrm>
                    <a:prstGeom prst="rect">
                      <a:avLst/>
                    </a:prstGeom>
                    <a:ln>
                      <a:solidFill>
                        <a:schemeClr val="tx1">
                          <a:lumMod val="50000"/>
                          <a:lumOff val="50000"/>
                        </a:schemeClr>
                      </a:solidFill>
                    </a:ln>
                  </pic:spPr>
                </pic:pic>
              </a:graphicData>
            </a:graphic>
          </wp:inline>
        </w:drawing>
      </w:r>
      <w:r w:rsidR="00422316">
        <w:br w:type="page"/>
      </w:r>
    </w:p>
    <w:p w:rsidR="00233F20" w:rsidRPr="005F3BA9" w:rsidRDefault="00DE58D7" w:rsidP="004B0055">
      <w:pPr>
        <w:pStyle w:val="Heading2"/>
      </w:pPr>
      <w:bookmarkStart w:id="4" w:name="_Toc469529131"/>
      <w:bookmarkStart w:id="5" w:name="_Toc477190124"/>
      <w:r w:rsidRPr="005F3BA9">
        <w:lastRenderedPageBreak/>
        <w:t>Executive Summary</w:t>
      </w:r>
      <w:bookmarkEnd w:id="3"/>
      <w:bookmarkEnd w:id="4"/>
      <w:bookmarkEnd w:id="5"/>
    </w:p>
    <w:p w:rsidR="00B86468" w:rsidRDefault="00622916" w:rsidP="00B86468">
      <w:pPr>
        <w:pStyle w:val="ListParagraph"/>
        <w:ind w:left="0"/>
        <w:jc w:val="both"/>
      </w:pPr>
      <w:r>
        <w:t>This Regulatory Impact Statement (RIS</w:t>
      </w:r>
      <w:r w:rsidR="007D7A02">
        <w:t>)</w:t>
      </w:r>
      <w:r>
        <w:t xml:space="preserve"> assesses the </w:t>
      </w:r>
      <w:r w:rsidRPr="00F82FDD">
        <w:t xml:space="preserve">proposed </w:t>
      </w:r>
      <w:r w:rsidRPr="0042749A">
        <w:rPr>
          <w:i/>
        </w:rPr>
        <w:t>Code of Practice for the Keeping of Racing Greyhounds</w:t>
      </w:r>
      <w:r>
        <w:t xml:space="preserve"> </w:t>
      </w:r>
      <w:r w:rsidR="005F0C17">
        <w:t>(</w:t>
      </w:r>
      <w:r>
        <w:t>proposed Code</w:t>
      </w:r>
      <w:r w:rsidR="005F0C17">
        <w:t>)</w:t>
      </w:r>
      <w:r>
        <w:t xml:space="preserve"> which is intended to replace </w:t>
      </w:r>
      <w:r w:rsidR="005F0C17">
        <w:t>t</w:t>
      </w:r>
      <w:r w:rsidRPr="00DD0D8D">
        <w:t xml:space="preserve">he </w:t>
      </w:r>
      <w:r w:rsidRPr="00DD0D8D">
        <w:rPr>
          <w:i/>
        </w:rPr>
        <w:t>Code of Practice for the Operation of Greyh</w:t>
      </w:r>
      <w:r w:rsidR="00F82FDD">
        <w:rPr>
          <w:i/>
        </w:rPr>
        <w:t xml:space="preserve">ound Establishments </w:t>
      </w:r>
      <w:r w:rsidR="005F0C17">
        <w:t>(</w:t>
      </w:r>
      <w:r>
        <w:t>existing C</w:t>
      </w:r>
      <w:r w:rsidRPr="00DD0D8D">
        <w:t>ode</w:t>
      </w:r>
      <w:r w:rsidR="005F0C17">
        <w:t>)</w:t>
      </w:r>
      <w:r>
        <w:t xml:space="preserve">. </w:t>
      </w:r>
      <w:r w:rsidR="00B86468">
        <w:t xml:space="preserve">The proposed Code is a mandatory code and so is a legislative instrument within the meaning of the </w:t>
      </w:r>
      <w:r w:rsidR="00B86468">
        <w:rPr>
          <w:i/>
        </w:rPr>
        <w:t>Subordinate Legislation Act 1994</w:t>
      </w:r>
      <w:r w:rsidR="00B86468">
        <w:t>.</w:t>
      </w:r>
      <w:r w:rsidR="008A33B2">
        <w:t xml:space="preserve"> </w:t>
      </w:r>
      <w:r w:rsidR="00B86468">
        <w:t xml:space="preserve">Therefore, a </w:t>
      </w:r>
      <w:r w:rsidR="00B86468" w:rsidRPr="00070EEF">
        <w:t xml:space="preserve">regulatory impact statement </w:t>
      </w:r>
      <w:r w:rsidR="00B86468">
        <w:t xml:space="preserve">(RIS) is required to be prepared to identify any significant economic or social burden imposed by the proposed Code. </w:t>
      </w:r>
    </w:p>
    <w:p w:rsidR="00C43CC5" w:rsidRDefault="00C43CC5" w:rsidP="00B86468">
      <w:pPr>
        <w:pStyle w:val="ListParagraph"/>
        <w:ind w:left="0"/>
        <w:jc w:val="both"/>
        <w:rPr>
          <w:rFonts w:eastAsia="Times New Roman" w:cs="Arial"/>
          <w:b/>
          <w:color w:val="244061" w:themeColor="accent1" w:themeShade="80"/>
        </w:rPr>
      </w:pPr>
    </w:p>
    <w:p w:rsidR="00C43CC5" w:rsidRPr="00AB74F5" w:rsidRDefault="00C43CC5" w:rsidP="00AB74F5">
      <w:pPr>
        <w:pStyle w:val="H13pt"/>
      </w:pPr>
      <w:bookmarkStart w:id="6" w:name="_Toc477190125"/>
      <w:r w:rsidRPr="00AB74F5">
        <w:t>Current regulatory arrangements for greyhounds</w:t>
      </w:r>
      <w:bookmarkEnd w:id="6"/>
    </w:p>
    <w:p w:rsidR="00622916" w:rsidRDefault="00622916" w:rsidP="0042749A">
      <w:pPr>
        <w:jc w:val="both"/>
        <w:rPr>
          <w:rFonts w:cs="Arial-BoldMT"/>
          <w:bCs/>
        </w:rPr>
      </w:pPr>
      <w:r>
        <w:t>T</w:t>
      </w:r>
      <w:r w:rsidRPr="00FC6506">
        <w:t>he ex</w:t>
      </w:r>
      <w:r>
        <w:t>isting C</w:t>
      </w:r>
      <w:r w:rsidRPr="00FC6506">
        <w:t>ode is enforced throughout Victoria, under G</w:t>
      </w:r>
      <w:r w:rsidR="005F0C17">
        <w:t xml:space="preserve">reyhound </w:t>
      </w:r>
      <w:r w:rsidRPr="00FC6506">
        <w:t>R</w:t>
      </w:r>
      <w:r w:rsidR="005F0C17">
        <w:t xml:space="preserve">acing </w:t>
      </w:r>
      <w:r w:rsidRPr="00FC6506">
        <w:t>V</w:t>
      </w:r>
      <w:r w:rsidR="005F0C17">
        <w:t>ictoria (GRV)</w:t>
      </w:r>
      <w:r>
        <w:t xml:space="preserve"> </w:t>
      </w:r>
      <w:r w:rsidRPr="00FC6506">
        <w:t xml:space="preserve">local rules and used for guidance and prescriptive detail for prosecution under the rules. Local </w:t>
      </w:r>
      <w:r w:rsidR="005F0C17">
        <w:t>r</w:t>
      </w:r>
      <w:r w:rsidRPr="00FC6506">
        <w:t xml:space="preserve">ules are in fact rules for the whole of the state of Victoria made under the powers of the </w:t>
      </w:r>
      <w:r w:rsidRPr="00D946BC">
        <w:rPr>
          <w:i/>
        </w:rPr>
        <w:t>Racing Act</w:t>
      </w:r>
      <w:r w:rsidR="005F0C17" w:rsidRPr="00D946BC">
        <w:rPr>
          <w:i/>
        </w:rPr>
        <w:t xml:space="preserve"> 1958</w:t>
      </w:r>
      <w:r w:rsidRPr="00FC6506">
        <w:t xml:space="preserve">. The </w:t>
      </w:r>
      <w:r>
        <w:t>existing C</w:t>
      </w:r>
      <w:r w:rsidRPr="00FC6506">
        <w:t xml:space="preserve">ode is used as a defensible code and </w:t>
      </w:r>
      <w:r w:rsidR="005F0C17">
        <w:t xml:space="preserve">is </w:t>
      </w:r>
      <w:r w:rsidRPr="00FC6506">
        <w:t>enforced by GRV enforcement officers. Greyhound</w:t>
      </w:r>
      <w:r w:rsidRPr="008B742E">
        <w:t xml:space="preserve"> </w:t>
      </w:r>
      <w:r w:rsidR="008C776B">
        <w:t xml:space="preserve">participants </w:t>
      </w:r>
      <w:r w:rsidRPr="008B742E">
        <w:t xml:space="preserve">do not have to follow the </w:t>
      </w:r>
      <w:r w:rsidRPr="008B742E">
        <w:rPr>
          <w:i/>
        </w:rPr>
        <w:t>Code of Practice for the Operation of Breeding and Rearing Businesses</w:t>
      </w:r>
      <w:r w:rsidRPr="008B742E">
        <w:t>, which came into effect on 10 April 2014 to improve the wel</w:t>
      </w:r>
      <w:r>
        <w:t xml:space="preserve">fare of animals in puppy farms. </w:t>
      </w:r>
      <w:r w:rsidRPr="008B742E">
        <w:t>The new breeding and rearing code reflect</w:t>
      </w:r>
      <w:r w:rsidR="00E02990">
        <w:t>s</w:t>
      </w:r>
      <w:r w:rsidR="008C776B">
        <w:t xml:space="preserve"> society’s expectations about the treatment of dogs and cats</w:t>
      </w:r>
      <w:r w:rsidRPr="008B742E">
        <w:t xml:space="preserve">. </w:t>
      </w:r>
      <w:r>
        <w:rPr>
          <w:rFonts w:cs="HelveticaNeueLT Std Lt"/>
        </w:rPr>
        <w:t>Additionally,</w:t>
      </w:r>
      <w:r w:rsidRPr="008B742E">
        <w:rPr>
          <w:rFonts w:cs="HelveticaNeueLT Std Lt"/>
        </w:rPr>
        <w:t xml:space="preserve"> </w:t>
      </w:r>
      <w:r w:rsidRPr="008B742E">
        <w:t xml:space="preserve">under the </w:t>
      </w:r>
      <w:r w:rsidRPr="00D946BC">
        <w:rPr>
          <w:i/>
        </w:rPr>
        <w:t>D</w:t>
      </w:r>
      <w:r w:rsidR="005F0C17" w:rsidRPr="00D946BC">
        <w:rPr>
          <w:i/>
        </w:rPr>
        <w:t xml:space="preserve">omestic </w:t>
      </w:r>
      <w:r w:rsidRPr="00D946BC">
        <w:rPr>
          <w:i/>
        </w:rPr>
        <w:t>A</w:t>
      </w:r>
      <w:r w:rsidR="005F0C17" w:rsidRPr="00D946BC">
        <w:rPr>
          <w:i/>
        </w:rPr>
        <w:t xml:space="preserve">nimals </w:t>
      </w:r>
      <w:r w:rsidRPr="00D946BC">
        <w:rPr>
          <w:i/>
        </w:rPr>
        <w:t>A</w:t>
      </w:r>
      <w:r w:rsidR="005F0C17" w:rsidRPr="00D946BC">
        <w:rPr>
          <w:i/>
        </w:rPr>
        <w:t>ct 1994</w:t>
      </w:r>
      <w:r w:rsidR="005F0C17">
        <w:t xml:space="preserve"> (DAA)</w:t>
      </w:r>
      <w:r w:rsidRPr="008B742E">
        <w:t xml:space="preserve"> greyhound owners are exempt from the requirements of registration with local government if the dog is registered </w:t>
      </w:r>
      <w:r w:rsidR="005F0C17">
        <w:t>with</w:t>
      </w:r>
      <w:r w:rsidRPr="008B742E">
        <w:t xml:space="preserve"> GRV</w:t>
      </w:r>
      <w:r>
        <w:t>.</w:t>
      </w:r>
      <w:r w:rsidR="007B521C">
        <w:t xml:space="preserve"> </w:t>
      </w:r>
      <w:r>
        <w:rPr>
          <w:rFonts w:cs="Arial-BoldMT"/>
          <w:bCs/>
        </w:rPr>
        <w:t>The c</w:t>
      </w:r>
      <w:r w:rsidRPr="008B742E">
        <w:rPr>
          <w:rFonts w:cs="Arial-BoldMT"/>
          <w:bCs/>
        </w:rPr>
        <w:t>urrent reporting requirements</w:t>
      </w:r>
      <w:r>
        <w:rPr>
          <w:rFonts w:cs="Arial-BoldMT"/>
          <w:bCs/>
        </w:rPr>
        <w:t xml:space="preserve"> of greyhounds to GRV </w:t>
      </w:r>
      <w:r w:rsidR="005C512A">
        <w:rPr>
          <w:rFonts w:cs="Arial-BoldMT"/>
          <w:bCs/>
        </w:rPr>
        <w:t xml:space="preserve">are predominately limited to requirements during the stages of </w:t>
      </w:r>
      <w:r>
        <w:rPr>
          <w:rFonts w:cs="Arial-BoldMT"/>
          <w:bCs/>
        </w:rPr>
        <w:t>birth, naming, racing and retirement.</w:t>
      </w:r>
    </w:p>
    <w:p w:rsidR="00622916" w:rsidRDefault="00622916" w:rsidP="0042749A">
      <w:pPr>
        <w:jc w:val="both"/>
        <w:rPr>
          <w:rFonts w:cs="Arial-BoldMT"/>
          <w:bCs/>
        </w:rPr>
      </w:pPr>
    </w:p>
    <w:p w:rsidR="00614461" w:rsidRPr="00AB74F5" w:rsidRDefault="00614461" w:rsidP="00AB74F5">
      <w:pPr>
        <w:pStyle w:val="H13pt"/>
      </w:pPr>
      <w:bookmarkStart w:id="7" w:name="_Toc477190126"/>
      <w:r w:rsidRPr="00AB74F5">
        <w:t>Major issues in the greyhound racing industry</w:t>
      </w:r>
      <w:bookmarkEnd w:id="7"/>
      <w:r w:rsidRPr="00AB74F5">
        <w:t xml:space="preserve"> </w:t>
      </w:r>
    </w:p>
    <w:p w:rsidR="00614461" w:rsidRDefault="00614461" w:rsidP="0042749A">
      <w:pPr>
        <w:jc w:val="both"/>
        <w:rPr>
          <w:rFonts w:cs="Arial-BoldMT"/>
          <w:bCs/>
        </w:rPr>
      </w:pPr>
      <w:r>
        <w:rPr>
          <w:rFonts w:cs="Arial-BoldMT"/>
          <w:bCs/>
        </w:rPr>
        <w:t xml:space="preserve">There have been a </w:t>
      </w:r>
      <w:r w:rsidR="00622916">
        <w:rPr>
          <w:rFonts w:cs="Arial-BoldMT"/>
          <w:bCs/>
        </w:rPr>
        <w:t xml:space="preserve">number of </w:t>
      </w:r>
      <w:r>
        <w:rPr>
          <w:rFonts w:cs="Arial-BoldMT"/>
          <w:bCs/>
        </w:rPr>
        <w:t xml:space="preserve">investigations </w:t>
      </w:r>
      <w:r w:rsidR="00622916">
        <w:rPr>
          <w:rFonts w:cs="Arial-BoldMT"/>
          <w:bCs/>
        </w:rPr>
        <w:t xml:space="preserve">and reports that have been conducted on the greyhound </w:t>
      </w:r>
      <w:r w:rsidR="005F0C17">
        <w:rPr>
          <w:rFonts w:cs="Arial-BoldMT"/>
          <w:bCs/>
        </w:rPr>
        <w:t xml:space="preserve">racing </w:t>
      </w:r>
      <w:r w:rsidR="00622916">
        <w:rPr>
          <w:rFonts w:cs="Arial-BoldMT"/>
          <w:bCs/>
        </w:rPr>
        <w:t>industry including</w:t>
      </w:r>
      <w:r>
        <w:rPr>
          <w:rFonts w:cs="Arial-BoldMT"/>
          <w:bCs/>
        </w:rPr>
        <w:t>:</w:t>
      </w:r>
    </w:p>
    <w:p w:rsidR="00614461" w:rsidRPr="0042749A" w:rsidRDefault="005F0C17" w:rsidP="0023462A">
      <w:pPr>
        <w:pStyle w:val="ListParagraph"/>
        <w:numPr>
          <w:ilvl w:val="0"/>
          <w:numId w:val="57"/>
        </w:numPr>
        <w:ind w:left="426" w:hanging="426"/>
        <w:jc w:val="both"/>
        <w:rPr>
          <w:color w:val="auto"/>
        </w:rPr>
      </w:pPr>
      <w:r>
        <w:rPr>
          <w:color w:val="auto"/>
        </w:rPr>
        <w:t xml:space="preserve">The </w:t>
      </w:r>
      <w:r w:rsidR="00614461" w:rsidRPr="0042749A">
        <w:rPr>
          <w:color w:val="auto"/>
        </w:rPr>
        <w:t>ABC Four Corners program</w:t>
      </w:r>
      <w:r>
        <w:rPr>
          <w:color w:val="auto"/>
        </w:rPr>
        <w:t xml:space="preserve"> that</w:t>
      </w:r>
      <w:r w:rsidR="00614461" w:rsidRPr="0042749A">
        <w:rPr>
          <w:color w:val="auto"/>
        </w:rPr>
        <w:t xml:space="preserve"> aired an exposé entitled </w:t>
      </w:r>
      <w:r w:rsidR="00614461" w:rsidRPr="0042749A">
        <w:rPr>
          <w:i/>
          <w:color w:val="auto"/>
        </w:rPr>
        <w:t>Making a Killing</w:t>
      </w:r>
      <w:r w:rsidR="00614461" w:rsidRPr="0042749A">
        <w:rPr>
          <w:color w:val="auto"/>
        </w:rPr>
        <w:t xml:space="preserve"> (on live baiting);</w:t>
      </w:r>
    </w:p>
    <w:p w:rsidR="00614461" w:rsidRPr="0042749A" w:rsidRDefault="00483AEC" w:rsidP="0023462A">
      <w:pPr>
        <w:pStyle w:val="ListParagraph"/>
        <w:numPr>
          <w:ilvl w:val="0"/>
          <w:numId w:val="57"/>
        </w:numPr>
        <w:ind w:left="426" w:hanging="426"/>
        <w:jc w:val="both"/>
        <w:rPr>
          <w:color w:val="auto"/>
        </w:rPr>
      </w:pPr>
      <w:r>
        <w:rPr>
          <w:color w:val="auto"/>
        </w:rPr>
        <w:t xml:space="preserve">The </w:t>
      </w:r>
      <w:r w:rsidR="00614461" w:rsidRPr="0042749A">
        <w:rPr>
          <w:i/>
          <w:color w:val="auto"/>
        </w:rPr>
        <w:t>Investigation into animal welfare and cruelty in the Victorian greyhound industry</w:t>
      </w:r>
      <w:r w:rsidR="00614461" w:rsidRPr="0042749A">
        <w:rPr>
          <w:color w:val="auto"/>
        </w:rPr>
        <w:t xml:space="preserve"> by Chief Veterinary Officer, Dr Charles Milne</w:t>
      </w:r>
      <w:r w:rsidR="00B86468">
        <w:rPr>
          <w:color w:val="auto"/>
        </w:rPr>
        <w:t>;</w:t>
      </w:r>
      <w:r w:rsidR="00614461" w:rsidRPr="0042749A">
        <w:rPr>
          <w:color w:val="auto"/>
        </w:rPr>
        <w:t xml:space="preserve"> </w:t>
      </w:r>
    </w:p>
    <w:p w:rsidR="00614461" w:rsidRPr="0042749A" w:rsidRDefault="00A44E7A" w:rsidP="0023462A">
      <w:pPr>
        <w:pStyle w:val="ListParagraph"/>
        <w:numPr>
          <w:ilvl w:val="0"/>
          <w:numId w:val="57"/>
        </w:numPr>
        <w:ind w:left="426" w:hanging="426"/>
        <w:jc w:val="both"/>
        <w:rPr>
          <w:color w:val="auto"/>
        </w:rPr>
      </w:pPr>
      <w:r>
        <w:rPr>
          <w:color w:val="auto"/>
        </w:rPr>
        <w:t>The</w:t>
      </w:r>
      <w:r>
        <w:rPr>
          <w:i/>
          <w:color w:val="auto"/>
        </w:rPr>
        <w:t xml:space="preserve"> </w:t>
      </w:r>
      <w:r w:rsidR="00614461" w:rsidRPr="0042749A">
        <w:rPr>
          <w:i/>
          <w:color w:val="auto"/>
        </w:rPr>
        <w:t>2015 Own Motion inquiry into Live Baiting in Greyhound Racing Victoria</w:t>
      </w:r>
      <w:r w:rsidR="00614461" w:rsidRPr="0042749A">
        <w:rPr>
          <w:color w:val="auto"/>
        </w:rPr>
        <w:t xml:space="preserve"> by the Racing Integrity Commissioner, Mr Sal Perna</w:t>
      </w:r>
      <w:r w:rsidR="00B86468">
        <w:rPr>
          <w:color w:val="auto"/>
        </w:rPr>
        <w:t>;</w:t>
      </w:r>
      <w:r w:rsidR="00614461" w:rsidRPr="0042749A">
        <w:rPr>
          <w:color w:val="auto"/>
        </w:rPr>
        <w:t xml:space="preserve"> </w:t>
      </w:r>
    </w:p>
    <w:p w:rsidR="00614461" w:rsidRPr="0042749A" w:rsidRDefault="00A44E7A" w:rsidP="0023462A">
      <w:pPr>
        <w:pStyle w:val="ListParagraph"/>
        <w:numPr>
          <w:ilvl w:val="0"/>
          <w:numId w:val="57"/>
        </w:numPr>
        <w:ind w:left="426" w:hanging="426"/>
        <w:jc w:val="both"/>
        <w:rPr>
          <w:color w:val="auto"/>
        </w:rPr>
      </w:pPr>
      <w:r>
        <w:rPr>
          <w:color w:val="auto"/>
        </w:rPr>
        <w:t xml:space="preserve">The </w:t>
      </w:r>
      <w:r w:rsidR="00614461" w:rsidRPr="0042749A">
        <w:rPr>
          <w:i/>
          <w:color w:val="auto"/>
        </w:rPr>
        <w:t>Review of the Integrity Structures of the Victorian Racing Industry</w:t>
      </w:r>
      <w:r w:rsidR="00614461" w:rsidRPr="0042749A">
        <w:rPr>
          <w:color w:val="auto"/>
        </w:rPr>
        <w:t xml:space="preserve"> by Racing administrator Mr Paul Bittar</w:t>
      </w:r>
      <w:r w:rsidR="00B86468">
        <w:rPr>
          <w:color w:val="auto"/>
        </w:rPr>
        <w:t>;</w:t>
      </w:r>
      <w:r w:rsidR="00614461" w:rsidRPr="0042749A">
        <w:rPr>
          <w:color w:val="auto"/>
        </w:rPr>
        <w:t xml:space="preserve"> </w:t>
      </w:r>
    </w:p>
    <w:p w:rsidR="00614461" w:rsidRDefault="00A44E7A" w:rsidP="0023462A">
      <w:pPr>
        <w:pStyle w:val="ListParagraph"/>
        <w:numPr>
          <w:ilvl w:val="0"/>
          <w:numId w:val="57"/>
        </w:numPr>
        <w:ind w:left="426" w:hanging="426"/>
        <w:rPr>
          <w:color w:val="auto"/>
        </w:rPr>
      </w:pPr>
      <w:r>
        <w:rPr>
          <w:color w:val="auto"/>
        </w:rPr>
        <w:t xml:space="preserve">The </w:t>
      </w:r>
      <w:r w:rsidR="00614461" w:rsidRPr="0042749A">
        <w:rPr>
          <w:i/>
          <w:color w:val="auto"/>
        </w:rPr>
        <w:t>Queensland Greyhound Racing Industry Commission of Inquiry</w:t>
      </w:r>
      <w:r w:rsidR="00614461" w:rsidRPr="0042749A">
        <w:rPr>
          <w:color w:val="auto"/>
        </w:rPr>
        <w:t xml:space="preserve"> by Commissioner, Mr Alan MacSporran QC</w:t>
      </w:r>
      <w:r w:rsidR="00B86468">
        <w:rPr>
          <w:color w:val="auto"/>
        </w:rPr>
        <w:t>; and</w:t>
      </w:r>
      <w:r w:rsidR="00614461" w:rsidRPr="0042749A">
        <w:rPr>
          <w:color w:val="auto"/>
        </w:rPr>
        <w:t xml:space="preserve"> </w:t>
      </w:r>
    </w:p>
    <w:p w:rsidR="00614461" w:rsidRPr="00B078A9" w:rsidRDefault="00A44E7A" w:rsidP="006A67F8">
      <w:pPr>
        <w:pStyle w:val="ListParagraph"/>
        <w:numPr>
          <w:ilvl w:val="0"/>
          <w:numId w:val="57"/>
        </w:numPr>
        <w:ind w:left="426" w:hanging="426"/>
        <w:rPr>
          <w:color w:val="auto"/>
        </w:rPr>
      </w:pPr>
      <w:r w:rsidRPr="00B078A9">
        <w:rPr>
          <w:color w:val="auto"/>
        </w:rPr>
        <w:t xml:space="preserve">The </w:t>
      </w:r>
      <w:r w:rsidR="00614461" w:rsidRPr="00B078A9">
        <w:rPr>
          <w:i/>
          <w:color w:val="auto"/>
        </w:rPr>
        <w:t>Special Commission of Inquiry into the Greyhound ​Racing Industry in NS​​W</w:t>
      </w:r>
      <w:r w:rsidR="00614461" w:rsidRPr="00B078A9">
        <w:rPr>
          <w:color w:val="auto"/>
        </w:rPr>
        <w:t xml:space="preserve"> by Commissioner, Mr Michael McHugh AC QC</w:t>
      </w:r>
      <w:r w:rsidR="00B86468" w:rsidRPr="00B078A9">
        <w:rPr>
          <w:color w:val="auto"/>
        </w:rPr>
        <w:t>.</w:t>
      </w:r>
      <w:r w:rsidR="00B078A9">
        <w:rPr>
          <w:color w:val="auto"/>
        </w:rPr>
        <w:t xml:space="preserve"> </w:t>
      </w:r>
    </w:p>
    <w:p w:rsidR="00614461" w:rsidRDefault="00614461" w:rsidP="0042749A">
      <w:pPr>
        <w:pStyle w:val="ListParagraph"/>
        <w:ind w:left="0"/>
        <w:rPr>
          <w:rFonts w:eastAsia="Times New Roman" w:cs="Arial"/>
          <w:b/>
          <w:color w:val="244061" w:themeColor="accent1" w:themeShade="80"/>
        </w:rPr>
      </w:pPr>
    </w:p>
    <w:p w:rsidR="009D541C" w:rsidRDefault="006A67F8" w:rsidP="0042749A">
      <w:pPr>
        <w:jc w:val="both"/>
      </w:pPr>
      <w:r>
        <w:t>Although the investigations into the Queensland and NSW greyhound industry are not a reflection of the industry in Victoria, t</w:t>
      </w:r>
      <w:r w:rsidR="00614461" w:rsidRPr="009C2886">
        <w:t>he</w:t>
      </w:r>
      <w:r w:rsidR="005C512A">
        <w:t xml:space="preserve"> investigations identified </w:t>
      </w:r>
      <w:r w:rsidR="00614461" w:rsidRPr="009C2886">
        <w:t xml:space="preserve">a variety of concerns in relation to </w:t>
      </w:r>
      <w:r>
        <w:t xml:space="preserve">the </w:t>
      </w:r>
      <w:r w:rsidR="00614461">
        <w:t>greyhound racing</w:t>
      </w:r>
      <w:r w:rsidR="00A60A9A">
        <w:t xml:space="preserve"> industry</w:t>
      </w:r>
      <w:r>
        <w:t xml:space="preserve"> in a broader context across Australia</w:t>
      </w:r>
      <w:r w:rsidR="00A44E7A">
        <w:t>,</w:t>
      </w:r>
      <w:r w:rsidR="00614461">
        <w:t xml:space="preserve"> including</w:t>
      </w:r>
      <w:r w:rsidR="00A44E7A">
        <w:t>;</w:t>
      </w:r>
      <w:r w:rsidR="00614461">
        <w:t xml:space="preserve"> a </w:t>
      </w:r>
      <w:r w:rsidR="00614461" w:rsidRPr="009C2886">
        <w:t>lack of transparency or identification of operators</w:t>
      </w:r>
      <w:r w:rsidR="00A44E7A">
        <w:t>;</w:t>
      </w:r>
      <w:r w:rsidR="00614461" w:rsidRPr="009C2886">
        <w:t xml:space="preserve"> lack of education or information of operators</w:t>
      </w:r>
      <w:r w:rsidR="00A44E7A">
        <w:t>;</w:t>
      </w:r>
      <w:r w:rsidR="00614461" w:rsidRPr="009C2886">
        <w:t xml:space="preserve"> perceived poor breeding and training programs</w:t>
      </w:r>
      <w:r w:rsidR="00A44E7A">
        <w:t>;</w:t>
      </w:r>
      <w:r w:rsidR="00614461" w:rsidRPr="009C2886">
        <w:t xml:space="preserve"> poor welfare of dogs</w:t>
      </w:r>
      <w:r w:rsidR="00A44E7A">
        <w:t>;</w:t>
      </w:r>
      <w:r w:rsidR="00614461" w:rsidRPr="009C2886">
        <w:t xml:space="preserve"> wastage</w:t>
      </w:r>
      <w:r w:rsidR="00614461">
        <w:t xml:space="preserve"> (oversupply)</w:t>
      </w:r>
      <w:r w:rsidR="00614461" w:rsidRPr="009C2886">
        <w:t xml:space="preserve"> of animals</w:t>
      </w:r>
      <w:r w:rsidR="00A44E7A">
        <w:t>;</w:t>
      </w:r>
      <w:r w:rsidR="00614461" w:rsidRPr="009C2886">
        <w:t xml:space="preserve"> governance of racing and betting, and</w:t>
      </w:r>
      <w:r w:rsidR="00A44E7A">
        <w:t>;</w:t>
      </w:r>
      <w:r w:rsidR="00614461" w:rsidRPr="009C2886">
        <w:t xml:space="preserve"> the live baiting issue</w:t>
      </w:r>
      <w:r w:rsidR="00614461">
        <w:t>s.</w:t>
      </w:r>
      <w:r w:rsidR="007B521C">
        <w:t xml:space="preserve"> </w:t>
      </w:r>
    </w:p>
    <w:p w:rsidR="00FE662E" w:rsidRDefault="005F3BA9" w:rsidP="005F3BA9">
      <w:r>
        <w:br w:type="page"/>
      </w:r>
    </w:p>
    <w:tbl>
      <w:tblPr>
        <w:tblW w:w="0" w:type="auto"/>
        <w:tblLook w:val="04A0" w:firstRow="1" w:lastRow="0" w:firstColumn="1" w:lastColumn="0" w:noHBand="0" w:noVBand="1"/>
      </w:tblPr>
      <w:tblGrid>
        <w:gridCol w:w="8437"/>
      </w:tblGrid>
      <w:tr w:rsidR="00FE662E" w:rsidTr="00274F16">
        <w:tc>
          <w:tcPr>
            <w:tcW w:w="8437" w:type="dxa"/>
            <w:shd w:val="clear" w:color="auto" w:fill="D9D9D9" w:themeFill="background1" w:themeFillShade="D9"/>
          </w:tcPr>
          <w:p w:rsidR="00FE662E" w:rsidRPr="00DF0429" w:rsidRDefault="00274F16" w:rsidP="00417B3F">
            <w:pPr>
              <w:rPr>
                <w:b/>
              </w:rPr>
            </w:pPr>
            <w:r>
              <w:rPr>
                <w:b/>
              </w:rPr>
              <w:lastRenderedPageBreak/>
              <w:t>Comment by GRV</w:t>
            </w:r>
            <w:r w:rsidR="00FE662E">
              <w:rPr>
                <w:b/>
              </w:rPr>
              <w:t>;</w:t>
            </w:r>
          </w:p>
          <w:p w:rsidR="00FE662E" w:rsidRDefault="00FE662E" w:rsidP="00FE662E">
            <w:pPr>
              <w:jc w:val="both"/>
            </w:pPr>
            <w:r>
              <w:t>Under a new Board and new CEO Alan Clayton, GRV has taken significant steps to address industry issues and has implemented, and continues to implement, a raft of reforms to address industry issues and to drive strong animal welfare outcomes.</w:t>
            </w:r>
          </w:p>
          <w:p w:rsidR="00FE662E" w:rsidRDefault="00FE662E" w:rsidP="00FE662E">
            <w:pPr>
              <w:jc w:val="both"/>
            </w:pPr>
          </w:p>
          <w:p w:rsidR="00FE662E" w:rsidRDefault="00FE662E" w:rsidP="00FE662E">
            <w:r>
              <w:t>As a result of the Milne, Perna and Bittar reports GRV has taken significant steps, and flagged many more initiatives, to address the issues raised with a</w:t>
            </w:r>
            <w:r w:rsidRPr="00D603AC">
              <w:t>nimal welfare and integrity a</w:t>
            </w:r>
            <w:r>
              <w:t>s</w:t>
            </w:r>
            <w:r w:rsidRPr="00D603AC">
              <w:t xml:space="preserve"> </w:t>
            </w:r>
            <w:r>
              <w:t>its</w:t>
            </w:r>
            <w:r w:rsidRPr="00D603AC">
              <w:t xml:space="preserve"> overriding priorities</w:t>
            </w:r>
            <w:r>
              <w:t>. Reported outcomes include:</w:t>
            </w:r>
          </w:p>
          <w:p w:rsidR="00FE662E" w:rsidRPr="007B521C" w:rsidRDefault="00FE662E" w:rsidP="00FA31C9">
            <w:pPr>
              <w:pStyle w:val="ListParagraph"/>
              <w:numPr>
                <w:ilvl w:val="0"/>
                <w:numId w:val="60"/>
              </w:numPr>
              <w:ind w:left="426" w:hanging="426"/>
              <w:rPr>
                <w:lang w:eastAsia="en-AU"/>
              </w:rPr>
            </w:pPr>
            <w:r w:rsidRPr="007B521C">
              <w:rPr>
                <w:lang w:eastAsia="en-AU"/>
              </w:rPr>
              <w:t>An increase in Animal Welfare Inspectors from 2-18, as at 1 January 2017;</w:t>
            </w:r>
          </w:p>
          <w:p w:rsidR="00FE662E" w:rsidRPr="007B521C" w:rsidRDefault="00FE662E" w:rsidP="00FA31C9">
            <w:pPr>
              <w:pStyle w:val="ListParagraph"/>
              <w:numPr>
                <w:ilvl w:val="0"/>
                <w:numId w:val="60"/>
              </w:numPr>
              <w:ind w:left="426" w:hanging="426"/>
              <w:rPr>
                <w:lang w:eastAsia="en-AU"/>
              </w:rPr>
            </w:pPr>
            <w:r w:rsidRPr="007B521C">
              <w:rPr>
                <w:lang w:eastAsia="en-AU"/>
              </w:rPr>
              <w:t>A new Investigations Unit, which increased investigations staff from 1 to 10, including intelligence capability;</w:t>
            </w:r>
          </w:p>
          <w:p w:rsidR="00FE662E" w:rsidRPr="007B521C" w:rsidRDefault="00FE662E" w:rsidP="00FA31C9">
            <w:pPr>
              <w:pStyle w:val="ListParagraph"/>
              <w:numPr>
                <w:ilvl w:val="0"/>
                <w:numId w:val="60"/>
              </w:numPr>
              <w:ind w:left="426" w:hanging="426"/>
              <w:rPr>
                <w:lang w:eastAsia="en-AU"/>
              </w:rPr>
            </w:pPr>
            <w:r w:rsidRPr="007B521C">
              <w:rPr>
                <w:lang w:eastAsia="en-AU"/>
              </w:rPr>
              <w:t>A more than tripling of samples for prohibited substances;</w:t>
            </w:r>
          </w:p>
          <w:p w:rsidR="00FE662E" w:rsidRPr="007B521C" w:rsidRDefault="00FE662E" w:rsidP="00FA31C9">
            <w:pPr>
              <w:pStyle w:val="ListParagraph"/>
              <w:numPr>
                <w:ilvl w:val="0"/>
                <w:numId w:val="60"/>
              </w:numPr>
              <w:ind w:left="426" w:hanging="426"/>
            </w:pPr>
            <w:r w:rsidRPr="007B521C">
              <w:rPr>
                <w:lang w:eastAsia="en-AU"/>
              </w:rPr>
              <w:t xml:space="preserve">A </w:t>
            </w:r>
            <w:r w:rsidRPr="007B521C">
              <w:t>$3.5 million expansion of the Greyhound Adoption Program’s Seymour facilities;</w:t>
            </w:r>
          </w:p>
          <w:p w:rsidR="00FE662E" w:rsidRPr="007B521C" w:rsidRDefault="00FE662E" w:rsidP="00FA31C9">
            <w:pPr>
              <w:pStyle w:val="ListParagraph"/>
              <w:numPr>
                <w:ilvl w:val="0"/>
                <w:numId w:val="60"/>
              </w:numPr>
              <w:ind w:left="426" w:hanging="426"/>
            </w:pPr>
            <w:r w:rsidRPr="007B521C">
              <w:t xml:space="preserve">A new regulatory framework </w:t>
            </w:r>
            <w:r w:rsidRPr="00E02990">
              <w:t xml:space="preserve">which adopts a risk based assessment of the industry and </w:t>
            </w:r>
            <w:r w:rsidRPr="007B521C">
              <w:t>which will include better management of breeding;</w:t>
            </w:r>
          </w:p>
          <w:p w:rsidR="00FE662E" w:rsidRPr="007B521C" w:rsidRDefault="00FE662E" w:rsidP="00FA31C9">
            <w:pPr>
              <w:pStyle w:val="ListParagraph"/>
              <w:numPr>
                <w:ilvl w:val="0"/>
                <w:numId w:val="60"/>
              </w:numPr>
              <w:ind w:left="426" w:hanging="426"/>
            </w:pPr>
            <w:r w:rsidRPr="007B521C">
              <w:t xml:space="preserve">A 31 per cent reduction in the numbers of pups whelped in 2015-16 on the previous year; </w:t>
            </w:r>
          </w:p>
          <w:p w:rsidR="00FE662E" w:rsidRPr="007B521C" w:rsidRDefault="00FE662E" w:rsidP="00FA31C9">
            <w:pPr>
              <w:pStyle w:val="ListParagraph"/>
              <w:numPr>
                <w:ilvl w:val="0"/>
                <w:numId w:val="60"/>
              </w:numPr>
              <w:ind w:left="426" w:hanging="426"/>
            </w:pPr>
            <w:r w:rsidRPr="007B521C">
              <w:t>A major capital works program with specific focus on animal welfare and education and training programs focused on whole-of-life plans for all Victorian greyhounds, and;</w:t>
            </w:r>
          </w:p>
          <w:p w:rsidR="00FE662E" w:rsidRPr="00274F16" w:rsidRDefault="00FE662E" w:rsidP="00FA31C9">
            <w:pPr>
              <w:pStyle w:val="ListParagraph"/>
              <w:numPr>
                <w:ilvl w:val="0"/>
                <w:numId w:val="60"/>
              </w:numPr>
              <w:ind w:left="426" w:hanging="426"/>
              <w:rPr>
                <w:sz w:val="21"/>
                <w:szCs w:val="21"/>
              </w:rPr>
            </w:pPr>
            <w:r w:rsidRPr="007B521C">
              <w:t>Track safety improvements, stronger reporting requirements for race day veterinarians and better capture and analysis of race injury data.</w:t>
            </w:r>
          </w:p>
        </w:tc>
      </w:tr>
    </w:tbl>
    <w:p w:rsidR="00B86468" w:rsidRDefault="00B86468" w:rsidP="0042749A">
      <w:pPr>
        <w:pStyle w:val="ListParagraph"/>
        <w:ind w:left="0"/>
        <w:rPr>
          <w:rFonts w:eastAsia="Times New Roman" w:cs="Arial"/>
          <w:b/>
          <w:color w:val="244061" w:themeColor="accent1" w:themeShade="80"/>
        </w:rPr>
      </w:pPr>
    </w:p>
    <w:p w:rsidR="00F47789" w:rsidRPr="00054CD3" w:rsidRDefault="00F47789" w:rsidP="00B86468">
      <w:pPr>
        <w:jc w:val="both"/>
        <w:rPr>
          <w:b/>
        </w:rPr>
      </w:pPr>
      <w:r w:rsidRPr="00054CD3">
        <w:rPr>
          <w:b/>
        </w:rPr>
        <w:t xml:space="preserve">The proposed </w:t>
      </w:r>
      <w:r w:rsidRPr="00054CD3">
        <w:rPr>
          <w:b/>
          <w:i/>
        </w:rPr>
        <w:t>Code of Practice for the Keeping of Racing Greyhounds</w:t>
      </w:r>
    </w:p>
    <w:p w:rsidR="00B86468" w:rsidRDefault="00B86468" w:rsidP="00B86468">
      <w:pPr>
        <w:jc w:val="both"/>
      </w:pPr>
      <w:r w:rsidRPr="007672B7">
        <w:t>The creation of a new code under the DAA will standardise</w:t>
      </w:r>
      <w:r w:rsidR="009D541C">
        <w:t>, consolidate</w:t>
      </w:r>
      <w:r w:rsidRPr="007672B7">
        <w:t xml:space="preserve"> and give effect to various provisions of existing legislation and local rules</w:t>
      </w:r>
      <w:r w:rsidR="00A44E7A">
        <w:t>. This includes</w:t>
      </w:r>
      <w:r w:rsidRPr="007672B7">
        <w:t xml:space="preserve"> </w:t>
      </w:r>
      <w:r w:rsidR="00A44E7A">
        <w:t>the</w:t>
      </w:r>
      <w:r w:rsidRPr="007672B7">
        <w:t xml:space="preserve"> welfare and keeping conditions of greyhounds which exists in the above</w:t>
      </w:r>
      <w:r>
        <w:t xml:space="preserve"> ‘complex’</w:t>
      </w:r>
      <w:r w:rsidRPr="007672B7">
        <w:t xml:space="preserve"> legis</w:t>
      </w:r>
      <w:r>
        <w:t>lative framework. The proposed C</w:t>
      </w:r>
      <w:r w:rsidRPr="007672B7">
        <w:t xml:space="preserve">ode will provide a clearer regulatory framework and wider coverage of all people involved with greyhounds at all stages of their </w:t>
      </w:r>
      <w:r w:rsidR="00A44E7A" w:rsidRPr="007672B7">
        <w:t>lifecycle</w:t>
      </w:r>
      <w:r w:rsidRPr="007672B7">
        <w:t xml:space="preserve">. In addition, as the </w:t>
      </w:r>
      <w:r>
        <w:t>proposed C</w:t>
      </w:r>
      <w:r w:rsidRPr="007672B7">
        <w:t>ode will be made under the DAA, it provides greater powers to authorised officers to enforce and audit and comes with significantly higher penalties.</w:t>
      </w:r>
      <w:r>
        <w:t xml:space="preserve"> </w:t>
      </w:r>
      <w:r w:rsidR="005C512A">
        <w:t xml:space="preserve">Local </w:t>
      </w:r>
      <w:r>
        <w:t xml:space="preserve">rules made </w:t>
      </w:r>
      <w:r w:rsidR="005C512A">
        <w:t>by Greyhound Racing Victoria, including a series of national rules</w:t>
      </w:r>
      <w:r>
        <w:t>, will remain in place</w:t>
      </w:r>
      <w:r w:rsidR="003E0EA5">
        <w:t xml:space="preserve">. </w:t>
      </w:r>
      <w:r w:rsidR="008A33B2">
        <w:t>The</w:t>
      </w:r>
      <w:r w:rsidR="00D8544F">
        <w:t xml:space="preserve"> proposed</w:t>
      </w:r>
      <w:r w:rsidR="008A33B2">
        <w:t xml:space="preserve"> Code will enhance and bolster existing </w:t>
      </w:r>
      <w:r w:rsidRPr="00E66D8C">
        <w:t>rules made by GRV</w:t>
      </w:r>
      <w:r w:rsidR="008A33B2">
        <w:t>, enabling greater enforcement of animal management and welfare provisions</w:t>
      </w:r>
      <w:r w:rsidRPr="00E66D8C">
        <w:t xml:space="preserve"> under the DAA.</w:t>
      </w:r>
    </w:p>
    <w:p w:rsidR="00274F16" w:rsidRDefault="00274F16" w:rsidP="00B86468">
      <w:pPr>
        <w:jc w:val="both"/>
      </w:pPr>
    </w:p>
    <w:tbl>
      <w:tblPr>
        <w:tblW w:w="0" w:type="auto"/>
        <w:tblLook w:val="04A0" w:firstRow="1" w:lastRow="0" w:firstColumn="1" w:lastColumn="0" w:noHBand="0" w:noVBand="1"/>
      </w:tblPr>
      <w:tblGrid>
        <w:gridCol w:w="8437"/>
      </w:tblGrid>
      <w:tr w:rsidR="00274F16" w:rsidTr="00274F16">
        <w:tc>
          <w:tcPr>
            <w:tcW w:w="8437" w:type="dxa"/>
            <w:shd w:val="clear" w:color="auto" w:fill="D9D9D9" w:themeFill="background1" w:themeFillShade="D9"/>
          </w:tcPr>
          <w:p w:rsidR="00274F16" w:rsidRDefault="00274F16" w:rsidP="00274F16">
            <w:pPr>
              <w:rPr>
                <w:b/>
              </w:rPr>
            </w:pPr>
            <w:r>
              <w:rPr>
                <w:b/>
              </w:rPr>
              <w:t>Comment by GRV;</w:t>
            </w:r>
          </w:p>
          <w:p w:rsidR="00274F16" w:rsidRDefault="00274F16" w:rsidP="00274F16">
            <w:r w:rsidRPr="00457D62">
              <w:t>The proposed Code will support the important industry reform work being undertaken by GRV.</w:t>
            </w:r>
          </w:p>
        </w:tc>
      </w:tr>
    </w:tbl>
    <w:p w:rsidR="003E0EA5" w:rsidRDefault="003E0EA5" w:rsidP="00B86468">
      <w:pPr>
        <w:pStyle w:val="ListParagraph"/>
        <w:ind w:left="0"/>
        <w:jc w:val="both"/>
        <w:rPr>
          <w:b/>
        </w:rPr>
      </w:pPr>
    </w:p>
    <w:p w:rsidR="00F47789" w:rsidRDefault="00C609A2" w:rsidP="00B86468">
      <w:pPr>
        <w:pStyle w:val="ListParagraph"/>
        <w:ind w:left="0"/>
        <w:jc w:val="both"/>
        <w:rPr>
          <w:b/>
        </w:rPr>
      </w:pPr>
      <w:r>
        <w:rPr>
          <w:b/>
        </w:rPr>
        <w:t>Scope</w:t>
      </w:r>
      <w:r w:rsidR="00F47789">
        <w:rPr>
          <w:b/>
        </w:rPr>
        <w:t xml:space="preserve"> of the Code and broader GRV strategy</w:t>
      </w:r>
    </w:p>
    <w:p w:rsidR="00B86468" w:rsidRDefault="00B86468" w:rsidP="00B86468">
      <w:pPr>
        <w:pStyle w:val="ListParagraph"/>
        <w:ind w:left="0"/>
        <w:jc w:val="both"/>
      </w:pPr>
      <w:r>
        <w:t xml:space="preserve">The proposed Code is limited to the </w:t>
      </w:r>
      <w:r w:rsidR="006B4CBD">
        <w:t>specifications</w:t>
      </w:r>
      <w:r>
        <w:t xml:space="preserve"> under section 63AC(2) of the DAA</w:t>
      </w:r>
      <w:r w:rsidR="006B4CBD">
        <w:t>.</w:t>
      </w:r>
      <w:r>
        <w:t xml:space="preserve"> </w:t>
      </w:r>
      <w:r w:rsidR="006B4CBD">
        <w:t>Section 63AC(2)</w:t>
      </w:r>
      <w:r>
        <w:t xml:space="preserve"> allows the code </w:t>
      </w:r>
      <w:r w:rsidRPr="00D946BC">
        <w:t>to specify</w:t>
      </w:r>
      <w:r w:rsidR="006B4CBD">
        <w:t xml:space="preserve"> any or all of the following;</w:t>
      </w:r>
      <w:r w:rsidRPr="005250BC">
        <w:rPr>
          <w:i/>
        </w:rPr>
        <w:t xml:space="preserve"> </w:t>
      </w:r>
      <w:r w:rsidR="006B4CBD">
        <w:rPr>
          <w:i/>
        </w:rPr>
        <w:t>‘</w:t>
      </w:r>
      <w:r w:rsidRPr="005250BC">
        <w:rPr>
          <w:i/>
        </w:rPr>
        <w:t>standards for the keeping, treatment, handling and care of GRV greyhounds</w:t>
      </w:r>
      <w:r>
        <w:rPr>
          <w:i/>
        </w:rPr>
        <w:t>’</w:t>
      </w:r>
      <w:r>
        <w:t>; ‘</w:t>
      </w:r>
      <w:r w:rsidR="006B4CBD" w:rsidRPr="00D946BC">
        <w:rPr>
          <w:i/>
        </w:rPr>
        <w:t xml:space="preserve">standards for the </w:t>
      </w:r>
      <w:r w:rsidRPr="005250BC">
        <w:rPr>
          <w:i/>
        </w:rPr>
        <w:t>facilities, equipment and conditions at premises where GRV greyhounds are being kept</w:t>
      </w:r>
      <w:r>
        <w:rPr>
          <w:i/>
        </w:rPr>
        <w:t>’</w:t>
      </w:r>
      <w:r w:rsidRPr="00095349">
        <w:t xml:space="preserve"> and</w:t>
      </w:r>
      <w:r w:rsidR="006B4CBD">
        <w:t>;</w:t>
      </w:r>
      <w:r>
        <w:rPr>
          <w:i/>
        </w:rPr>
        <w:t xml:space="preserve"> ‘standards for the procedures and practices to be adopted in relation to the keeping of GRV greyhounds’</w:t>
      </w:r>
      <w:r w:rsidRPr="004B0055">
        <w:rPr>
          <w:rStyle w:val="FootnoteReference"/>
        </w:rPr>
        <w:footnoteReference w:id="1"/>
      </w:r>
      <w:r>
        <w:rPr>
          <w:i/>
        </w:rPr>
        <w:t>.</w:t>
      </w:r>
    </w:p>
    <w:p w:rsidR="00B86468" w:rsidRDefault="00B86468" w:rsidP="00B86468">
      <w:pPr>
        <w:pStyle w:val="ListParagraph"/>
        <w:ind w:left="0"/>
        <w:jc w:val="both"/>
      </w:pPr>
    </w:p>
    <w:p w:rsidR="005F3BA9" w:rsidRDefault="005F3BA9">
      <w:r>
        <w:br w:type="page"/>
      </w:r>
    </w:p>
    <w:p w:rsidR="00B86468" w:rsidRDefault="00B86468" w:rsidP="0042749A">
      <w:pPr>
        <w:pStyle w:val="ListParagraph"/>
        <w:ind w:left="0"/>
        <w:jc w:val="both"/>
      </w:pPr>
      <w:r>
        <w:lastRenderedPageBreak/>
        <w:t>The scope of the proposed Code relates to management practices that impact on animal welfare and quality of life (excluding the issue</w:t>
      </w:r>
      <w:r w:rsidR="00F47789">
        <w:t>s</w:t>
      </w:r>
      <w:r>
        <w:t xml:space="preserve"> of live baiting and wastage), and the transition to rehoming.</w:t>
      </w:r>
      <w:r w:rsidR="007B521C">
        <w:t xml:space="preserve"> </w:t>
      </w:r>
      <w:r>
        <w:t>The social licence ramifications of live baiting and wastage are not directly covered in this RIS</w:t>
      </w:r>
      <w:r w:rsidR="00807CFC">
        <w:t xml:space="preserve">. </w:t>
      </w:r>
      <w:r w:rsidR="00B855F8" w:rsidRPr="00073893">
        <w:rPr>
          <w:rFonts w:asciiTheme="majorHAnsi" w:hAnsiTheme="majorHAnsi" w:cs="Arial-BoldMT"/>
          <w:bCs/>
        </w:rPr>
        <w:t>A social licence to operate has been defined as the ‘ongoing acceptance or approval from the local community and other stakeholders’</w:t>
      </w:r>
      <w:r w:rsidR="00B855F8">
        <w:rPr>
          <w:rFonts w:asciiTheme="majorHAnsi" w:hAnsiTheme="majorHAnsi" w:cs="Arial-BoldMT"/>
          <w:bCs/>
        </w:rPr>
        <w:t>.</w:t>
      </w:r>
      <w:r>
        <w:t xml:space="preserve"> </w:t>
      </w:r>
      <w:r w:rsidR="00807CFC">
        <w:t>Nevertheless, the</w:t>
      </w:r>
      <w:r>
        <w:t xml:space="preserve"> animal welfare standards covered by the proposed Code may have </w:t>
      </w:r>
      <w:r w:rsidRPr="007046FB">
        <w:rPr>
          <w:i/>
        </w:rPr>
        <w:t>a knock-on effect</w:t>
      </w:r>
      <w:r>
        <w:t xml:space="preserve"> on </w:t>
      </w:r>
      <w:r w:rsidR="00EA6663">
        <w:t xml:space="preserve">broader animal welfare issues and </w:t>
      </w:r>
      <w:r>
        <w:t>social licence</w:t>
      </w:r>
      <w:r w:rsidR="00FE6313">
        <w:t xml:space="preserve"> </w:t>
      </w:r>
      <w:r w:rsidR="009D541C">
        <w:t>and</w:t>
      </w:r>
      <w:r w:rsidR="00FE6313">
        <w:t xml:space="preserve"> will</w:t>
      </w:r>
      <w:r w:rsidR="009D541C">
        <w:t xml:space="preserve"> support GRV in the work it is doing to actively address these issues</w:t>
      </w:r>
      <w:r>
        <w:t>.</w:t>
      </w:r>
    </w:p>
    <w:p w:rsidR="00FE6313" w:rsidRDefault="00FE6313" w:rsidP="0042749A">
      <w:pPr>
        <w:pStyle w:val="ListParagraph"/>
        <w:ind w:left="0"/>
        <w:jc w:val="both"/>
      </w:pPr>
    </w:p>
    <w:tbl>
      <w:tblPr>
        <w:tblW w:w="0" w:type="auto"/>
        <w:tblLook w:val="04A0" w:firstRow="1" w:lastRow="0" w:firstColumn="1" w:lastColumn="0" w:noHBand="0" w:noVBand="1"/>
      </w:tblPr>
      <w:tblGrid>
        <w:gridCol w:w="8437"/>
      </w:tblGrid>
      <w:tr w:rsidR="00FE6313" w:rsidTr="00FE6313">
        <w:tc>
          <w:tcPr>
            <w:tcW w:w="8437" w:type="dxa"/>
            <w:shd w:val="clear" w:color="auto" w:fill="D9D9D9" w:themeFill="background1" w:themeFillShade="D9"/>
          </w:tcPr>
          <w:p w:rsidR="00FE6313" w:rsidRDefault="00FE6313" w:rsidP="00FE6313">
            <w:pPr>
              <w:rPr>
                <w:b/>
              </w:rPr>
            </w:pPr>
            <w:r>
              <w:rPr>
                <w:b/>
              </w:rPr>
              <w:t>Comment by GRV</w:t>
            </w:r>
            <w:r w:rsidRPr="00457D62">
              <w:rPr>
                <w:b/>
              </w:rPr>
              <w:t>;</w:t>
            </w:r>
          </w:p>
          <w:p w:rsidR="00FE6313" w:rsidRDefault="00FE6313" w:rsidP="00FE6313">
            <w:pPr>
              <w:pStyle w:val="ListParagraph"/>
              <w:ind w:left="0"/>
              <w:jc w:val="both"/>
            </w:pPr>
            <w:r>
              <w:t>The proposed code may have a knock on effect of supporting GRV in the work it is doing to actively address animal welfare and social license issues.</w:t>
            </w:r>
            <w:r w:rsidR="007B521C">
              <w:t xml:space="preserve"> </w:t>
            </w:r>
          </w:p>
        </w:tc>
      </w:tr>
    </w:tbl>
    <w:p w:rsidR="00FE6313" w:rsidRDefault="00FE6313" w:rsidP="00C20CF1">
      <w:pPr>
        <w:jc w:val="both"/>
      </w:pPr>
    </w:p>
    <w:p w:rsidR="00C20CF1" w:rsidRDefault="00B86468" w:rsidP="00C20CF1">
      <w:pPr>
        <w:jc w:val="both"/>
        <w:rPr>
          <w:color w:val="95B3D7" w:themeColor="accent1" w:themeTint="99"/>
        </w:rPr>
      </w:pPr>
      <w:r>
        <w:t>The issue of wastage (oversupply of dogs) and euthanasia is not addressed specifically in this RIS and</w:t>
      </w:r>
      <w:r w:rsidRPr="00077626">
        <w:rPr>
          <w:color w:val="auto"/>
        </w:rPr>
        <w:t xml:space="preserve"> the proposed Code does not directly address wastage rates. Whilst reducing euthanasia</w:t>
      </w:r>
      <w:r w:rsidR="00617037">
        <w:rPr>
          <w:color w:val="auto"/>
        </w:rPr>
        <w:t>/wastage</w:t>
      </w:r>
      <w:r w:rsidRPr="00077626">
        <w:rPr>
          <w:color w:val="auto"/>
        </w:rPr>
        <w:t xml:space="preserve"> is not the objective of the proposed Code, </w:t>
      </w:r>
      <w:r w:rsidR="00617037">
        <w:rPr>
          <w:color w:val="auto"/>
        </w:rPr>
        <w:t>it is a</w:t>
      </w:r>
      <w:r w:rsidRPr="00077626">
        <w:rPr>
          <w:color w:val="auto"/>
        </w:rPr>
        <w:t xml:space="preserve"> positive consequence of good management practices during the lifecycle of the greyhound</w:t>
      </w:r>
      <w:r w:rsidR="007110D4">
        <w:rPr>
          <w:color w:val="auto"/>
        </w:rPr>
        <w:t>.</w:t>
      </w:r>
      <w:r w:rsidRPr="00077626">
        <w:rPr>
          <w:color w:val="auto"/>
        </w:rPr>
        <w:t xml:space="preserve"> </w:t>
      </w:r>
      <w:r w:rsidR="00617037">
        <w:rPr>
          <w:color w:val="auto"/>
        </w:rPr>
        <w:t>Although</w:t>
      </w:r>
      <w:r w:rsidRPr="00077626">
        <w:rPr>
          <w:color w:val="auto"/>
        </w:rPr>
        <w:t xml:space="preserve"> the proposed Code does not address wastage in itself, GRV strategies and policies </w:t>
      </w:r>
      <w:r w:rsidR="00617037">
        <w:rPr>
          <w:color w:val="auto"/>
        </w:rPr>
        <w:t>(</w:t>
      </w:r>
      <w:r w:rsidRPr="00077626">
        <w:rPr>
          <w:color w:val="auto"/>
        </w:rPr>
        <w:t>r</w:t>
      </w:r>
      <w:r>
        <w:rPr>
          <w:color w:val="auto"/>
        </w:rPr>
        <w:t>unning in conjunction with the proposed C</w:t>
      </w:r>
      <w:r w:rsidRPr="00077626">
        <w:rPr>
          <w:color w:val="auto"/>
        </w:rPr>
        <w:t>ode</w:t>
      </w:r>
      <w:r w:rsidR="00EF0EC0">
        <w:rPr>
          <w:color w:val="auto"/>
        </w:rPr>
        <w:t>) will</w:t>
      </w:r>
      <w:r w:rsidRPr="00077626">
        <w:rPr>
          <w:color w:val="auto"/>
        </w:rPr>
        <w:t>.</w:t>
      </w:r>
      <w:r w:rsidR="007B521C">
        <w:rPr>
          <w:color w:val="auto"/>
        </w:rPr>
        <w:t xml:space="preserve"> </w:t>
      </w:r>
      <w:r>
        <w:rPr>
          <w:color w:val="auto"/>
        </w:rPr>
        <w:t>GRV strategies include</w:t>
      </w:r>
      <w:r w:rsidR="00E875D5" w:rsidRPr="007B521C">
        <w:rPr>
          <w:color w:val="auto"/>
        </w:rPr>
        <w:t>:</w:t>
      </w:r>
    </w:p>
    <w:p w:rsidR="00B323F1" w:rsidRDefault="00B323F1" w:rsidP="00F82FDD">
      <w:pPr>
        <w:ind w:left="426" w:hanging="426"/>
      </w:pPr>
      <w:r>
        <w:t>•</w:t>
      </w:r>
      <w:r w:rsidR="007B521C">
        <w:t xml:space="preserve"> </w:t>
      </w:r>
      <w:r w:rsidR="00F82FDD">
        <w:tab/>
      </w:r>
      <w:r>
        <w:t>Reducing the premature injury and death of racing greyhounds;</w:t>
      </w:r>
    </w:p>
    <w:p w:rsidR="00B323F1" w:rsidRDefault="00B323F1" w:rsidP="00F82FDD">
      <w:pPr>
        <w:ind w:left="426" w:hanging="426"/>
      </w:pPr>
      <w:r>
        <w:t>•</w:t>
      </w:r>
      <w:r w:rsidR="007B521C">
        <w:t xml:space="preserve"> </w:t>
      </w:r>
      <w:r w:rsidR="00F82FDD">
        <w:tab/>
      </w:r>
      <w:r>
        <w:t>Preventing excessive breeding (reducing litter numbers);</w:t>
      </w:r>
    </w:p>
    <w:p w:rsidR="00B323F1" w:rsidRDefault="00B323F1" w:rsidP="00F82FDD">
      <w:pPr>
        <w:ind w:left="426" w:hanging="426"/>
      </w:pPr>
      <w:r>
        <w:t>•</w:t>
      </w:r>
      <w:r w:rsidR="007B521C">
        <w:t xml:space="preserve"> </w:t>
      </w:r>
      <w:r w:rsidR="00F82FDD">
        <w:tab/>
      </w:r>
      <w:r>
        <w:t>Optimising the use of the racing greyhound population;</w:t>
      </w:r>
    </w:p>
    <w:p w:rsidR="00B323F1" w:rsidRDefault="00B323F1" w:rsidP="00F82FDD">
      <w:pPr>
        <w:ind w:left="426" w:hanging="426"/>
      </w:pPr>
      <w:r>
        <w:t>•</w:t>
      </w:r>
      <w:r w:rsidR="007B521C">
        <w:t xml:space="preserve"> </w:t>
      </w:r>
      <w:r w:rsidR="00F82FDD">
        <w:tab/>
      </w:r>
      <w:r>
        <w:t>Creating more rehoming opportunities for greyhounds;</w:t>
      </w:r>
    </w:p>
    <w:p w:rsidR="00B323F1" w:rsidRDefault="00B323F1" w:rsidP="00F82FDD">
      <w:pPr>
        <w:ind w:left="426" w:hanging="426"/>
      </w:pPr>
      <w:r>
        <w:t>•</w:t>
      </w:r>
      <w:r w:rsidR="007B521C">
        <w:t xml:space="preserve"> </w:t>
      </w:r>
      <w:r w:rsidR="00F82FDD">
        <w:tab/>
      </w:r>
      <w:r>
        <w:t>Operating an incentives framework that promotes animal welfare at all stages of the greyhound lifecycle;</w:t>
      </w:r>
    </w:p>
    <w:p w:rsidR="00B323F1" w:rsidRDefault="00B323F1" w:rsidP="00F82FDD">
      <w:pPr>
        <w:ind w:left="426" w:hanging="426"/>
      </w:pPr>
      <w:r>
        <w:t>•</w:t>
      </w:r>
      <w:r w:rsidR="007B521C">
        <w:t xml:space="preserve"> </w:t>
      </w:r>
      <w:r w:rsidR="00F82FDD">
        <w:tab/>
      </w:r>
      <w:r>
        <w:t>Making informed decisions about GRVs infrastructure investments to maximise animal welfare outcomes; and</w:t>
      </w:r>
    </w:p>
    <w:p w:rsidR="00B323F1" w:rsidRDefault="00B323F1" w:rsidP="00F82FDD">
      <w:pPr>
        <w:ind w:left="426" w:hanging="426"/>
        <w:jc w:val="both"/>
      </w:pPr>
      <w:r>
        <w:t>•</w:t>
      </w:r>
      <w:r w:rsidR="007B521C">
        <w:t xml:space="preserve"> </w:t>
      </w:r>
      <w:r w:rsidR="00F82FDD">
        <w:tab/>
      </w:r>
      <w:r>
        <w:t>Providing training to industry participants to improve greyhound welfare at every stage of a greyhound’s lifecycle.</w:t>
      </w:r>
    </w:p>
    <w:p w:rsidR="005C512A" w:rsidRDefault="005C512A" w:rsidP="00F4329F"/>
    <w:p w:rsidR="00B86468" w:rsidRPr="004B0055" w:rsidRDefault="00B86468" w:rsidP="00B86468">
      <w:pPr>
        <w:pStyle w:val="ListParagraph"/>
        <w:ind w:left="0"/>
        <w:jc w:val="both"/>
      </w:pPr>
      <w:r>
        <w:t>G</w:t>
      </w:r>
      <w:r w:rsidRPr="003D54D3">
        <w:t xml:space="preserve">overnance </w:t>
      </w:r>
      <w:r>
        <w:t xml:space="preserve">issues around racing and betting are also outside </w:t>
      </w:r>
      <w:r w:rsidRPr="003D54D3">
        <w:t>the scope of th</w:t>
      </w:r>
      <w:r>
        <w:t xml:space="preserve">e proposed Code, however </w:t>
      </w:r>
      <w:r w:rsidR="00F47789">
        <w:t xml:space="preserve">the proposed Code helps to </w:t>
      </w:r>
      <w:r w:rsidRPr="003D54D3">
        <w:t xml:space="preserve">address concerns raised </w:t>
      </w:r>
      <w:r>
        <w:t xml:space="preserve">around </w:t>
      </w:r>
      <w:r w:rsidRPr="003D54D3">
        <w:t>scattered legislation in relation to welfa</w:t>
      </w:r>
      <w:r>
        <w:t>re and management requirements and effective enforcement.</w:t>
      </w:r>
      <w:r w:rsidR="007B521C">
        <w:t xml:space="preserve"> </w:t>
      </w:r>
      <w:r w:rsidRPr="00D1537C">
        <w:t>Additionally,</w:t>
      </w:r>
      <w:r w:rsidRPr="004B0055">
        <w:t xml:space="preserve"> the issue of lifetime tracking of greyhounds is being addressed through GRV policies and local rules </w:t>
      </w:r>
      <w:r w:rsidR="00617037">
        <w:t>which</w:t>
      </w:r>
      <w:r w:rsidRPr="004B0055">
        <w:t xml:space="preserve"> </w:t>
      </w:r>
      <w:r w:rsidR="007D7A02" w:rsidRPr="004B0055">
        <w:t>are</w:t>
      </w:r>
      <w:r w:rsidRPr="004B0055">
        <w:t xml:space="preserve"> </w:t>
      </w:r>
      <w:r>
        <w:t xml:space="preserve">also </w:t>
      </w:r>
      <w:r w:rsidRPr="004B0055">
        <w:t>outs</w:t>
      </w:r>
      <w:r>
        <w:t>ide the scope of the proposed Code and this RIS.</w:t>
      </w:r>
    </w:p>
    <w:p w:rsidR="000A0F56" w:rsidRDefault="000A0F56" w:rsidP="0042749A">
      <w:pPr>
        <w:pStyle w:val="ListParagraph"/>
        <w:ind w:left="0"/>
        <w:rPr>
          <w:b/>
          <w:sz w:val="28"/>
          <w:szCs w:val="28"/>
        </w:rPr>
      </w:pPr>
    </w:p>
    <w:p w:rsidR="007644E5" w:rsidRPr="00AB74F5" w:rsidRDefault="007644E5" w:rsidP="00AB74F5">
      <w:pPr>
        <w:pStyle w:val="H13pt"/>
      </w:pPr>
      <w:bookmarkStart w:id="8" w:name="_Toc477190127"/>
      <w:r w:rsidRPr="00AB74F5">
        <w:t>Outline of the RIS</w:t>
      </w:r>
      <w:bookmarkEnd w:id="8"/>
    </w:p>
    <w:p w:rsidR="00B86468" w:rsidRPr="000C171C" w:rsidRDefault="00B86468" w:rsidP="00B86468">
      <w:pPr>
        <w:jc w:val="both"/>
      </w:pPr>
      <w:r w:rsidRPr="000C171C">
        <w:t xml:space="preserve">This RIS formally assesses the regulatory proposal against the requirements of the </w:t>
      </w:r>
      <w:r w:rsidRPr="000C171C">
        <w:rPr>
          <w:i/>
        </w:rPr>
        <w:t>Subordinate Legislation Act 1994</w:t>
      </w:r>
      <w:r w:rsidRPr="000C171C">
        <w:t xml:space="preserve"> and the Victorian Guide to Regulation by:</w:t>
      </w:r>
    </w:p>
    <w:p w:rsidR="00B86468" w:rsidRPr="000C171C" w:rsidRDefault="00B86468" w:rsidP="00B86468">
      <w:pPr>
        <w:numPr>
          <w:ilvl w:val="0"/>
          <w:numId w:val="58"/>
        </w:numPr>
        <w:ind w:left="426" w:hanging="426"/>
        <w:jc w:val="both"/>
        <w:rPr>
          <w:rFonts w:cs="Arial"/>
        </w:rPr>
      </w:pPr>
      <w:r w:rsidRPr="000C171C">
        <w:rPr>
          <w:rFonts w:cs="Arial"/>
        </w:rPr>
        <w:t>examining the problem to be addressed by the proposed regulations</w:t>
      </w:r>
      <w:r>
        <w:rPr>
          <w:rFonts w:cs="Arial"/>
        </w:rPr>
        <w:t>;</w:t>
      </w:r>
    </w:p>
    <w:p w:rsidR="00B86468" w:rsidRPr="000C171C" w:rsidRDefault="00B86468" w:rsidP="00B86468">
      <w:pPr>
        <w:numPr>
          <w:ilvl w:val="0"/>
          <w:numId w:val="58"/>
        </w:numPr>
        <w:ind w:left="426" w:hanging="426"/>
        <w:jc w:val="both"/>
        <w:rPr>
          <w:rFonts w:cs="Arial"/>
        </w:rPr>
      </w:pPr>
      <w:r w:rsidRPr="000C171C">
        <w:rPr>
          <w:rFonts w:cs="Arial"/>
        </w:rPr>
        <w:t>clarifying the desired objectives of the proposed regulations</w:t>
      </w:r>
      <w:r>
        <w:rPr>
          <w:rFonts w:cs="Arial"/>
        </w:rPr>
        <w:t>;</w:t>
      </w:r>
    </w:p>
    <w:p w:rsidR="00B86468" w:rsidRPr="000C171C" w:rsidRDefault="00B86468" w:rsidP="00B86468">
      <w:pPr>
        <w:numPr>
          <w:ilvl w:val="0"/>
          <w:numId w:val="58"/>
        </w:numPr>
        <w:ind w:left="426" w:hanging="426"/>
        <w:jc w:val="both"/>
        <w:rPr>
          <w:rFonts w:cs="Arial"/>
        </w:rPr>
      </w:pPr>
      <w:r w:rsidRPr="000C171C">
        <w:rPr>
          <w:rFonts w:cs="Arial"/>
        </w:rPr>
        <w:t>identifying options for achieving the desired regulatory objectives</w:t>
      </w:r>
      <w:r>
        <w:rPr>
          <w:rFonts w:cs="Arial"/>
        </w:rPr>
        <w:t>;</w:t>
      </w:r>
    </w:p>
    <w:p w:rsidR="00B86468" w:rsidRPr="000C171C" w:rsidRDefault="00B86468" w:rsidP="00B86468">
      <w:pPr>
        <w:numPr>
          <w:ilvl w:val="0"/>
          <w:numId w:val="58"/>
        </w:numPr>
        <w:ind w:left="426" w:hanging="426"/>
        <w:jc w:val="both"/>
        <w:rPr>
          <w:rFonts w:cs="Arial"/>
        </w:rPr>
      </w:pPr>
      <w:r>
        <w:rPr>
          <w:rFonts w:cs="Arial"/>
        </w:rPr>
        <w:t>assessing the costs and benefits of the options;</w:t>
      </w:r>
    </w:p>
    <w:p w:rsidR="00B86468" w:rsidRPr="000C171C" w:rsidRDefault="00B86468" w:rsidP="00B86468">
      <w:pPr>
        <w:numPr>
          <w:ilvl w:val="0"/>
          <w:numId w:val="58"/>
        </w:numPr>
        <w:ind w:left="426" w:hanging="426"/>
        <w:jc w:val="both"/>
        <w:rPr>
          <w:rFonts w:cs="Arial"/>
        </w:rPr>
      </w:pPr>
      <w:r>
        <w:rPr>
          <w:rFonts w:cs="Arial"/>
        </w:rPr>
        <w:t>identifying the preferred option and its expected impacts, and</w:t>
      </w:r>
    </w:p>
    <w:p w:rsidR="00B86468" w:rsidRPr="0042749A" w:rsidRDefault="00B86468" w:rsidP="00B86468">
      <w:pPr>
        <w:numPr>
          <w:ilvl w:val="0"/>
          <w:numId w:val="58"/>
        </w:numPr>
        <w:ind w:left="426" w:hanging="426"/>
        <w:jc w:val="both"/>
        <w:rPr>
          <w:rFonts w:cs="Arial"/>
          <w:b/>
          <w:color w:val="auto"/>
        </w:rPr>
      </w:pPr>
      <w:r w:rsidRPr="0042749A">
        <w:rPr>
          <w:rFonts w:cs="Arial"/>
          <w:color w:val="auto"/>
        </w:rPr>
        <w:t>detailing planned and completed consultation processes.</w:t>
      </w:r>
    </w:p>
    <w:p w:rsidR="00B86468" w:rsidRDefault="00B86468" w:rsidP="00F4329F"/>
    <w:p w:rsidR="005F3BA9" w:rsidRDefault="005F3BA9">
      <w:pPr>
        <w:rPr>
          <w:rFonts w:eastAsia="Times New Roman" w:cs="Arial"/>
          <w:b/>
          <w:color w:val="244061" w:themeColor="accent1" w:themeShade="80"/>
        </w:rPr>
      </w:pPr>
      <w:r>
        <w:rPr>
          <w:rFonts w:eastAsia="Times New Roman" w:cs="Arial"/>
          <w:b/>
          <w:color w:val="244061" w:themeColor="accent1" w:themeShade="80"/>
        </w:rPr>
        <w:br w:type="page"/>
      </w:r>
    </w:p>
    <w:p w:rsidR="00B86468" w:rsidRPr="00AB74F5" w:rsidRDefault="0067241A" w:rsidP="00AB74F5">
      <w:pPr>
        <w:pStyle w:val="H13pt"/>
      </w:pPr>
      <w:bookmarkStart w:id="9" w:name="_Toc477190128"/>
      <w:r w:rsidRPr="00AB74F5">
        <w:lastRenderedPageBreak/>
        <w:t>Objectives</w:t>
      </w:r>
      <w:bookmarkEnd w:id="9"/>
    </w:p>
    <w:p w:rsidR="00B86468" w:rsidRDefault="00AF50B5" w:rsidP="00B87973">
      <w:r>
        <w:t xml:space="preserve">The </w:t>
      </w:r>
      <w:r w:rsidR="00B86468" w:rsidRPr="00B970AB">
        <w:t>policy objectives</w:t>
      </w:r>
      <w:r w:rsidR="0067241A">
        <w:t xml:space="preserve"> of the regulatory proposal are</w:t>
      </w:r>
      <w:r w:rsidR="00B86468" w:rsidRPr="00B970AB">
        <w:t xml:space="preserve">: </w:t>
      </w:r>
    </w:p>
    <w:p w:rsidR="00B86468" w:rsidRDefault="00B86468" w:rsidP="00B86468">
      <w:pPr>
        <w:pStyle w:val="BodyText20"/>
        <w:rPr>
          <w:rFonts w:ascii="Calibri" w:hAnsi="Calibri"/>
          <w:i/>
          <w:sz w:val="22"/>
          <w:szCs w:val="22"/>
        </w:rPr>
      </w:pPr>
      <w:r>
        <w:rPr>
          <w:rFonts w:ascii="Calibri" w:hAnsi="Calibri"/>
          <w:i/>
          <w:sz w:val="22"/>
          <w:szCs w:val="22"/>
        </w:rPr>
        <w:t>To increase (improve) the quality of life and welfare of greyhounds, throughout their lifecycle and provide consistent management which will alleviate stress and therefore enable an easy, smooth and rapid, transition to a pet at any time point in its lifecycle.</w:t>
      </w:r>
    </w:p>
    <w:p w:rsidR="00B86468" w:rsidRDefault="00B86468" w:rsidP="00F4329F"/>
    <w:p w:rsidR="005B5F6A" w:rsidRPr="00AB74F5" w:rsidRDefault="005B5F6A" w:rsidP="00AB74F5">
      <w:pPr>
        <w:pStyle w:val="H13pt"/>
      </w:pPr>
      <w:bookmarkStart w:id="10" w:name="_Toc477190129"/>
      <w:r w:rsidRPr="00AB74F5">
        <w:t>Description of Code components</w:t>
      </w:r>
      <w:bookmarkEnd w:id="10"/>
    </w:p>
    <w:p w:rsidR="00110E9A" w:rsidRDefault="00110E9A" w:rsidP="00110E9A">
      <w:pPr>
        <w:jc w:val="both"/>
      </w:pPr>
      <w:r>
        <w:t xml:space="preserve">In order to achieve the main objective, the assessment of options and the proposed Code deals with the following management </w:t>
      </w:r>
      <w:r w:rsidR="007D7A02">
        <w:t>issues, which</w:t>
      </w:r>
      <w:r>
        <w:t xml:space="preserve"> are related to the primary objectives in the following ways:</w:t>
      </w:r>
    </w:p>
    <w:p w:rsidR="00110E9A" w:rsidRPr="00D946BC" w:rsidRDefault="00110E9A" w:rsidP="00110E9A">
      <w:pPr>
        <w:pStyle w:val="ListParagraph"/>
        <w:numPr>
          <w:ilvl w:val="0"/>
          <w:numId w:val="52"/>
        </w:numPr>
        <w:spacing w:after="80"/>
        <w:ind w:left="425" w:hanging="425"/>
        <w:contextualSpacing w:val="0"/>
        <w:jc w:val="both"/>
      </w:pPr>
      <w:r w:rsidRPr="00054CD3">
        <w:rPr>
          <w:i/>
        </w:rPr>
        <w:t>Staff ratios:</w:t>
      </w:r>
      <w:r>
        <w:t xml:space="preserve"> to ensure the </w:t>
      </w:r>
      <w:r w:rsidRPr="00D946BC">
        <w:t xml:space="preserve">adequate care and management of </w:t>
      </w:r>
      <w:r>
        <w:t xml:space="preserve">greyhounds, </w:t>
      </w:r>
      <w:r w:rsidR="00FA31C9">
        <w:br/>
      </w:r>
      <w:r>
        <w:t>minimum ratios of breeding staff to greyhounds are proposed (1:25 dogs)</w:t>
      </w:r>
      <w:r w:rsidRPr="00D946BC" w:rsidDel="008D5BEF">
        <w:t xml:space="preserve"> </w:t>
      </w:r>
      <w:r w:rsidRPr="00D946BC">
        <w:t>(proposed Standard 3.1);</w:t>
      </w:r>
    </w:p>
    <w:p w:rsidR="00110E9A" w:rsidRPr="00D946BC" w:rsidRDefault="00110E9A" w:rsidP="00110E9A">
      <w:pPr>
        <w:pStyle w:val="ListParagraph"/>
        <w:numPr>
          <w:ilvl w:val="0"/>
          <w:numId w:val="52"/>
        </w:numPr>
        <w:spacing w:after="80"/>
        <w:ind w:left="425" w:hanging="425"/>
        <w:contextualSpacing w:val="0"/>
        <w:jc w:val="both"/>
      </w:pPr>
      <w:r w:rsidRPr="00054CD3">
        <w:rPr>
          <w:i/>
        </w:rPr>
        <w:t>Independent veterinary advice:</w:t>
      </w:r>
      <w:r>
        <w:t xml:space="preserve"> where </w:t>
      </w:r>
      <w:r w:rsidRPr="00D946BC">
        <w:t xml:space="preserve">owners of greyhounds are </w:t>
      </w:r>
      <w:r>
        <w:t xml:space="preserve">also </w:t>
      </w:r>
      <w:r w:rsidRPr="00D946BC">
        <w:t>veterinarians</w:t>
      </w:r>
      <w:r>
        <w:t xml:space="preserve">, an independent perspective on health can help </w:t>
      </w:r>
      <w:r w:rsidRPr="00D946BC">
        <w:t>to ensure appropriate treatment of health-related issues (proposed Standard 3.6);</w:t>
      </w:r>
    </w:p>
    <w:p w:rsidR="00110E9A" w:rsidRPr="00D946BC" w:rsidRDefault="00110E9A" w:rsidP="00110E9A">
      <w:pPr>
        <w:pStyle w:val="ListParagraph"/>
        <w:numPr>
          <w:ilvl w:val="0"/>
          <w:numId w:val="52"/>
        </w:numPr>
        <w:spacing w:after="80"/>
        <w:ind w:left="425" w:hanging="425"/>
        <w:contextualSpacing w:val="0"/>
        <w:jc w:val="both"/>
      </w:pPr>
      <w:r w:rsidRPr="00054CD3">
        <w:rPr>
          <w:i/>
        </w:rPr>
        <w:t>Health management plans:</w:t>
      </w:r>
      <w:r>
        <w:t xml:space="preserve"> These plans help to ensure that a participant has considered and planned around the health of their greyhounds, as well as sought input from a veterinarian for their care (includes</w:t>
      </w:r>
      <w:r w:rsidRPr="00D946BC">
        <w:t xml:space="preserve"> one off input from veterinarians in the development of </w:t>
      </w:r>
      <w:r>
        <w:t>one</w:t>
      </w:r>
      <w:r w:rsidRPr="00D946BC">
        <w:t xml:space="preserve"> plan </w:t>
      </w:r>
      <w:r>
        <w:t>per participant with the size of the plan, depending on how many dogs participants manage, as well as,</w:t>
      </w:r>
      <w:r w:rsidRPr="00D946BC" w:rsidDel="008D5BEF">
        <w:t xml:space="preserve"> </w:t>
      </w:r>
      <w:r w:rsidRPr="00D946BC">
        <w:t>ongoing annual follow up by a veterinarian</w:t>
      </w:r>
      <w:r>
        <w:t xml:space="preserve"> </w:t>
      </w:r>
      <w:r w:rsidRPr="00D946BC">
        <w:t>(proposed Standard 4.1);</w:t>
      </w:r>
    </w:p>
    <w:p w:rsidR="00110E9A" w:rsidRPr="00D946BC" w:rsidRDefault="00110E9A" w:rsidP="00110E9A">
      <w:pPr>
        <w:pStyle w:val="ListParagraph"/>
        <w:numPr>
          <w:ilvl w:val="0"/>
          <w:numId w:val="52"/>
        </w:numPr>
        <w:spacing w:after="80"/>
        <w:ind w:left="425" w:hanging="425"/>
        <w:contextualSpacing w:val="0"/>
        <w:jc w:val="both"/>
      </w:pPr>
      <w:r>
        <w:rPr>
          <w:i/>
        </w:rPr>
        <w:t>Storage of e</w:t>
      </w:r>
      <w:r w:rsidRPr="00054CD3">
        <w:rPr>
          <w:i/>
        </w:rPr>
        <w:t xml:space="preserve">stablishment records: </w:t>
      </w:r>
      <w:r w:rsidRPr="00054CD3">
        <w:t>this requirement helps those</w:t>
      </w:r>
      <w:r>
        <w:rPr>
          <w:i/>
        </w:rPr>
        <w:t xml:space="preserve"> </w:t>
      </w:r>
      <w:r w:rsidRPr="00D946BC">
        <w:t>taking possession of a greyhound better understand the</w:t>
      </w:r>
      <w:r>
        <w:t>ir</w:t>
      </w:r>
      <w:r w:rsidRPr="00D946BC">
        <w:t xml:space="preserve"> health/welfare profile at any stage in the lifecycle and would allow timely and appropriate follow up with any flagged issues of concern (proposed Standard 5). </w:t>
      </w:r>
    </w:p>
    <w:p w:rsidR="00110E9A" w:rsidRPr="00D946BC" w:rsidRDefault="00110E9A" w:rsidP="00110E9A">
      <w:pPr>
        <w:pStyle w:val="ListParagraph"/>
        <w:numPr>
          <w:ilvl w:val="0"/>
          <w:numId w:val="52"/>
        </w:numPr>
        <w:spacing w:after="80"/>
        <w:ind w:left="425" w:hanging="425"/>
        <w:contextualSpacing w:val="0"/>
        <w:jc w:val="both"/>
      </w:pPr>
      <w:r w:rsidRPr="00054CD3">
        <w:rPr>
          <w:i/>
        </w:rPr>
        <w:t>Record of supplements, drugs, transfers, rehoming activities and disposals and provision of statement of health and management for dog transfers:</w:t>
      </w:r>
      <w:r>
        <w:t xml:space="preserve"> assist with administration and enforcement of the Code and </w:t>
      </w:r>
      <w:r w:rsidRPr="00D946BC">
        <w:t>ensure that the ongoing health and welfare of a greyhound is maintained as it moves through their lifecycle (proposed Standard 5.2.1);</w:t>
      </w:r>
    </w:p>
    <w:p w:rsidR="00110E9A" w:rsidRPr="00D946BC" w:rsidRDefault="00110E9A" w:rsidP="00110E9A">
      <w:pPr>
        <w:pStyle w:val="ListParagraph"/>
        <w:numPr>
          <w:ilvl w:val="0"/>
          <w:numId w:val="52"/>
        </w:numPr>
        <w:spacing w:after="80"/>
        <w:ind w:left="425" w:hanging="425"/>
        <w:contextualSpacing w:val="0"/>
        <w:jc w:val="both"/>
      </w:pPr>
      <w:r w:rsidRPr="00054CD3">
        <w:rPr>
          <w:i/>
        </w:rPr>
        <w:t>Access to food receptacles which are regularly cleaned (all breeders) and adequate stor</w:t>
      </w:r>
      <w:r>
        <w:rPr>
          <w:i/>
        </w:rPr>
        <w:t>age of food</w:t>
      </w:r>
      <w:r w:rsidRPr="00054CD3">
        <w:rPr>
          <w:i/>
        </w:rPr>
        <w:t xml:space="preserve"> (large breeders only):</w:t>
      </w:r>
      <w:r>
        <w:t xml:space="preserve"> these requirements are designed to improve hygiene of facilities and therefore prevent health problems </w:t>
      </w:r>
      <w:r w:rsidRPr="00D946BC">
        <w:t>(proposed standard 6.1.1);</w:t>
      </w:r>
    </w:p>
    <w:p w:rsidR="00110E9A" w:rsidRDefault="00110E9A" w:rsidP="00110E9A">
      <w:pPr>
        <w:pStyle w:val="ListParagraph"/>
        <w:numPr>
          <w:ilvl w:val="0"/>
          <w:numId w:val="52"/>
        </w:numPr>
        <w:spacing w:after="80"/>
        <w:ind w:left="425" w:hanging="425"/>
        <w:contextualSpacing w:val="0"/>
        <w:jc w:val="both"/>
      </w:pPr>
      <w:r w:rsidRPr="00054CD3">
        <w:rPr>
          <w:i/>
        </w:rPr>
        <w:t>Health checks and treatment plans for breeding females:</w:t>
      </w:r>
      <w:r>
        <w:t xml:space="preserve"> more intensive health checks of breeding females to improve </w:t>
      </w:r>
      <w:r w:rsidRPr="00D946BC">
        <w:t>risk management of health/welfare issues</w:t>
      </w:r>
      <w:r>
        <w:t xml:space="preserve"> </w:t>
      </w:r>
      <w:r w:rsidRPr="00D946BC">
        <w:t>(proposed Standard 6.2.3</w:t>
      </w:r>
      <w:r>
        <w:t>.</w:t>
      </w:r>
    </w:p>
    <w:p w:rsidR="00110E9A" w:rsidRPr="00D946BC" w:rsidRDefault="00110E9A" w:rsidP="00110E9A">
      <w:pPr>
        <w:pStyle w:val="ListParagraph"/>
        <w:numPr>
          <w:ilvl w:val="0"/>
          <w:numId w:val="52"/>
        </w:numPr>
        <w:spacing w:after="80"/>
        <w:ind w:left="425" w:hanging="425"/>
        <w:contextualSpacing w:val="0"/>
        <w:jc w:val="both"/>
      </w:pPr>
      <w:r w:rsidRPr="00054CD3">
        <w:rPr>
          <w:i/>
        </w:rPr>
        <w:t>Additional health check for all dog</w:t>
      </w:r>
      <w:r w:rsidR="00BB49E0">
        <w:rPr>
          <w:i/>
        </w:rPr>
        <w:t>s</w:t>
      </w:r>
      <w:r w:rsidRPr="00054CD3">
        <w:rPr>
          <w:i/>
        </w:rPr>
        <w:t>:</w:t>
      </w:r>
      <w:r>
        <w:t xml:space="preserve"> an additional health check to that provided during vaccination and annual follow up under proposed Standard 4.1, helps to </w:t>
      </w:r>
      <w:r w:rsidRPr="00D946BC">
        <w:t>ensure additional risk management of greyhound health/welfare issues (proposed Standard 6.2.3);</w:t>
      </w:r>
    </w:p>
    <w:p w:rsidR="00110E9A" w:rsidRPr="00D946BC" w:rsidRDefault="00110E9A" w:rsidP="00110E9A">
      <w:pPr>
        <w:pStyle w:val="ListParagraph"/>
        <w:numPr>
          <w:ilvl w:val="0"/>
          <w:numId w:val="52"/>
        </w:numPr>
        <w:spacing w:after="80"/>
        <w:ind w:left="425" w:hanging="425"/>
        <w:contextualSpacing w:val="0"/>
        <w:jc w:val="both"/>
      </w:pPr>
      <w:r w:rsidRPr="00054CD3">
        <w:rPr>
          <w:i/>
        </w:rPr>
        <w:t>Bedding materials, exercise, enrichment and socialisation:</w:t>
      </w:r>
      <w:r>
        <w:t xml:space="preserve"> these requirements </w:t>
      </w:r>
      <w:r w:rsidR="00FA31C9">
        <w:br/>
      </w:r>
      <w:r>
        <w:t>are designed to improve the quality of life for dogs, as well as improve their behavioural development to make it easier for them to transition to a pet</w:t>
      </w:r>
      <w:r w:rsidRPr="00D946BC">
        <w:t xml:space="preserve"> (proposed Standard 6.3.9);</w:t>
      </w:r>
    </w:p>
    <w:p w:rsidR="00110E9A" w:rsidRPr="00D946BC" w:rsidRDefault="00110E9A" w:rsidP="00202816">
      <w:pPr>
        <w:pStyle w:val="ListParagraph"/>
        <w:numPr>
          <w:ilvl w:val="0"/>
          <w:numId w:val="52"/>
        </w:numPr>
        <w:spacing w:after="80"/>
        <w:ind w:left="425" w:hanging="425"/>
        <w:contextualSpacing w:val="0"/>
        <w:jc w:val="both"/>
      </w:pPr>
      <w:r w:rsidRPr="00054CD3">
        <w:rPr>
          <w:i/>
        </w:rPr>
        <w:lastRenderedPageBreak/>
        <w:t>Owners taking responsibility for the initial rehabilitation and rehoming:</w:t>
      </w:r>
      <w:r>
        <w:t xml:space="preserve"> this requirement is to improve incentives throughout the greyhound’s life for improving rehoming potential, reduce the overall costs of rehoming, and increase the likelihood of more dogs being rehomed. </w:t>
      </w:r>
      <w:r w:rsidRPr="00110E9A">
        <w:t>Currently the average length of time that a dog is in the GAP program is 42 days</w:t>
      </w:r>
      <w:r w:rsidR="00E139D1">
        <w:t xml:space="preserve"> (which includes foster to adopt and long term stayers) with an average of 14 days in kennel facilities</w:t>
      </w:r>
      <w:r w:rsidRPr="00110E9A">
        <w:t>, new programs under the proposed code</w:t>
      </w:r>
      <w:r w:rsidR="006F2CE6">
        <w:t>,</w:t>
      </w:r>
      <w:r w:rsidRPr="00110E9A">
        <w:t xml:space="preserve"> should drop this average down to 7 days, allowing more dogs to move through the GAP program and shift</w:t>
      </w:r>
      <w:r w:rsidR="008572FB">
        <w:t xml:space="preserve"> much of</w:t>
      </w:r>
      <w:r w:rsidRPr="00110E9A">
        <w:t xml:space="preserve"> the cost from GRV to the owner.</w:t>
      </w:r>
      <w:r w:rsidR="007B521C">
        <w:t xml:space="preserve"> </w:t>
      </w:r>
      <w:r w:rsidRPr="00D946BC">
        <w:t>(proposed Standard 6.3.12)</w:t>
      </w:r>
      <w:r>
        <w:t xml:space="preserve"> (for a more detailed discussion of the GAP reform see Section 3.3 of this RIS)</w:t>
      </w:r>
      <w:r w:rsidRPr="00D946BC">
        <w:t>;</w:t>
      </w:r>
    </w:p>
    <w:p w:rsidR="00110E9A" w:rsidRPr="00D946BC" w:rsidRDefault="00110E9A" w:rsidP="00110E9A">
      <w:pPr>
        <w:pStyle w:val="ListParagraph"/>
        <w:numPr>
          <w:ilvl w:val="0"/>
          <w:numId w:val="52"/>
        </w:numPr>
        <w:spacing w:after="80"/>
        <w:ind w:left="425" w:hanging="425"/>
        <w:contextualSpacing w:val="0"/>
        <w:jc w:val="both"/>
      </w:pPr>
      <w:r w:rsidRPr="00054CD3">
        <w:rPr>
          <w:i/>
        </w:rPr>
        <w:t>Perimeter fencing requirements:</w:t>
      </w:r>
      <w:r>
        <w:t xml:space="preserve"> helps to prevent dogs </w:t>
      </w:r>
      <w:r w:rsidRPr="00D946BC">
        <w:t>leav</w:t>
      </w:r>
      <w:r>
        <w:t>ing</w:t>
      </w:r>
      <w:r w:rsidRPr="00D946BC">
        <w:t xml:space="preserve"> the premises and </w:t>
      </w:r>
      <w:r>
        <w:t>being</w:t>
      </w:r>
      <w:r w:rsidRPr="00D946BC">
        <w:t xml:space="preserve"> exposed to welfare and safety risks (proposed Standard 6.6.4);</w:t>
      </w:r>
    </w:p>
    <w:p w:rsidR="00110E9A" w:rsidRPr="00D946BC" w:rsidRDefault="00110E9A" w:rsidP="00110E9A">
      <w:pPr>
        <w:pStyle w:val="ListParagraph"/>
        <w:numPr>
          <w:ilvl w:val="0"/>
          <w:numId w:val="52"/>
        </w:numPr>
        <w:spacing w:after="80"/>
        <w:ind w:left="425" w:hanging="425"/>
        <w:contextualSpacing w:val="0"/>
        <w:jc w:val="both"/>
      </w:pPr>
      <w:r w:rsidRPr="00054CD3">
        <w:rPr>
          <w:i/>
        </w:rPr>
        <w:t>Adequate weather proofing of outdoor housing and raised sleeping</w:t>
      </w:r>
      <w:r w:rsidRPr="00D946BC">
        <w:t xml:space="preserve"> beds</w:t>
      </w:r>
      <w:r>
        <w:t>: improving the adequacy of housing and bedding is designed to improve dogs’ health, safety and alleviate stress</w:t>
      </w:r>
      <w:r w:rsidRPr="00D946BC">
        <w:t xml:space="preserve"> (proposed Standard 6.6.5);</w:t>
      </w:r>
    </w:p>
    <w:p w:rsidR="00110E9A" w:rsidRPr="00D946BC" w:rsidRDefault="00110E9A" w:rsidP="00110E9A">
      <w:pPr>
        <w:pStyle w:val="ListParagraph"/>
        <w:numPr>
          <w:ilvl w:val="0"/>
          <w:numId w:val="52"/>
        </w:numPr>
        <w:spacing w:after="80"/>
        <w:ind w:left="425" w:hanging="425"/>
        <w:contextualSpacing w:val="0"/>
        <w:jc w:val="both"/>
      </w:pPr>
      <w:r w:rsidRPr="00054CD3">
        <w:rPr>
          <w:i/>
        </w:rPr>
        <w:t>Indoor kennel facilities improvements, including sleeping areas with solid partitions:</w:t>
      </w:r>
      <w:r w:rsidR="007B521C">
        <w:t xml:space="preserve"> </w:t>
      </w:r>
      <w:r w:rsidRPr="00D946BC">
        <w:t>welfare benefits in terms of space and security from other dogs (propose Standard 6.6.6); and</w:t>
      </w:r>
    </w:p>
    <w:p w:rsidR="00110E9A" w:rsidRDefault="00110E9A" w:rsidP="00110E9A">
      <w:pPr>
        <w:pStyle w:val="ListParagraph"/>
        <w:numPr>
          <w:ilvl w:val="0"/>
          <w:numId w:val="52"/>
        </w:numPr>
        <w:spacing w:after="80"/>
        <w:ind w:left="425" w:hanging="425"/>
        <w:contextualSpacing w:val="0"/>
        <w:jc w:val="both"/>
      </w:pPr>
      <w:r w:rsidRPr="00054CD3">
        <w:rPr>
          <w:i/>
        </w:rPr>
        <w:t>GRV notifications of transfer between properties</w:t>
      </w:r>
      <w:r>
        <w:t>: assist with administration and enforcement of the Code, so that non-compliance and welfare risks can be identified</w:t>
      </w:r>
      <w:r w:rsidRPr="00D946BC">
        <w:t xml:space="preserve"> (proposed Standard 7.1).</w:t>
      </w:r>
    </w:p>
    <w:p w:rsidR="00E74CA0" w:rsidRPr="00D946BC" w:rsidRDefault="00E74CA0" w:rsidP="00E74CA0">
      <w:pPr>
        <w:spacing w:after="80"/>
        <w:jc w:val="both"/>
      </w:pPr>
    </w:p>
    <w:tbl>
      <w:tblPr>
        <w:tblW w:w="0" w:type="auto"/>
        <w:tblLook w:val="04A0" w:firstRow="1" w:lastRow="0" w:firstColumn="1" w:lastColumn="0" w:noHBand="0" w:noVBand="1"/>
      </w:tblPr>
      <w:tblGrid>
        <w:gridCol w:w="8437"/>
      </w:tblGrid>
      <w:tr w:rsidR="00E74CA0" w:rsidTr="00E74CA0">
        <w:tc>
          <w:tcPr>
            <w:tcW w:w="8437" w:type="dxa"/>
            <w:shd w:val="clear" w:color="auto" w:fill="D9D9D9" w:themeFill="background1" w:themeFillShade="D9"/>
          </w:tcPr>
          <w:p w:rsidR="00E74CA0" w:rsidRPr="00E74CA0" w:rsidRDefault="00E74CA0" w:rsidP="00E74CA0">
            <w:pPr>
              <w:rPr>
                <w:rFonts w:eastAsia="Times New Roman"/>
                <w:b/>
              </w:rPr>
            </w:pPr>
            <w:r w:rsidRPr="00E74CA0">
              <w:rPr>
                <w:rFonts w:eastAsia="Times New Roman"/>
                <w:b/>
              </w:rPr>
              <w:t>Comment by GRV;</w:t>
            </w:r>
          </w:p>
          <w:p w:rsidR="00E74CA0" w:rsidRPr="00E74CA0" w:rsidRDefault="00E74CA0" w:rsidP="00110E9A">
            <w:pPr>
              <w:rPr>
                <w:rFonts w:eastAsia="Times New Roman"/>
              </w:rPr>
            </w:pPr>
            <w:r w:rsidRPr="00E74CA0">
              <w:rPr>
                <w:rFonts w:eastAsia="Times New Roman"/>
              </w:rPr>
              <w:t xml:space="preserve">Extensive work has already </w:t>
            </w:r>
            <w:r w:rsidR="00D17142">
              <w:rPr>
                <w:rFonts w:eastAsia="Times New Roman"/>
              </w:rPr>
              <w:t xml:space="preserve">been </w:t>
            </w:r>
            <w:r w:rsidRPr="00E74CA0">
              <w:rPr>
                <w:rFonts w:eastAsia="Times New Roman"/>
              </w:rPr>
              <w:t>undertaken by GRV to improve rehoming of greyhounds</w:t>
            </w:r>
            <w:r>
              <w:rPr>
                <w:rFonts w:eastAsia="Times New Roman"/>
              </w:rPr>
              <w:t>.</w:t>
            </w:r>
          </w:p>
        </w:tc>
      </w:tr>
    </w:tbl>
    <w:p w:rsidR="00110E9A" w:rsidRPr="00D946BC" w:rsidRDefault="00110E9A" w:rsidP="00F4329F"/>
    <w:p w:rsidR="0067241A" w:rsidRPr="00AB74F5" w:rsidRDefault="0067241A" w:rsidP="00AB74F5">
      <w:pPr>
        <w:pStyle w:val="H13pt"/>
      </w:pPr>
      <w:bookmarkStart w:id="11" w:name="_Toc477190130"/>
      <w:r w:rsidRPr="00AB74F5">
        <w:t>Problems to be addressed</w:t>
      </w:r>
      <w:bookmarkEnd w:id="11"/>
    </w:p>
    <w:p w:rsidR="0067241A" w:rsidRPr="00B87973" w:rsidRDefault="0067241A" w:rsidP="00AB74F5">
      <w:pPr>
        <w:pStyle w:val="H11italic"/>
      </w:pPr>
      <w:bookmarkStart w:id="12" w:name="_Toc477190131"/>
      <w:r w:rsidRPr="00B87973">
        <w:t>Risks to animal welfare and quality of life</w:t>
      </w:r>
      <w:bookmarkEnd w:id="12"/>
      <w:r w:rsidRPr="00B87973">
        <w:t xml:space="preserve"> </w:t>
      </w:r>
    </w:p>
    <w:p w:rsidR="0067241A" w:rsidRDefault="0067241A" w:rsidP="0042749A">
      <w:pPr>
        <w:jc w:val="both"/>
        <w:rPr>
          <w:color w:val="000000" w:themeColor="text1"/>
        </w:rPr>
      </w:pPr>
      <w:r w:rsidRPr="00065755">
        <w:t>Notwithstanding the legislation in various Acts of Parliament, in Local Rules and the Greyhound Australasia Rules, there is</w:t>
      </w:r>
      <w:r w:rsidR="005C512A">
        <w:t xml:space="preserve"> currently</w:t>
      </w:r>
      <w:r w:rsidRPr="00065755">
        <w:t xml:space="preserve"> no </w:t>
      </w:r>
      <w:r w:rsidR="005C512A">
        <w:t xml:space="preserve">clear </w:t>
      </w:r>
      <w:r w:rsidRPr="00065755">
        <w:t xml:space="preserve">requirement for veterinary oversight of a holistic health management plan for </w:t>
      </w:r>
      <w:r w:rsidR="000924B2">
        <w:t>a</w:t>
      </w:r>
      <w:r w:rsidRPr="00065755">
        <w:t xml:space="preserve"> </w:t>
      </w:r>
      <w:r w:rsidR="000924B2">
        <w:t>greyhound</w:t>
      </w:r>
      <w:r w:rsidRPr="00065755">
        <w:t xml:space="preserve"> </w:t>
      </w:r>
      <w:r w:rsidR="000924B2">
        <w:t>establishment,</w:t>
      </w:r>
      <w:r w:rsidRPr="00065755">
        <w:t xml:space="preserve"> no matter how big or small. </w:t>
      </w:r>
      <w:r w:rsidR="00AC2670">
        <w:t>According to information provided to the department during consultation with the greyhound industry, t</w:t>
      </w:r>
      <w:r w:rsidRPr="00065755">
        <w:t>he industry is made up of mostly small owners with 1</w:t>
      </w:r>
      <w:r>
        <w:t xml:space="preserve"> to </w:t>
      </w:r>
      <w:r w:rsidRPr="00065755">
        <w:t xml:space="preserve">2 dogs and knowledge is </w:t>
      </w:r>
      <w:r w:rsidR="006F2CE6">
        <w:t xml:space="preserve">generally </w:t>
      </w:r>
      <w:r w:rsidRPr="00065755">
        <w:t>passed on between relatives or friends</w:t>
      </w:r>
      <w:r w:rsidR="000924B2">
        <w:t xml:space="preserve"> and is</w:t>
      </w:r>
      <w:r w:rsidRPr="00065755">
        <w:t xml:space="preserve"> deeply guarded to protect ‘a winning formula’</w:t>
      </w:r>
      <w:r w:rsidR="000924B2">
        <w:t>.</w:t>
      </w:r>
      <w:r w:rsidRPr="00065755">
        <w:t xml:space="preserve"> </w:t>
      </w:r>
      <w:r w:rsidR="000924B2">
        <w:t>Therefore</w:t>
      </w:r>
      <w:r w:rsidRPr="00065755">
        <w:t xml:space="preserve"> there is a great risk that small size owners do not ha</w:t>
      </w:r>
      <w:r w:rsidR="000924B2">
        <w:t>ve</w:t>
      </w:r>
      <w:r w:rsidRPr="00065755">
        <w:t xml:space="preserve"> </w:t>
      </w:r>
      <w:r w:rsidR="000924B2">
        <w:t xml:space="preserve">an </w:t>
      </w:r>
      <w:r w:rsidRPr="00065755">
        <w:t>external expert review</w:t>
      </w:r>
      <w:r w:rsidR="000924B2">
        <w:t xml:space="preserve"> </w:t>
      </w:r>
      <w:r w:rsidRPr="00065755">
        <w:t xml:space="preserve">their practices – leaving </w:t>
      </w:r>
      <w:r w:rsidR="000924B2">
        <w:t xml:space="preserve">the </w:t>
      </w:r>
      <w:r w:rsidRPr="00065755">
        <w:t>dogs in their care at risk of poor practice and bad management</w:t>
      </w:r>
      <w:r w:rsidR="000924B2">
        <w:t xml:space="preserve">, which </w:t>
      </w:r>
      <w:r w:rsidR="009A1879">
        <w:t>leads</w:t>
      </w:r>
      <w:r w:rsidR="009A1879" w:rsidRPr="00065755">
        <w:t xml:space="preserve"> to</w:t>
      </w:r>
      <w:r w:rsidRPr="00065755">
        <w:t xml:space="preserve"> health and welfare problems throughout the various stages of </w:t>
      </w:r>
      <w:r w:rsidR="000924B2">
        <w:t>its</w:t>
      </w:r>
      <w:r w:rsidRPr="00065755">
        <w:t xml:space="preserve"> lifecycle</w:t>
      </w:r>
      <w:r w:rsidR="00AC2670">
        <w:t xml:space="preserve">. </w:t>
      </w:r>
      <w:r w:rsidRPr="002C026B">
        <w:rPr>
          <w:color w:val="000000" w:themeColor="text1"/>
        </w:rPr>
        <w:t xml:space="preserve">It is not in the interest of racing dog owners to allow animal welfare to fail significantly as the racing success of dogs </w:t>
      </w:r>
      <w:r w:rsidR="00D8544F">
        <w:rPr>
          <w:color w:val="000000" w:themeColor="text1"/>
        </w:rPr>
        <w:t>c</w:t>
      </w:r>
      <w:r w:rsidR="001749B1">
        <w:rPr>
          <w:color w:val="000000" w:themeColor="text1"/>
        </w:rPr>
        <w:t>ould</w:t>
      </w:r>
      <w:r w:rsidRPr="002C026B">
        <w:rPr>
          <w:color w:val="000000" w:themeColor="text1"/>
        </w:rPr>
        <w:t xml:space="preserve"> be adversely affected</w:t>
      </w:r>
      <w:r w:rsidR="001749B1">
        <w:rPr>
          <w:color w:val="000000" w:themeColor="text1"/>
        </w:rPr>
        <w:t xml:space="preserve"> by health issues arising from poor care</w:t>
      </w:r>
      <w:r w:rsidRPr="002C026B">
        <w:rPr>
          <w:color w:val="000000" w:themeColor="text1"/>
        </w:rPr>
        <w:t>.</w:t>
      </w:r>
      <w:r w:rsidR="007B521C">
        <w:rPr>
          <w:color w:val="000000" w:themeColor="text1"/>
        </w:rPr>
        <w:t xml:space="preserve"> </w:t>
      </w:r>
      <w:r w:rsidR="00D8544F">
        <w:rPr>
          <w:color w:val="000000" w:themeColor="text1"/>
        </w:rPr>
        <w:t xml:space="preserve">In reality, poor management, leading to </w:t>
      </w:r>
      <w:r w:rsidR="008572FB">
        <w:rPr>
          <w:color w:val="000000" w:themeColor="text1"/>
        </w:rPr>
        <w:t>poor</w:t>
      </w:r>
      <w:r w:rsidR="00D8544F">
        <w:rPr>
          <w:color w:val="000000" w:themeColor="text1"/>
        </w:rPr>
        <w:t xml:space="preserve"> welfare outcomes, is most often a result of lack of knowledge and/or resources. </w:t>
      </w:r>
      <w:r w:rsidR="00C66031">
        <w:rPr>
          <w:color w:val="000000" w:themeColor="text1"/>
        </w:rPr>
        <w:t xml:space="preserve">For example, </w:t>
      </w:r>
      <w:r w:rsidR="00D8544F">
        <w:rPr>
          <w:color w:val="000000" w:themeColor="text1"/>
        </w:rPr>
        <w:t xml:space="preserve">participants in charge of dogs </w:t>
      </w:r>
      <w:r w:rsidR="00C66031">
        <w:rPr>
          <w:color w:val="000000" w:themeColor="text1"/>
        </w:rPr>
        <w:t xml:space="preserve">may </w:t>
      </w:r>
      <w:r w:rsidR="00D8544F">
        <w:rPr>
          <w:color w:val="000000" w:themeColor="text1"/>
        </w:rPr>
        <w:t xml:space="preserve">not recognise </w:t>
      </w:r>
      <w:r w:rsidR="00B05DD3">
        <w:rPr>
          <w:color w:val="000000" w:themeColor="text1"/>
        </w:rPr>
        <w:t>poor</w:t>
      </w:r>
      <w:r w:rsidR="00D8544F">
        <w:rPr>
          <w:color w:val="000000" w:themeColor="text1"/>
        </w:rPr>
        <w:t xml:space="preserve"> welfare outcomes (eg stress-related disorders).</w:t>
      </w:r>
      <w:r w:rsidR="003E0EA5">
        <w:rPr>
          <w:color w:val="000000" w:themeColor="text1"/>
        </w:rPr>
        <w:t xml:space="preserve"> </w:t>
      </w:r>
    </w:p>
    <w:p w:rsidR="0067241A" w:rsidRDefault="0067241A" w:rsidP="0042749A">
      <w:pPr>
        <w:jc w:val="both"/>
        <w:rPr>
          <w:color w:val="000000" w:themeColor="text1"/>
        </w:rPr>
      </w:pPr>
    </w:p>
    <w:p w:rsidR="0067241A" w:rsidRDefault="0067241A" w:rsidP="0042749A">
      <w:pPr>
        <w:jc w:val="both"/>
        <w:rPr>
          <w:color w:val="000000" w:themeColor="text1"/>
        </w:rPr>
      </w:pPr>
      <w:r>
        <w:rPr>
          <w:color w:val="000000" w:themeColor="text1"/>
        </w:rPr>
        <w:t>The number of estimated greyhounds affected by individual welfare risks are shown in Table 13</w:t>
      </w:r>
      <w:r w:rsidR="00AC2670">
        <w:rPr>
          <w:color w:val="000000" w:themeColor="text1"/>
        </w:rPr>
        <w:t>.</w:t>
      </w:r>
      <w:r w:rsidR="001749B1">
        <w:rPr>
          <w:color w:val="000000" w:themeColor="text1"/>
        </w:rPr>
        <w:t xml:space="preserve"> </w:t>
      </w:r>
    </w:p>
    <w:p w:rsidR="003A5ABD" w:rsidRDefault="003A5ABD" w:rsidP="0042749A">
      <w:pPr>
        <w:jc w:val="both"/>
        <w:rPr>
          <w:color w:val="000000" w:themeColor="text1"/>
        </w:rPr>
      </w:pPr>
    </w:p>
    <w:p w:rsidR="00B87973" w:rsidRDefault="00B87973">
      <w:pPr>
        <w:rPr>
          <w:b/>
          <w:sz w:val="20"/>
          <w:szCs w:val="20"/>
        </w:rPr>
      </w:pPr>
      <w:r>
        <w:rPr>
          <w:b/>
          <w:sz w:val="20"/>
          <w:szCs w:val="20"/>
        </w:rPr>
        <w:br w:type="page"/>
      </w:r>
    </w:p>
    <w:p w:rsidR="0067241A" w:rsidRDefault="0067241A" w:rsidP="0067241A">
      <w:pPr>
        <w:jc w:val="center"/>
        <w:rPr>
          <w:b/>
          <w:sz w:val="20"/>
          <w:szCs w:val="20"/>
        </w:rPr>
      </w:pPr>
      <w:r>
        <w:rPr>
          <w:b/>
          <w:sz w:val="20"/>
          <w:szCs w:val="20"/>
        </w:rPr>
        <w:lastRenderedPageBreak/>
        <w:t>Table 13: Estimated No. greyhounds affected by individual welfare risks</w:t>
      </w:r>
      <w:r w:rsidR="00974E02">
        <w:rPr>
          <w:b/>
          <w:sz w:val="20"/>
          <w:szCs w:val="20"/>
        </w:rPr>
        <w:t xml:space="preserve"> </w:t>
      </w:r>
    </w:p>
    <w:p w:rsidR="0067241A" w:rsidRDefault="0067241A" w:rsidP="0067241A">
      <w:pPr>
        <w:jc w:val="center"/>
        <w:rPr>
          <w:b/>
          <w:sz w:val="20"/>
          <w:szCs w:val="20"/>
        </w:rPr>
      </w:pPr>
    </w:p>
    <w:tbl>
      <w:tblPr>
        <w:tblW w:w="8222" w:type="dxa"/>
        <w:tblLook w:val="04A0" w:firstRow="1" w:lastRow="0" w:firstColumn="1" w:lastColumn="0" w:noHBand="0" w:noVBand="1"/>
      </w:tblPr>
      <w:tblGrid>
        <w:gridCol w:w="6237"/>
        <w:gridCol w:w="1985"/>
      </w:tblGrid>
      <w:tr w:rsidR="008572FB" w:rsidRPr="001D151D" w:rsidTr="00B87973">
        <w:trPr>
          <w:trHeight w:val="285"/>
        </w:trPr>
        <w:tc>
          <w:tcPr>
            <w:tcW w:w="6237" w:type="dxa"/>
            <w:tcBorders>
              <w:top w:val="single" w:sz="4" w:space="0" w:color="53565A"/>
              <w:left w:val="nil"/>
              <w:bottom w:val="double" w:sz="4" w:space="0" w:color="53565A"/>
              <w:right w:val="nil"/>
            </w:tcBorders>
            <w:shd w:val="clear" w:color="000000" w:fill="FFFFFF"/>
            <w:noWrap/>
            <w:vAlign w:val="bottom"/>
            <w:hideMark/>
          </w:tcPr>
          <w:p w:rsidR="008572FB" w:rsidRPr="00B87973" w:rsidRDefault="008572FB" w:rsidP="00D05079">
            <w:pPr>
              <w:rPr>
                <w:rFonts w:eastAsia="Times New Roman" w:cs="Calibri"/>
                <w:b/>
                <w:bCs/>
                <w:color w:val="53565A"/>
                <w:sz w:val="20"/>
                <w:szCs w:val="20"/>
                <w:lang w:eastAsia="en-AU"/>
              </w:rPr>
            </w:pPr>
            <w:r w:rsidRPr="00B87973">
              <w:rPr>
                <w:rFonts w:eastAsia="Times New Roman" w:cs="Calibri"/>
                <w:b/>
                <w:bCs/>
                <w:color w:val="53565A"/>
                <w:sz w:val="20"/>
                <w:szCs w:val="20"/>
                <w:lang w:eastAsia="en-AU"/>
              </w:rPr>
              <w:t>Category of potential welfare risk drivers</w:t>
            </w:r>
          </w:p>
        </w:tc>
        <w:tc>
          <w:tcPr>
            <w:tcW w:w="1985" w:type="dxa"/>
            <w:tcBorders>
              <w:top w:val="single" w:sz="4" w:space="0" w:color="53565A"/>
              <w:left w:val="nil"/>
              <w:bottom w:val="double" w:sz="4" w:space="0" w:color="53565A"/>
              <w:right w:val="nil"/>
            </w:tcBorders>
            <w:shd w:val="clear" w:color="000000" w:fill="FFFFFF"/>
            <w:vAlign w:val="bottom"/>
            <w:hideMark/>
          </w:tcPr>
          <w:p w:rsidR="008572FB" w:rsidRPr="00B87973" w:rsidRDefault="008572FB" w:rsidP="00D0507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Estimated population of dogs affected by risk</w:t>
            </w:r>
          </w:p>
        </w:tc>
      </w:tr>
      <w:tr w:rsidR="008572FB" w:rsidRPr="001D151D" w:rsidTr="00B87973">
        <w:trPr>
          <w:trHeight w:val="21"/>
        </w:trPr>
        <w:tc>
          <w:tcPr>
            <w:tcW w:w="6237" w:type="dxa"/>
            <w:tcBorders>
              <w:top w:val="double" w:sz="4" w:space="0" w:color="53565A"/>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Low staff to greyhound ratios in large facilities</w:t>
            </w:r>
          </w:p>
        </w:tc>
        <w:tc>
          <w:tcPr>
            <w:tcW w:w="1985" w:type="dxa"/>
            <w:tcBorders>
              <w:top w:val="double" w:sz="4" w:space="0" w:color="53565A"/>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353</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Lack of independent VET</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Pr>
                <w:sz w:val="20"/>
              </w:rPr>
              <w:t>23</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management plans</w:t>
            </w:r>
            <w:r>
              <w:rPr>
                <w:rFonts w:eastAsia="Times New Roman" w:cs="Calibri"/>
                <w:sz w:val="20"/>
                <w:szCs w:val="20"/>
                <w:lang w:eastAsia="en-AU"/>
              </w:rPr>
              <w:t xml:space="preserve"> at each stage of life</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14,185</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Lack of record keeping</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14,185</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Lack of records of health &amp; transfer</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14,185</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Insufficient food receptacles and hygiene</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5,747</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food storage</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Pr>
                <w:sz w:val="20"/>
              </w:rPr>
              <w:t>320</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checks for breeding females</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451</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checks for all greyhounds</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14,185</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Lack of sufficient bedding for greyhounds 8 to 16 weeks</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2,818</w:t>
            </w:r>
          </w:p>
        </w:tc>
      </w:tr>
      <w:tr w:rsidR="008572FB" w:rsidRPr="001D151D" w:rsidTr="00D05079">
        <w:trPr>
          <w:trHeight w:val="57"/>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Insufficient rearing activities for greyhounds 16 weeks to 18 months</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Pr>
                <w:sz w:val="20"/>
              </w:rPr>
              <w:t>5</w:t>
            </w:r>
            <w:r w:rsidRPr="00ED3E83">
              <w:rPr>
                <w:sz w:val="20"/>
              </w:rPr>
              <w:t>,</w:t>
            </w:r>
            <w:r>
              <w:rPr>
                <w:sz w:val="20"/>
              </w:rPr>
              <w:t>413</w:t>
            </w:r>
          </w:p>
        </w:tc>
      </w:tr>
      <w:tr w:rsidR="008572FB" w:rsidRPr="001D151D" w:rsidTr="00D05079">
        <w:trPr>
          <w:trHeight w:val="255"/>
        </w:trPr>
        <w:tc>
          <w:tcPr>
            <w:tcW w:w="6237" w:type="dxa"/>
            <w:tcBorders>
              <w:top w:val="nil"/>
              <w:left w:val="nil"/>
              <w:bottom w:val="nil"/>
              <w:right w:val="nil"/>
            </w:tcBorders>
            <w:shd w:val="clear" w:color="000000" w:fill="FFFFFF"/>
            <w:noWrap/>
            <w:vAlign w:val="bottom"/>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Insufficient perimeter fencing</w:t>
            </w:r>
          </w:p>
        </w:tc>
        <w:tc>
          <w:tcPr>
            <w:tcW w:w="1985" w:type="dxa"/>
            <w:tcBorders>
              <w:top w:val="nil"/>
              <w:left w:val="nil"/>
              <w:bottom w:val="nil"/>
              <w:right w:val="nil"/>
            </w:tcBorders>
            <w:shd w:val="clear" w:color="000000" w:fill="FFFFFF"/>
            <w:noWrap/>
          </w:tcPr>
          <w:p w:rsidR="008572FB" w:rsidRPr="00ED3E83" w:rsidRDefault="008572FB" w:rsidP="00D05079">
            <w:pPr>
              <w:jc w:val="right"/>
              <w:rPr>
                <w:sz w:val="20"/>
              </w:rPr>
            </w:pPr>
            <w:r w:rsidRPr="00ED3E83">
              <w:rPr>
                <w:sz w:val="20"/>
              </w:rPr>
              <w:t>14,185</w:t>
            </w:r>
          </w:p>
        </w:tc>
      </w:tr>
      <w:tr w:rsidR="008572FB" w:rsidRPr="001D151D" w:rsidTr="00D05079">
        <w:trPr>
          <w:trHeight w:val="255"/>
        </w:trPr>
        <w:tc>
          <w:tcPr>
            <w:tcW w:w="6237" w:type="dxa"/>
            <w:tcBorders>
              <w:top w:val="nil"/>
              <w:left w:val="nil"/>
              <w:bottom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Insufficient outdoor housing</w:t>
            </w:r>
          </w:p>
        </w:tc>
        <w:tc>
          <w:tcPr>
            <w:tcW w:w="1985" w:type="dxa"/>
            <w:tcBorders>
              <w:top w:val="nil"/>
              <w:left w:val="nil"/>
              <w:bottom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2,706</w:t>
            </w:r>
          </w:p>
        </w:tc>
      </w:tr>
      <w:tr w:rsidR="008572FB" w:rsidRPr="001D151D" w:rsidTr="00B87973">
        <w:trPr>
          <w:trHeight w:val="255"/>
        </w:trPr>
        <w:tc>
          <w:tcPr>
            <w:tcW w:w="6237" w:type="dxa"/>
            <w:tcBorders>
              <w:top w:val="nil"/>
              <w:left w:val="nil"/>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sidRPr="001D151D">
              <w:rPr>
                <w:rFonts w:eastAsia="Times New Roman" w:cs="Calibri"/>
                <w:sz w:val="20"/>
                <w:szCs w:val="20"/>
                <w:lang w:eastAsia="en-AU"/>
              </w:rPr>
              <w:t>Insufficient indoor housing</w:t>
            </w:r>
          </w:p>
        </w:tc>
        <w:tc>
          <w:tcPr>
            <w:tcW w:w="1985" w:type="dxa"/>
            <w:tcBorders>
              <w:top w:val="nil"/>
              <w:left w:val="nil"/>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3,374</w:t>
            </w:r>
          </w:p>
        </w:tc>
      </w:tr>
      <w:tr w:rsidR="008572FB" w:rsidRPr="001D151D" w:rsidTr="00B87973">
        <w:trPr>
          <w:trHeight w:val="255"/>
        </w:trPr>
        <w:tc>
          <w:tcPr>
            <w:tcW w:w="6237" w:type="dxa"/>
            <w:tcBorders>
              <w:top w:val="nil"/>
              <w:left w:val="nil"/>
              <w:bottom w:val="single" w:sz="4" w:space="0" w:color="53565A"/>
              <w:right w:val="nil"/>
            </w:tcBorders>
            <w:shd w:val="clear" w:color="000000" w:fill="FFFFFF"/>
            <w:noWrap/>
            <w:vAlign w:val="bottom"/>
            <w:hideMark/>
          </w:tcPr>
          <w:p w:rsidR="008572FB" w:rsidRPr="001D151D" w:rsidRDefault="008572FB" w:rsidP="00D05079">
            <w:pPr>
              <w:rPr>
                <w:rFonts w:eastAsia="Times New Roman" w:cs="Calibri"/>
                <w:sz w:val="20"/>
                <w:szCs w:val="20"/>
                <w:lang w:eastAsia="en-AU"/>
              </w:rPr>
            </w:pPr>
            <w:r>
              <w:rPr>
                <w:rFonts w:eastAsia="Times New Roman" w:cs="Calibri"/>
                <w:sz w:val="20"/>
                <w:szCs w:val="20"/>
                <w:lang w:eastAsia="en-AU"/>
              </w:rPr>
              <w:t>Failure to notify GRV of s</w:t>
            </w:r>
            <w:r w:rsidRPr="001D151D">
              <w:rPr>
                <w:rFonts w:eastAsia="Times New Roman" w:cs="Calibri"/>
                <w:sz w:val="20"/>
                <w:szCs w:val="20"/>
                <w:lang w:eastAsia="en-AU"/>
              </w:rPr>
              <w:t xml:space="preserve">ale and transfer </w:t>
            </w:r>
            <w:r>
              <w:rPr>
                <w:rFonts w:eastAsia="Times New Roman" w:cs="Calibri"/>
                <w:sz w:val="20"/>
                <w:szCs w:val="20"/>
                <w:lang w:eastAsia="en-AU"/>
              </w:rPr>
              <w:t xml:space="preserve">of greyhound </w:t>
            </w:r>
            <w:r w:rsidRPr="001D151D">
              <w:rPr>
                <w:rFonts w:eastAsia="Times New Roman" w:cs="Calibri"/>
                <w:sz w:val="20"/>
                <w:szCs w:val="20"/>
                <w:lang w:eastAsia="en-AU"/>
              </w:rPr>
              <w:t>out of the industry</w:t>
            </w:r>
          </w:p>
        </w:tc>
        <w:tc>
          <w:tcPr>
            <w:tcW w:w="1985" w:type="dxa"/>
            <w:tcBorders>
              <w:top w:val="nil"/>
              <w:left w:val="nil"/>
              <w:bottom w:val="single" w:sz="4" w:space="0" w:color="53565A"/>
              <w:right w:val="nil"/>
            </w:tcBorders>
            <w:shd w:val="clear" w:color="000000" w:fill="FFFFFF"/>
            <w:noWrap/>
            <w:hideMark/>
          </w:tcPr>
          <w:p w:rsidR="008572FB" w:rsidRPr="00ED3E83" w:rsidRDefault="008572FB" w:rsidP="00D05079">
            <w:pPr>
              <w:jc w:val="right"/>
              <w:rPr>
                <w:rFonts w:eastAsia="Times New Roman" w:cs="Calibri"/>
                <w:sz w:val="20"/>
                <w:szCs w:val="20"/>
                <w:lang w:eastAsia="en-AU"/>
              </w:rPr>
            </w:pPr>
            <w:r w:rsidRPr="00ED3E83">
              <w:rPr>
                <w:sz w:val="20"/>
              </w:rPr>
              <w:t>3,667</w:t>
            </w:r>
          </w:p>
        </w:tc>
      </w:tr>
    </w:tbl>
    <w:p w:rsidR="0067241A" w:rsidRDefault="0067241A" w:rsidP="0042749A">
      <w:pPr>
        <w:jc w:val="both"/>
      </w:pPr>
    </w:p>
    <w:tbl>
      <w:tblPr>
        <w:tblW w:w="0" w:type="auto"/>
        <w:tblLook w:val="04A0" w:firstRow="1" w:lastRow="0" w:firstColumn="1" w:lastColumn="0" w:noHBand="0" w:noVBand="1"/>
      </w:tblPr>
      <w:tblGrid>
        <w:gridCol w:w="8437"/>
      </w:tblGrid>
      <w:tr w:rsidR="0071436D" w:rsidTr="0071436D">
        <w:tc>
          <w:tcPr>
            <w:tcW w:w="8437" w:type="dxa"/>
            <w:shd w:val="clear" w:color="auto" w:fill="D9D9D9" w:themeFill="background1" w:themeFillShade="D9"/>
          </w:tcPr>
          <w:p w:rsidR="0071436D" w:rsidRDefault="0071436D" w:rsidP="00417B3F">
            <w:pPr>
              <w:rPr>
                <w:b/>
              </w:rPr>
            </w:pPr>
            <w:r>
              <w:rPr>
                <w:b/>
              </w:rPr>
              <w:t>Comment by GRV</w:t>
            </w:r>
            <w:r w:rsidRPr="00457D62">
              <w:rPr>
                <w:b/>
              </w:rPr>
              <w:t>;</w:t>
            </w:r>
          </w:p>
          <w:p w:rsidR="0071436D" w:rsidRDefault="00D17142" w:rsidP="0071436D">
            <w:pPr>
              <w:jc w:val="both"/>
            </w:pPr>
            <w:r>
              <w:rPr>
                <w:color w:val="000000" w:themeColor="text1"/>
              </w:rPr>
              <w:t>GRV note</w:t>
            </w:r>
            <w:r w:rsidR="0071436D">
              <w:rPr>
                <w:color w:val="000000" w:themeColor="text1"/>
              </w:rPr>
              <w:t xml:space="preserve"> this table shows the total greyhound population potentially at risk due to current animal welfare requirements, it does not identify whether or not a greyhound would actually be affected by the risk nor the potential of the risk to translate into an animal welfare issue.</w:t>
            </w:r>
          </w:p>
        </w:tc>
      </w:tr>
    </w:tbl>
    <w:p w:rsidR="0071436D" w:rsidRDefault="0071436D" w:rsidP="0042749A">
      <w:pPr>
        <w:jc w:val="both"/>
      </w:pPr>
    </w:p>
    <w:p w:rsidR="0067241A" w:rsidRPr="0042749A" w:rsidRDefault="0067241A" w:rsidP="00AB74F5">
      <w:pPr>
        <w:pStyle w:val="H11italic"/>
      </w:pPr>
      <w:bookmarkStart w:id="13" w:name="_Toc477190132"/>
      <w:r w:rsidRPr="0042749A">
        <w:t>Inadequate rehoming potential</w:t>
      </w:r>
      <w:bookmarkEnd w:id="13"/>
    </w:p>
    <w:p w:rsidR="00493B99" w:rsidRDefault="00974E02" w:rsidP="0071436D">
      <w:pPr>
        <w:jc w:val="both"/>
        <w:rPr>
          <w:rFonts w:cs="Arial-BoldMT"/>
          <w:bCs/>
        </w:rPr>
      </w:pPr>
      <w:r>
        <w:t xml:space="preserve">The sport of greyhound racing is focused on </w:t>
      </w:r>
      <w:r w:rsidR="00493B99">
        <w:t xml:space="preserve">greyhounds </w:t>
      </w:r>
      <w:r>
        <w:t xml:space="preserve">being </w:t>
      </w:r>
      <w:r w:rsidR="00493B99" w:rsidRPr="00EF7E3B">
        <w:t xml:space="preserve">‘raised to race’ </w:t>
      </w:r>
      <w:r w:rsidR="00CE6389">
        <w:t>with the potential for less consideration being given to raising a greyhound to be rehomed</w:t>
      </w:r>
      <w:r w:rsidR="0071436D">
        <w:t xml:space="preserve"> and</w:t>
      </w:r>
      <w:r w:rsidR="00044E65">
        <w:t xml:space="preserve"> to their life post racing</w:t>
      </w:r>
      <w:r w:rsidR="0071436D">
        <w:t xml:space="preserve">. </w:t>
      </w:r>
      <w:r w:rsidR="007E4D01">
        <w:t>In their</w:t>
      </w:r>
      <w:r w:rsidR="00047885">
        <w:t xml:space="preserve"> paper titled</w:t>
      </w:r>
      <w:r w:rsidR="0071436D">
        <w:t xml:space="preserve"> </w:t>
      </w:r>
      <w:r w:rsidR="00047885" w:rsidRPr="00047885">
        <w:rPr>
          <w:b/>
        </w:rPr>
        <w:t>“</w:t>
      </w:r>
      <w:r w:rsidR="0071436D" w:rsidRPr="0071436D">
        <w:rPr>
          <w:b/>
          <w:bCs/>
        </w:rPr>
        <w:t>Improving the welfare of the racing greyhound – A GRV</w:t>
      </w:r>
      <w:r w:rsidR="00047885">
        <w:rPr>
          <w:b/>
          <w:bCs/>
        </w:rPr>
        <w:t xml:space="preserve"> </w:t>
      </w:r>
      <w:r w:rsidR="0071436D" w:rsidRPr="0071436D">
        <w:rPr>
          <w:b/>
          <w:bCs/>
        </w:rPr>
        <w:t>perspective</w:t>
      </w:r>
      <w:r w:rsidR="00047885">
        <w:rPr>
          <w:b/>
          <w:bCs/>
        </w:rPr>
        <w:t>”</w:t>
      </w:r>
      <w:r w:rsidR="0071436D" w:rsidRPr="0071436D">
        <w:t xml:space="preserve">, Greyhound Racing Victoria </w:t>
      </w:r>
      <w:r w:rsidR="00047885">
        <w:t>considers this to</w:t>
      </w:r>
      <w:r>
        <w:t xml:space="preserve"> be a significant factor in </w:t>
      </w:r>
      <w:r w:rsidR="00493B99" w:rsidRPr="00EF7E3B">
        <w:t>many greyhounds</w:t>
      </w:r>
      <w:r w:rsidR="00493B99" w:rsidRPr="00EF7E3B">
        <w:rPr>
          <w:i/>
        </w:rPr>
        <w:t xml:space="preserve"> </w:t>
      </w:r>
      <w:r w:rsidRPr="007E4D01">
        <w:t>which</w:t>
      </w:r>
      <w:r>
        <w:rPr>
          <w:i/>
        </w:rPr>
        <w:t xml:space="preserve"> </w:t>
      </w:r>
      <w:r w:rsidR="00493B99" w:rsidRPr="00EF7E3B">
        <w:rPr>
          <w:i/>
        </w:rPr>
        <w:t>‘are not suitable for re-homing due to injury, disease or temperament issues’</w:t>
      </w:r>
      <w:r w:rsidR="0071436D">
        <w:rPr>
          <w:i/>
        </w:rPr>
        <w:t xml:space="preserve">. </w:t>
      </w:r>
      <w:r w:rsidR="00493B99" w:rsidRPr="00EF7E3B">
        <w:rPr>
          <w:rFonts w:cs="Arial-BoldMT"/>
          <w:bCs/>
        </w:rPr>
        <w:t xml:space="preserve">Lack of adequate socialisation may also make </w:t>
      </w:r>
      <w:r w:rsidR="00493B99">
        <w:rPr>
          <w:rFonts w:cs="Arial-BoldMT"/>
          <w:bCs/>
        </w:rPr>
        <w:t xml:space="preserve">dogs less suitable for </w:t>
      </w:r>
      <w:r w:rsidR="00493B99" w:rsidRPr="00EF7E3B">
        <w:rPr>
          <w:rFonts w:cs="Arial-BoldMT"/>
          <w:bCs/>
        </w:rPr>
        <w:t>rehom</w:t>
      </w:r>
      <w:r w:rsidR="00493B99">
        <w:rPr>
          <w:rFonts w:cs="Arial-BoldMT"/>
          <w:bCs/>
        </w:rPr>
        <w:t>ing once</w:t>
      </w:r>
      <w:r w:rsidR="00493B99" w:rsidRPr="00EF7E3B">
        <w:rPr>
          <w:rFonts w:cs="Arial-BoldMT"/>
          <w:bCs/>
        </w:rPr>
        <w:t xml:space="preserve"> retired or </w:t>
      </w:r>
      <w:r w:rsidR="000924B2">
        <w:rPr>
          <w:rFonts w:cs="Arial-BoldMT"/>
          <w:bCs/>
        </w:rPr>
        <w:t>no longer required</w:t>
      </w:r>
      <w:r w:rsidR="00493B99">
        <w:rPr>
          <w:rFonts w:cs="Arial-BoldMT"/>
          <w:bCs/>
        </w:rPr>
        <w:t xml:space="preserve"> for racing purposes.</w:t>
      </w:r>
      <w:r w:rsidR="00493B99" w:rsidRPr="00EF7E3B">
        <w:rPr>
          <w:rFonts w:cs="Arial-BoldMT"/>
          <w:bCs/>
        </w:rPr>
        <w:t xml:space="preserve"> </w:t>
      </w:r>
    </w:p>
    <w:p w:rsidR="00493B99" w:rsidRDefault="00493B99" w:rsidP="00493B99">
      <w:pPr>
        <w:jc w:val="both"/>
        <w:rPr>
          <w:rFonts w:cs="Arial-BoldMT"/>
          <w:bCs/>
        </w:rPr>
      </w:pPr>
    </w:p>
    <w:p w:rsidR="00044E65" w:rsidRDefault="00493B99" w:rsidP="00047885">
      <w:pPr>
        <w:jc w:val="both"/>
      </w:pPr>
      <w:r>
        <w:t xml:space="preserve">The current risk is that </w:t>
      </w:r>
      <w:r w:rsidR="0076564A">
        <w:t>wherever greyhounds leave the industry</w:t>
      </w:r>
      <w:r>
        <w:t xml:space="preserve"> during the</w:t>
      </w:r>
      <w:r w:rsidR="000924B2">
        <w:t>ir</w:t>
      </w:r>
      <w:r>
        <w:t xml:space="preserve"> lifecycle, </w:t>
      </w:r>
      <w:r w:rsidR="0002125E">
        <w:t>their</w:t>
      </w:r>
      <w:r>
        <w:t xml:space="preserve"> potential for rehoming </w:t>
      </w:r>
      <w:r w:rsidR="0002125E">
        <w:t xml:space="preserve">is </w:t>
      </w:r>
      <w:r w:rsidR="00F831BF">
        <w:t>not maximised</w:t>
      </w:r>
      <w:r>
        <w:t>.</w:t>
      </w:r>
      <w:r w:rsidR="007B521C">
        <w:t xml:space="preserve"> </w:t>
      </w:r>
    </w:p>
    <w:p w:rsidR="00047885" w:rsidRDefault="00047885" w:rsidP="00047885">
      <w:pPr>
        <w:jc w:val="both"/>
      </w:pPr>
    </w:p>
    <w:tbl>
      <w:tblPr>
        <w:tblW w:w="0" w:type="auto"/>
        <w:tblLook w:val="04A0" w:firstRow="1" w:lastRow="0" w:firstColumn="1" w:lastColumn="0" w:noHBand="0" w:noVBand="1"/>
      </w:tblPr>
      <w:tblGrid>
        <w:gridCol w:w="8437"/>
      </w:tblGrid>
      <w:tr w:rsidR="00047885" w:rsidRPr="00047885" w:rsidTr="00047885">
        <w:tc>
          <w:tcPr>
            <w:tcW w:w="8437" w:type="dxa"/>
            <w:shd w:val="clear" w:color="auto" w:fill="D9D9D9" w:themeFill="background1" w:themeFillShade="D9"/>
          </w:tcPr>
          <w:p w:rsidR="00047885" w:rsidRPr="00047885" w:rsidRDefault="00047885" w:rsidP="00047885">
            <w:pPr>
              <w:rPr>
                <w:b/>
              </w:rPr>
            </w:pPr>
            <w:r w:rsidRPr="00047885">
              <w:rPr>
                <w:b/>
              </w:rPr>
              <w:t>Comment by GRV;</w:t>
            </w:r>
          </w:p>
          <w:p w:rsidR="00047885" w:rsidRPr="00047885" w:rsidRDefault="00047885" w:rsidP="00E139D1">
            <w:pPr>
              <w:rPr>
                <w:color w:val="000000" w:themeColor="text1"/>
              </w:rPr>
            </w:pPr>
            <w:r w:rsidRPr="00047885">
              <w:rPr>
                <w:color w:val="000000" w:themeColor="text1"/>
              </w:rPr>
              <w:t>GRV is currently delivering a number of initiatives which are already improving rehoming outcomes.</w:t>
            </w:r>
          </w:p>
        </w:tc>
      </w:tr>
    </w:tbl>
    <w:p w:rsidR="00044E65" w:rsidRPr="00047885" w:rsidRDefault="00044E65" w:rsidP="00E139D1"/>
    <w:p w:rsidR="00493B99" w:rsidRPr="00EF7E3B" w:rsidRDefault="00044E65" w:rsidP="00E139D1">
      <w:pPr>
        <w:rPr>
          <w:rFonts w:cs="Arial-BoldMT"/>
          <w:bCs/>
        </w:rPr>
      </w:pPr>
      <w:r>
        <w:t>T</w:t>
      </w:r>
      <w:r w:rsidR="00493B99">
        <w:t xml:space="preserve">he </w:t>
      </w:r>
      <w:r w:rsidR="00F960FE">
        <w:t>primary objective of th</w:t>
      </w:r>
      <w:r w:rsidR="00D8544F">
        <w:t xml:space="preserve">e proposed </w:t>
      </w:r>
      <w:r w:rsidR="00F960FE">
        <w:t xml:space="preserve">Code </w:t>
      </w:r>
      <w:r w:rsidR="00493B99">
        <w:t xml:space="preserve">is to look at whether greyhounds, wherever they are in the lifecycle, are suitable for </w:t>
      </w:r>
      <w:r w:rsidR="00D8544F">
        <w:t>rehoming</w:t>
      </w:r>
      <w:r w:rsidR="00F960FE">
        <w:t>, rather than necessarily to successfully rehome a greater number of greyhounds – this is the focus of other GRV strategies</w:t>
      </w:r>
      <w:r w:rsidR="00CE6389">
        <w:t xml:space="preserve"> which are pursuing a significant increase in rehoming</w:t>
      </w:r>
      <w:r w:rsidR="00493B99">
        <w:t>.</w:t>
      </w:r>
      <w:r w:rsidR="007B521C">
        <w:t xml:space="preserve"> </w:t>
      </w:r>
      <w:r w:rsidR="00493B99">
        <w:t>Of the 5,353 reported greyhounds being retired per annum on average</w:t>
      </w:r>
      <w:r w:rsidR="00F831BF">
        <w:t>,</w:t>
      </w:r>
      <w:r w:rsidR="00493B99">
        <w:t xml:space="preserve"> between 2013-14 and 2015-16, it is estimated that around </w:t>
      </w:r>
      <w:r w:rsidR="00493B99" w:rsidRPr="004B0055">
        <w:rPr>
          <w:i/>
        </w:rPr>
        <w:t>4,189</w:t>
      </w:r>
      <w:r w:rsidR="00E139D1">
        <w:rPr>
          <w:i/>
        </w:rPr>
        <w:t xml:space="preserve"> </w:t>
      </w:r>
      <w:r w:rsidR="00493B99" w:rsidRPr="004B0055">
        <w:rPr>
          <w:i/>
        </w:rPr>
        <w:t>dogs</w:t>
      </w:r>
      <w:r w:rsidR="00493B99">
        <w:t xml:space="preserve"> are affected by poor rehoming potential each year.</w:t>
      </w:r>
    </w:p>
    <w:p w:rsidR="00F4329F" w:rsidRDefault="00F4329F">
      <w:pPr>
        <w:rPr>
          <w:rFonts w:eastAsia="Times New Roman" w:cs="Arial"/>
          <w:b/>
          <w:color w:val="53565A"/>
        </w:rPr>
      </w:pPr>
      <w:r>
        <w:br w:type="page"/>
      </w:r>
    </w:p>
    <w:p w:rsidR="00493B99" w:rsidRPr="00AB74F5" w:rsidRDefault="00493B99" w:rsidP="00AB74F5">
      <w:pPr>
        <w:pStyle w:val="H13pt"/>
      </w:pPr>
      <w:bookmarkStart w:id="14" w:name="_Toc477190133"/>
      <w:r w:rsidRPr="00AB74F5">
        <w:lastRenderedPageBreak/>
        <w:t>Options considered in this RIS</w:t>
      </w:r>
      <w:bookmarkEnd w:id="14"/>
    </w:p>
    <w:p w:rsidR="00493B99" w:rsidRDefault="00493B99">
      <w:r>
        <w:t>Feasible options considered in this RIS with different enforcement regimes include:</w:t>
      </w:r>
    </w:p>
    <w:p w:rsidR="00493B99" w:rsidRDefault="00493B99" w:rsidP="00F4329F"/>
    <w:tbl>
      <w:tblPr>
        <w:tblW w:w="8080" w:type="dxa"/>
        <w:tblBorders>
          <w:top w:val="single" w:sz="4" w:space="0" w:color="53565A"/>
          <w:bottom w:val="single" w:sz="4" w:space="0" w:color="53565A"/>
          <w:insideH w:val="single" w:sz="4" w:space="0" w:color="53565A"/>
        </w:tblBorders>
        <w:tblLook w:val="04A0" w:firstRow="1" w:lastRow="0" w:firstColumn="1" w:lastColumn="0" w:noHBand="0" w:noVBand="1"/>
      </w:tblPr>
      <w:tblGrid>
        <w:gridCol w:w="1139"/>
        <w:gridCol w:w="2122"/>
        <w:gridCol w:w="4819"/>
      </w:tblGrid>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1</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Media/information campaign </w:t>
            </w:r>
          </w:p>
        </w:tc>
        <w:tc>
          <w:tcPr>
            <w:tcW w:w="4819" w:type="dxa"/>
            <w:vAlign w:val="center"/>
          </w:tcPr>
          <w:p w:rsidR="00493B99" w:rsidRPr="00BE4486" w:rsidRDefault="00493B99" w:rsidP="00493B99">
            <w:pPr>
              <w:rPr>
                <w:rFonts w:asciiTheme="majorHAnsi" w:hAnsiTheme="majorHAnsi" w:cstheme="majorHAnsi"/>
                <w:color w:val="1F497D" w:themeColor="text2"/>
                <w:sz w:val="18"/>
                <w:szCs w:val="18"/>
                <w:u w:val="single"/>
              </w:rPr>
            </w:pPr>
            <w:r w:rsidRPr="00BE4486">
              <w:rPr>
                <w:rFonts w:asciiTheme="majorHAnsi" w:hAnsiTheme="majorHAnsi" w:cstheme="majorHAnsi"/>
                <w:sz w:val="18"/>
                <w:szCs w:val="18"/>
              </w:rPr>
              <w:t xml:space="preserve">Local rules and Greyhound Australasia Rules with civil enforcement (fines and bans) by GRV + criminal enforcement under POCTA + Media/information campaign with respect to the </w:t>
            </w:r>
            <w:r w:rsidRPr="00BE4486">
              <w:rPr>
                <w:rFonts w:asciiTheme="majorHAnsi" w:hAnsiTheme="majorHAnsi" w:cstheme="majorHAnsi"/>
                <w:color w:val="1F497D" w:themeColor="text2"/>
                <w:sz w:val="18"/>
                <w:szCs w:val="18"/>
                <w:u w:val="single"/>
              </w:rPr>
              <w:t>proposed code.</w:t>
            </w:r>
          </w:p>
        </w:tc>
      </w:tr>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2</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Adoption of the proposed code under the local rules </w:t>
            </w:r>
          </w:p>
        </w:tc>
        <w:tc>
          <w:tcPr>
            <w:tcW w:w="4819"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Local rules (including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sz w:val="18"/>
                <w:szCs w:val="18"/>
              </w:rPr>
              <w:t>) and Greyhound Australasia Rules with civil enforcement (fines and bans) by GRV + criminal enforcement under POCTA.</w:t>
            </w:r>
          </w:p>
        </w:tc>
      </w:tr>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3</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w:t>
            </w:r>
          </w:p>
        </w:tc>
        <w:tc>
          <w:tcPr>
            <w:tcW w:w="4819"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w:t>
            </w:r>
          </w:p>
        </w:tc>
      </w:tr>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4</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The proposed code with local government enforcement</w:t>
            </w:r>
          </w:p>
        </w:tc>
        <w:tc>
          <w:tcPr>
            <w:tcW w:w="4819"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councils.</w:t>
            </w:r>
          </w:p>
        </w:tc>
      </w:tr>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5</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no additional health checks</w:t>
            </w:r>
          </w:p>
        </w:tc>
        <w:tc>
          <w:tcPr>
            <w:tcW w:w="4819"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no additional health checks.</w:t>
            </w:r>
          </w:p>
        </w:tc>
      </w:tr>
      <w:tr w:rsidR="00493B99" w:rsidRPr="009336AF" w:rsidTr="00B87973">
        <w:tc>
          <w:tcPr>
            <w:tcW w:w="1139" w:type="dxa"/>
            <w:vAlign w:val="center"/>
          </w:tcPr>
          <w:p w:rsidR="00493B99" w:rsidRPr="00BE4486" w:rsidRDefault="00493B99" w:rsidP="00493B99">
            <w:pPr>
              <w:rPr>
                <w:rFonts w:asciiTheme="majorHAnsi" w:hAnsiTheme="majorHAnsi" w:cstheme="majorHAnsi"/>
                <w:b/>
                <w:sz w:val="18"/>
                <w:szCs w:val="18"/>
              </w:rPr>
            </w:pPr>
            <w:r>
              <w:rPr>
                <w:rFonts w:asciiTheme="majorHAnsi" w:hAnsiTheme="majorHAnsi" w:cstheme="majorHAnsi"/>
                <w:b/>
                <w:sz w:val="18"/>
                <w:szCs w:val="18"/>
              </w:rPr>
              <w:t xml:space="preserve">Option </w:t>
            </w:r>
            <w:r w:rsidRPr="00BE4486">
              <w:rPr>
                <w:rFonts w:asciiTheme="majorHAnsi" w:hAnsiTheme="majorHAnsi" w:cstheme="majorHAnsi"/>
                <w:b/>
                <w:sz w:val="18"/>
                <w:szCs w:val="18"/>
              </w:rPr>
              <w:t>6</w:t>
            </w:r>
          </w:p>
        </w:tc>
        <w:tc>
          <w:tcPr>
            <w:tcW w:w="2122"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reduced rearing requirements</w:t>
            </w:r>
          </w:p>
        </w:tc>
        <w:tc>
          <w:tcPr>
            <w:tcW w:w="4819" w:type="dxa"/>
            <w:vAlign w:val="center"/>
          </w:tcPr>
          <w:p w:rsidR="00493B99" w:rsidRPr="00BE4486" w:rsidRDefault="00493B99" w:rsidP="00493B99">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reduced rearing requirements for greyhounds 16 weeks to 18 months.</w:t>
            </w:r>
          </w:p>
        </w:tc>
      </w:tr>
    </w:tbl>
    <w:p w:rsidR="0067241A" w:rsidRDefault="0067241A" w:rsidP="00F4329F"/>
    <w:p w:rsidR="00493B99" w:rsidRPr="00AB74F5" w:rsidRDefault="00493B99" w:rsidP="00AB74F5">
      <w:pPr>
        <w:pStyle w:val="H13pt"/>
      </w:pPr>
      <w:bookmarkStart w:id="15" w:name="_Toc477190134"/>
      <w:r w:rsidRPr="00AB74F5">
        <w:t>Evaluation of options</w:t>
      </w:r>
      <w:bookmarkEnd w:id="15"/>
      <w:r w:rsidRPr="00AB74F5">
        <w:t xml:space="preserve"> </w:t>
      </w:r>
    </w:p>
    <w:p w:rsidR="00493B99" w:rsidRDefault="00493B99" w:rsidP="00493B99">
      <w:pPr>
        <w:pStyle w:val="BodyText20"/>
        <w:rPr>
          <w:rFonts w:ascii="Calibri" w:hAnsi="Calibri"/>
          <w:sz w:val="22"/>
          <w:szCs w:val="22"/>
        </w:rPr>
      </w:pPr>
      <w:r w:rsidRPr="00585C2F">
        <w:rPr>
          <w:rFonts w:ascii="Calibri" w:hAnsi="Calibri"/>
          <w:sz w:val="22"/>
          <w:szCs w:val="22"/>
        </w:rPr>
        <w:t>Qualitative benefit (including</w:t>
      </w:r>
      <w:r>
        <w:rPr>
          <w:rFonts w:ascii="Calibri" w:hAnsi="Calibri"/>
          <w:sz w:val="22"/>
          <w:szCs w:val="22"/>
        </w:rPr>
        <w:t xml:space="preserve"> animal welfare and rehoming potential</w:t>
      </w:r>
      <w:r w:rsidRPr="00585C2F">
        <w:rPr>
          <w:rFonts w:ascii="Calibri" w:hAnsi="Calibri"/>
          <w:sz w:val="22"/>
          <w:szCs w:val="22"/>
        </w:rPr>
        <w:t xml:space="preserve">) and cost criteria </w:t>
      </w:r>
      <w:r>
        <w:rPr>
          <w:rFonts w:ascii="Calibri" w:hAnsi="Calibri"/>
          <w:sz w:val="22"/>
          <w:szCs w:val="22"/>
        </w:rPr>
        <w:t xml:space="preserve">is </w:t>
      </w:r>
      <w:r w:rsidRPr="00585C2F">
        <w:rPr>
          <w:rFonts w:ascii="Calibri" w:hAnsi="Calibri"/>
          <w:sz w:val="22"/>
          <w:szCs w:val="22"/>
        </w:rPr>
        <w:t xml:space="preserve">applied </w:t>
      </w:r>
      <w:r w:rsidRPr="006D229E">
        <w:rPr>
          <w:rFonts w:ascii="Calibri" w:hAnsi="Calibri"/>
          <w:sz w:val="22"/>
          <w:szCs w:val="22"/>
        </w:rPr>
        <w:t>to a</w:t>
      </w:r>
      <w:r>
        <w:rPr>
          <w:rFonts w:ascii="Calibri" w:hAnsi="Calibri"/>
          <w:i/>
          <w:sz w:val="22"/>
          <w:szCs w:val="22"/>
        </w:rPr>
        <w:t xml:space="preserve"> Multi-Criteria Analysis (MCA)</w:t>
      </w:r>
      <w:r>
        <w:rPr>
          <w:rFonts w:ascii="Calibri" w:hAnsi="Calibri"/>
          <w:sz w:val="22"/>
          <w:szCs w:val="22"/>
        </w:rPr>
        <w:t>, as shown in Table 17.</w:t>
      </w:r>
    </w:p>
    <w:p w:rsidR="0067241A" w:rsidRDefault="0067241A" w:rsidP="00F4329F"/>
    <w:p w:rsidR="00493B99" w:rsidRPr="0011694A" w:rsidRDefault="00493B99" w:rsidP="00493B99">
      <w:pPr>
        <w:pStyle w:val="BodyText20"/>
        <w:spacing w:after="120"/>
        <w:jc w:val="center"/>
        <w:rPr>
          <w:rFonts w:ascii="Calibri" w:hAnsi="Calibri" w:cs="Courier New"/>
          <w:sz w:val="22"/>
          <w:szCs w:val="22"/>
          <w:lang w:eastAsia="en-AU"/>
        </w:rPr>
      </w:pPr>
      <w:r>
        <w:rPr>
          <w:rFonts w:ascii="Calibri" w:hAnsi="Calibri" w:cs="Courier New"/>
          <w:b/>
          <w:sz w:val="20"/>
          <w:szCs w:val="22"/>
          <w:lang w:eastAsia="en-AU"/>
        </w:rPr>
        <w:t>Table 17</w:t>
      </w:r>
      <w:r w:rsidRPr="004D060C">
        <w:rPr>
          <w:rFonts w:ascii="Calibri" w:hAnsi="Calibri" w:cs="Courier New"/>
          <w:b/>
          <w:sz w:val="20"/>
          <w:szCs w:val="22"/>
          <w:lang w:eastAsia="en-AU"/>
        </w:rPr>
        <w:t>:</w:t>
      </w:r>
      <w:r w:rsidRPr="008D7690">
        <w:rPr>
          <w:rFonts w:ascii="Calibri" w:hAnsi="Calibri" w:cs="Courier New"/>
          <w:b/>
          <w:sz w:val="20"/>
          <w:szCs w:val="22"/>
          <w:lang w:eastAsia="en-AU"/>
        </w:rPr>
        <w:t xml:space="preserve"> Crit</w:t>
      </w:r>
      <w:r w:rsidRPr="0011694A">
        <w:rPr>
          <w:rFonts w:ascii="Calibri" w:hAnsi="Calibri" w:cs="Courier New"/>
          <w:b/>
          <w:sz w:val="20"/>
          <w:szCs w:val="22"/>
          <w:lang w:eastAsia="en-AU"/>
        </w:rPr>
        <w:t>eria to be used for MCA</w:t>
      </w:r>
    </w:p>
    <w:tbl>
      <w:tblPr>
        <w:tblW w:w="8114" w:type="dxa"/>
        <w:tblInd w:w="108" w:type="dxa"/>
        <w:tblLayout w:type="fixed"/>
        <w:tblLook w:val="04A0" w:firstRow="1" w:lastRow="0" w:firstColumn="1" w:lastColumn="0" w:noHBand="0" w:noVBand="1"/>
      </w:tblPr>
      <w:tblGrid>
        <w:gridCol w:w="2600"/>
        <w:gridCol w:w="3955"/>
        <w:gridCol w:w="1559"/>
      </w:tblGrid>
      <w:tr w:rsidR="00B87973" w:rsidRPr="00B87973" w:rsidTr="00B87973">
        <w:tc>
          <w:tcPr>
            <w:tcW w:w="2600" w:type="dxa"/>
            <w:tcBorders>
              <w:top w:val="single" w:sz="4" w:space="0" w:color="53565A"/>
              <w:bottom w:val="double" w:sz="4" w:space="0" w:color="53565A"/>
            </w:tcBorders>
          </w:tcPr>
          <w:p w:rsidR="00493B99" w:rsidRPr="00B87973" w:rsidRDefault="00493B99" w:rsidP="00493B99">
            <w:pPr>
              <w:pStyle w:val="BodyText20"/>
              <w:rPr>
                <w:rFonts w:ascii="Calibri" w:hAnsi="Calibri" w:cs="Courier New"/>
                <w:b/>
                <w:color w:val="53565A"/>
                <w:sz w:val="20"/>
                <w:lang w:eastAsia="en-AU"/>
              </w:rPr>
            </w:pPr>
            <w:r w:rsidRPr="00B87973">
              <w:rPr>
                <w:rFonts w:ascii="Calibri" w:hAnsi="Calibri" w:cs="Courier New"/>
                <w:b/>
                <w:color w:val="53565A"/>
                <w:sz w:val="20"/>
                <w:lang w:eastAsia="en-AU"/>
              </w:rPr>
              <w:t>Criterion</w:t>
            </w:r>
          </w:p>
        </w:tc>
        <w:tc>
          <w:tcPr>
            <w:tcW w:w="3955" w:type="dxa"/>
            <w:tcBorders>
              <w:top w:val="single" w:sz="4" w:space="0" w:color="53565A"/>
              <w:bottom w:val="double" w:sz="4" w:space="0" w:color="53565A"/>
            </w:tcBorders>
          </w:tcPr>
          <w:p w:rsidR="00493B99" w:rsidRPr="00B87973" w:rsidRDefault="00493B99" w:rsidP="00493B99">
            <w:pPr>
              <w:pStyle w:val="BodyText20"/>
              <w:jc w:val="center"/>
              <w:rPr>
                <w:rFonts w:ascii="Calibri" w:hAnsi="Calibri" w:cs="Courier New"/>
                <w:b/>
                <w:color w:val="53565A"/>
                <w:sz w:val="20"/>
                <w:lang w:eastAsia="en-AU"/>
              </w:rPr>
            </w:pPr>
            <w:r w:rsidRPr="00B87973">
              <w:rPr>
                <w:rFonts w:ascii="Calibri" w:hAnsi="Calibri" w:cs="Courier New"/>
                <w:b/>
                <w:color w:val="53565A"/>
                <w:sz w:val="20"/>
                <w:lang w:eastAsia="en-AU"/>
              </w:rPr>
              <w:t>Description</w:t>
            </w:r>
          </w:p>
        </w:tc>
        <w:tc>
          <w:tcPr>
            <w:tcW w:w="1559" w:type="dxa"/>
            <w:tcBorders>
              <w:top w:val="single" w:sz="4" w:space="0" w:color="53565A"/>
              <w:bottom w:val="double" w:sz="4" w:space="0" w:color="53565A"/>
            </w:tcBorders>
          </w:tcPr>
          <w:p w:rsidR="00493B99" w:rsidRPr="00B87973" w:rsidRDefault="00493B99" w:rsidP="00493B99">
            <w:pPr>
              <w:pStyle w:val="BodyText20"/>
              <w:jc w:val="center"/>
              <w:rPr>
                <w:rFonts w:ascii="Calibri" w:hAnsi="Calibri" w:cs="Courier New"/>
                <w:b/>
                <w:color w:val="53565A"/>
                <w:sz w:val="20"/>
                <w:lang w:eastAsia="en-AU"/>
              </w:rPr>
            </w:pPr>
            <w:r w:rsidRPr="00B87973">
              <w:rPr>
                <w:rFonts w:ascii="Calibri" w:hAnsi="Calibri" w:cs="Courier New"/>
                <w:b/>
                <w:color w:val="53565A"/>
                <w:sz w:val="20"/>
                <w:lang w:eastAsia="en-AU"/>
              </w:rPr>
              <w:t>Weighting</w:t>
            </w:r>
          </w:p>
        </w:tc>
      </w:tr>
      <w:tr w:rsidR="00493B99" w:rsidTr="00B87973">
        <w:tc>
          <w:tcPr>
            <w:tcW w:w="2600" w:type="dxa"/>
            <w:tcBorders>
              <w:top w:val="double" w:sz="4" w:space="0" w:color="53565A"/>
            </w:tcBorders>
            <w:vAlign w:val="center"/>
          </w:tcPr>
          <w:p w:rsidR="00493B99" w:rsidRPr="00374180" w:rsidRDefault="00493B99" w:rsidP="00493B99">
            <w:pPr>
              <w:pStyle w:val="BodyText20"/>
              <w:jc w:val="left"/>
              <w:rPr>
                <w:rFonts w:ascii="Calibri" w:hAnsi="Calibri" w:cs="Courier New"/>
                <w:b/>
                <w:sz w:val="20"/>
                <w:lang w:eastAsia="en-AU"/>
              </w:rPr>
            </w:pPr>
            <w:r w:rsidRPr="008D7690">
              <w:rPr>
                <w:rFonts w:ascii="Calibri" w:hAnsi="Calibri" w:cs="Courier New"/>
                <w:b/>
                <w:sz w:val="20"/>
                <w:lang w:eastAsia="en-AU"/>
              </w:rPr>
              <w:t>Animal welfare</w:t>
            </w:r>
          </w:p>
        </w:tc>
        <w:tc>
          <w:tcPr>
            <w:tcW w:w="3955" w:type="dxa"/>
            <w:tcBorders>
              <w:top w:val="double" w:sz="4" w:space="0" w:color="53565A"/>
            </w:tcBorders>
            <w:vAlign w:val="center"/>
          </w:tcPr>
          <w:p w:rsidR="00493B99" w:rsidRPr="00B3001B" w:rsidRDefault="00493B99" w:rsidP="00493B99">
            <w:pPr>
              <w:pStyle w:val="BodyText20"/>
              <w:jc w:val="left"/>
              <w:rPr>
                <w:rFonts w:ascii="Calibri" w:hAnsi="Calibri" w:cs="Courier New"/>
                <w:sz w:val="20"/>
                <w:lang w:eastAsia="en-AU"/>
              </w:rPr>
            </w:pPr>
            <w:r>
              <w:rPr>
                <w:rFonts w:ascii="Calibri" w:hAnsi="Calibri" w:cs="Courier New"/>
                <w:sz w:val="20"/>
                <w:lang w:eastAsia="en-AU"/>
              </w:rPr>
              <w:t>Welfare of animals associated with the greyhound racing industry throughout their lifecycle.</w:t>
            </w:r>
          </w:p>
        </w:tc>
        <w:tc>
          <w:tcPr>
            <w:tcW w:w="1559" w:type="dxa"/>
            <w:tcBorders>
              <w:top w:val="double" w:sz="4" w:space="0" w:color="53565A"/>
            </w:tcBorders>
            <w:vAlign w:val="center"/>
          </w:tcPr>
          <w:p w:rsidR="00493B99" w:rsidRPr="00B3001B" w:rsidRDefault="00493B99" w:rsidP="00493B99">
            <w:pPr>
              <w:pStyle w:val="BodyText20"/>
              <w:jc w:val="center"/>
              <w:rPr>
                <w:rFonts w:ascii="Calibri" w:hAnsi="Calibri" w:cs="Courier New"/>
                <w:sz w:val="20"/>
                <w:lang w:eastAsia="en-AU"/>
              </w:rPr>
            </w:pPr>
            <w:r>
              <w:rPr>
                <w:rFonts w:ascii="Calibri" w:hAnsi="Calibri" w:cs="Courier New"/>
                <w:sz w:val="20"/>
                <w:lang w:eastAsia="en-AU"/>
              </w:rPr>
              <w:t>25</w:t>
            </w:r>
            <w:r w:rsidRPr="00B3001B">
              <w:rPr>
                <w:rFonts w:ascii="Calibri" w:hAnsi="Calibri" w:cs="Courier New"/>
                <w:sz w:val="20"/>
                <w:lang w:eastAsia="en-AU"/>
              </w:rPr>
              <w:t>%</w:t>
            </w:r>
          </w:p>
        </w:tc>
      </w:tr>
      <w:tr w:rsidR="00493B99" w:rsidTr="00B87973">
        <w:tc>
          <w:tcPr>
            <w:tcW w:w="2600" w:type="dxa"/>
            <w:vAlign w:val="center"/>
          </w:tcPr>
          <w:p w:rsidR="00493B99" w:rsidRPr="008D7690" w:rsidRDefault="00493B99" w:rsidP="00493B99">
            <w:pPr>
              <w:pStyle w:val="BodyText20"/>
              <w:jc w:val="left"/>
              <w:rPr>
                <w:rFonts w:ascii="Calibri" w:hAnsi="Calibri" w:cs="Courier New"/>
                <w:b/>
                <w:sz w:val="20"/>
                <w:lang w:eastAsia="en-AU"/>
              </w:rPr>
            </w:pPr>
            <w:r>
              <w:rPr>
                <w:rFonts w:ascii="Calibri" w:hAnsi="Calibri" w:cs="Courier New"/>
                <w:b/>
                <w:sz w:val="20"/>
                <w:lang w:eastAsia="en-AU"/>
              </w:rPr>
              <w:t>Rehoming potential</w:t>
            </w:r>
          </w:p>
        </w:tc>
        <w:tc>
          <w:tcPr>
            <w:tcW w:w="3955" w:type="dxa"/>
            <w:vAlign w:val="center"/>
          </w:tcPr>
          <w:p w:rsidR="00493B99" w:rsidRPr="00B3001B" w:rsidRDefault="00493B99" w:rsidP="00493B99">
            <w:pPr>
              <w:pStyle w:val="BodyText20"/>
              <w:jc w:val="left"/>
              <w:rPr>
                <w:rFonts w:ascii="Calibri" w:hAnsi="Calibri" w:cs="Courier New"/>
                <w:sz w:val="20"/>
                <w:lang w:eastAsia="en-AU"/>
              </w:rPr>
            </w:pPr>
            <w:r>
              <w:rPr>
                <w:rFonts w:ascii="Calibri" w:hAnsi="Calibri" w:cs="Courier New"/>
                <w:sz w:val="20"/>
                <w:lang w:eastAsia="en-AU"/>
              </w:rPr>
              <w:t>Greyhound is given the chance to maximise it potential to be rehomed throughout the lifecycle.</w:t>
            </w:r>
          </w:p>
        </w:tc>
        <w:tc>
          <w:tcPr>
            <w:tcW w:w="1559" w:type="dxa"/>
            <w:vAlign w:val="center"/>
          </w:tcPr>
          <w:p w:rsidR="00493B99" w:rsidRPr="00B3001B" w:rsidRDefault="00493B99" w:rsidP="00493B99">
            <w:pPr>
              <w:pStyle w:val="BodyText20"/>
              <w:jc w:val="center"/>
              <w:rPr>
                <w:rFonts w:ascii="Calibri" w:hAnsi="Calibri" w:cs="Courier New"/>
                <w:sz w:val="20"/>
                <w:lang w:eastAsia="en-AU"/>
              </w:rPr>
            </w:pPr>
            <w:r>
              <w:rPr>
                <w:rFonts w:ascii="Calibri" w:hAnsi="Calibri" w:cs="Courier New"/>
                <w:sz w:val="20"/>
                <w:lang w:eastAsia="en-AU"/>
              </w:rPr>
              <w:t>25</w:t>
            </w:r>
            <w:r w:rsidRPr="00B3001B">
              <w:rPr>
                <w:rFonts w:ascii="Calibri" w:hAnsi="Calibri" w:cs="Courier New"/>
                <w:sz w:val="20"/>
                <w:lang w:eastAsia="en-AU"/>
              </w:rPr>
              <w:t>%</w:t>
            </w:r>
          </w:p>
        </w:tc>
      </w:tr>
      <w:tr w:rsidR="00493B99" w:rsidTr="00493B99">
        <w:tc>
          <w:tcPr>
            <w:tcW w:w="2600" w:type="dxa"/>
            <w:tcBorders>
              <w:bottom w:val="single" w:sz="4" w:space="0" w:color="1F497D" w:themeColor="text2"/>
            </w:tcBorders>
            <w:vAlign w:val="center"/>
          </w:tcPr>
          <w:p w:rsidR="00493B99" w:rsidRPr="008D7690" w:rsidRDefault="00493B99" w:rsidP="00493B99">
            <w:pPr>
              <w:pStyle w:val="BodyText20"/>
              <w:jc w:val="left"/>
              <w:rPr>
                <w:rFonts w:ascii="Calibri" w:hAnsi="Calibri" w:cs="Courier New"/>
                <w:b/>
                <w:sz w:val="20"/>
                <w:lang w:eastAsia="en-AU"/>
              </w:rPr>
            </w:pPr>
            <w:r w:rsidRPr="004D060C">
              <w:rPr>
                <w:rFonts w:ascii="Calibri" w:hAnsi="Calibri" w:cs="Courier New"/>
                <w:b/>
                <w:sz w:val="20"/>
                <w:lang w:eastAsia="en-AU"/>
              </w:rPr>
              <w:t>Net compliance cost to industry and government</w:t>
            </w:r>
          </w:p>
        </w:tc>
        <w:tc>
          <w:tcPr>
            <w:tcW w:w="3955" w:type="dxa"/>
            <w:tcBorders>
              <w:bottom w:val="single" w:sz="4" w:space="0" w:color="1F497D" w:themeColor="text2"/>
            </w:tcBorders>
            <w:vAlign w:val="center"/>
          </w:tcPr>
          <w:p w:rsidR="00493B99" w:rsidRPr="00B3001B" w:rsidRDefault="00493B99" w:rsidP="00493B99">
            <w:pPr>
              <w:pStyle w:val="BodyText20"/>
              <w:jc w:val="left"/>
              <w:rPr>
                <w:rFonts w:ascii="Calibri" w:hAnsi="Calibri" w:cs="Courier New"/>
                <w:sz w:val="20"/>
                <w:lang w:eastAsia="en-AU"/>
              </w:rPr>
            </w:pPr>
            <w:r>
              <w:rPr>
                <w:rFonts w:ascii="Calibri" w:hAnsi="Calibri" w:cs="Courier New"/>
                <w:sz w:val="20"/>
                <w:lang w:eastAsia="en-AU"/>
              </w:rPr>
              <w:t>Administrative and major compliance costs to industry and government including any unintended market consequences.</w:t>
            </w:r>
          </w:p>
        </w:tc>
        <w:tc>
          <w:tcPr>
            <w:tcW w:w="1559" w:type="dxa"/>
            <w:tcBorders>
              <w:bottom w:val="single" w:sz="4" w:space="0" w:color="1F497D" w:themeColor="text2"/>
            </w:tcBorders>
            <w:vAlign w:val="center"/>
          </w:tcPr>
          <w:p w:rsidR="00493B99" w:rsidRPr="00B3001B" w:rsidRDefault="00493B99" w:rsidP="00493B99">
            <w:pPr>
              <w:pStyle w:val="BodyText20"/>
              <w:jc w:val="center"/>
              <w:rPr>
                <w:rFonts w:ascii="Calibri" w:hAnsi="Calibri" w:cs="Courier New"/>
                <w:sz w:val="20"/>
                <w:lang w:eastAsia="en-AU"/>
              </w:rPr>
            </w:pPr>
            <w:r>
              <w:rPr>
                <w:rFonts w:ascii="Calibri" w:hAnsi="Calibri" w:cs="Courier New"/>
                <w:sz w:val="20"/>
                <w:lang w:eastAsia="en-AU"/>
              </w:rPr>
              <w:t>50%</w:t>
            </w:r>
          </w:p>
        </w:tc>
      </w:tr>
    </w:tbl>
    <w:p w:rsidR="00493B99" w:rsidRDefault="00493B99" w:rsidP="00F4329F"/>
    <w:p w:rsidR="00493B99" w:rsidRPr="00F4329F" w:rsidRDefault="00493B99" w:rsidP="00054CD3">
      <w:pPr>
        <w:jc w:val="both"/>
      </w:pPr>
      <w:r>
        <w:t>The proposed Code and alternative options are</w:t>
      </w:r>
      <w:r w:rsidRPr="00046943">
        <w:t xml:space="preserve"> scored against each of the aforementioned criteria on a scale of -10 to +10</w:t>
      </w:r>
      <w:r>
        <w:t xml:space="preserve"> </w:t>
      </w:r>
      <w:r w:rsidRPr="00046943">
        <w:t>with the base case reflecting a score of ‘0’</w:t>
      </w:r>
      <w:r w:rsidR="000E190F">
        <w:t>, +10 representing a significant improvement on the base case, and -10 representing a significantly worse outcome than the base case. Options are considered in relationship to this scale, and in relationship to each other, to determine their score</w:t>
      </w:r>
      <w:r>
        <w:t>.</w:t>
      </w:r>
      <w:r w:rsidR="000E190F">
        <w:t xml:space="preserve"> Reasons for the scores allocated are described below.</w:t>
      </w:r>
    </w:p>
    <w:p w:rsidR="00493B99" w:rsidRDefault="00493B99" w:rsidP="0042749A">
      <w:pPr>
        <w:rPr>
          <w:i/>
        </w:rPr>
      </w:pPr>
    </w:p>
    <w:p w:rsidR="00B87973" w:rsidRDefault="00B87973" w:rsidP="00AB74F5">
      <w:pPr>
        <w:pStyle w:val="H11italic"/>
      </w:pPr>
      <w:r>
        <w:br w:type="page"/>
      </w:r>
    </w:p>
    <w:p w:rsidR="00493B99" w:rsidRPr="0042749A" w:rsidRDefault="00493B99" w:rsidP="00AB74F5">
      <w:pPr>
        <w:pStyle w:val="H11italic"/>
      </w:pPr>
      <w:bookmarkStart w:id="16" w:name="_Toc477190135"/>
      <w:r w:rsidRPr="0042749A">
        <w:lastRenderedPageBreak/>
        <w:t>Animal welfare criterion</w:t>
      </w:r>
      <w:bookmarkEnd w:id="16"/>
    </w:p>
    <w:p w:rsidR="00CD0E67" w:rsidRDefault="00CD0E67" w:rsidP="0042749A">
      <w:pPr>
        <w:jc w:val="both"/>
      </w:pPr>
      <w:r w:rsidRPr="004560C7">
        <w:t xml:space="preserve">Given that the economic value of improved welfare per dog remains unknown, the </w:t>
      </w:r>
      <w:r w:rsidRPr="004560C7">
        <w:rPr>
          <w:i/>
        </w:rPr>
        <w:t>number</w:t>
      </w:r>
      <w:r w:rsidR="00B53EEF">
        <w:rPr>
          <w:i/>
        </w:rPr>
        <w:t xml:space="preserve"> of</w:t>
      </w:r>
      <w:r w:rsidRPr="004560C7">
        <w:rPr>
          <w:i/>
        </w:rPr>
        <w:t xml:space="preserve"> dogs affected</w:t>
      </w:r>
      <w:r w:rsidRPr="004560C7">
        <w:t xml:space="preserve"> </w:t>
      </w:r>
      <w:r>
        <w:t xml:space="preserve">(scale of care) </w:t>
      </w:r>
      <w:r w:rsidRPr="004560C7">
        <w:t xml:space="preserve">by improved standards of care under the </w:t>
      </w:r>
      <w:r>
        <w:t xml:space="preserve">proposed </w:t>
      </w:r>
      <w:r w:rsidRPr="004560C7">
        <w:t>Code is used as a proxy value for welfare</w:t>
      </w:r>
      <w:r w:rsidR="00B53EEF">
        <w:t>.</w:t>
      </w:r>
      <w:r>
        <w:t xml:space="preserve"> </w:t>
      </w:r>
      <w:r w:rsidR="00B53EEF">
        <w:t>H</w:t>
      </w:r>
      <w:r>
        <w:t>owever</w:t>
      </w:r>
      <w:r w:rsidR="00B53EEF">
        <w:t>,</w:t>
      </w:r>
      <w:r>
        <w:t xml:space="preserve"> a qualitative discussion is also provided around the </w:t>
      </w:r>
      <w:r w:rsidRPr="00520F56">
        <w:rPr>
          <w:i/>
        </w:rPr>
        <w:t>scope of care</w:t>
      </w:r>
      <w:r>
        <w:t xml:space="preserve"> under each of the options.</w:t>
      </w:r>
    </w:p>
    <w:p w:rsidR="00CD0E67" w:rsidRDefault="00CD0E67" w:rsidP="0042749A">
      <w:pPr>
        <w:jc w:val="both"/>
      </w:pPr>
    </w:p>
    <w:p w:rsidR="00CD0E67" w:rsidRDefault="00CD0E67" w:rsidP="00CD0E67">
      <w:pPr>
        <w:jc w:val="both"/>
      </w:pPr>
      <w:r>
        <w:t>Option 1 (media/information campaign) provides improved animal welfare of up to 560 dogs</w:t>
      </w:r>
      <w:r w:rsidR="00B53EEF">
        <w:t>.</w:t>
      </w:r>
      <w:r>
        <w:t xml:space="preserve"> </w:t>
      </w:r>
      <w:r w:rsidR="00B53EEF">
        <w:t>H</w:t>
      </w:r>
      <w:r>
        <w:t>owever</w:t>
      </w:r>
      <w:r w:rsidR="00B53EEF">
        <w:t xml:space="preserve"> this option</w:t>
      </w:r>
      <w:r>
        <w:t xml:space="preserve"> is limited in being able to change behaviour (voluntary adherence) and is likely to affect only those participants w</w:t>
      </w:r>
      <w:r w:rsidR="00B53EEF">
        <w:t>ho</w:t>
      </w:r>
      <w:r>
        <w:t xml:space="preserve"> currently lack knowledge or awareness around various dog management activities.</w:t>
      </w:r>
      <w:r w:rsidR="007B521C">
        <w:t xml:space="preserve"> </w:t>
      </w:r>
      <w:r>
        <w:t>It is unlikely to have an effect on participants with attitude, cultural or generational (age) issues – or those with financial constraints. Based on the number of dogs affected and scope of care Option 1 is awarded a score of +0.4.</w:t>
      </w:r>
    </w:p>
    <w:p w:rsidR="00CD0E67" w:rsidRDefault="00CD0E67" w:rsidP="00CD0E67">
      <w:pPr>
        <w:jc w:val="both"/>
      </w:pPr>
    </w:p>
    <w:p w:rsidR="00CD0E67" w:rsidRDefault="00CD0E67" w:rsidP="00CD0E67">
      <w:pPr>
        <w:jc w:val="both"/>
      </w:pPr>
      <w:r>
        <w:t>Option 2 (adoption of the proposed code under the local rules) is estimated to affect the welfare of up to 3,707 dogs due to greater compliance than Option 1.</w:t>
      </w:r>
      <w:r w:rsidR="007B521C">
        <w:t xml:space="preserve"> </w:t>
      </w:r>
      <w:r>
        <w:t>It is also likely to affect large participants.</w:t>
      </w:r>
      <w:r w:rsidR="007B521C">
        <w:t xml:space="preserve"> </w:t>
      </w:r>
      <w:r>
        <w:t>Option 2 is therefore awarded a score of +2.6.</w:t>
      </w:r>
    </w:p>
    <w:p w:rsidR="00CD0E67" w:rsidRDefault="00CD0E67" w:rsidP="00CD0E67">
      <w:pPr>
        <w:jc w:val="both"/>
      </w:pPr>
    </w:p>
    <w:p w:rsidR="00CD0E67" w:rsidRDefault="00CD0E67" w:rsidP="00CD0E67">
      <w:pPr>
        <w:jc w:val="both"/>
      </w:pPr>
      <w:r>
        <w:t>Option 3 (the proposed Code with industry enforcement) is estimated to affect the welfare of the maximum number of dogs (i.e. 14,185) as compared to the base case. Option 3 is also likely to have the greatest impact on dogs in terms of scope with all proposed standards being enforced in a criminal capacity. Option 3 is therefore award a score of +10.</w:t>
      </w:r>
    </w:p>
    <w:p w:rsidR="00CD0E67" w:rsidRDefault="00CD0E67" w:rsidP="00CD0E67">
      <w:pPr>
        <w:jc w:val="both"/>
      </w:pPr>
    </w:p>
    <w:p w:rsidR="00CD0E67" w:rsidRDefault="00CD0E67" w:rsidP="00CD0E67">
      <w:pPr>
        <w:jc w:val="both"/>
      </w:pPr>
      <w:r>
        <w:t>Option 4 (the proposed Code with local government enforcement) is estimated to affect the welfare of up to 8,946 dogs as compared to the base case due to lower compliance from less effective enforcement by councils who have conflicting priorities and are not specialised in greyhound management issues. Option 4 is therefore award a score of +6.3.</w:t>
      </w:r>
    </w:p>
    <w:p w:rsidR="00CD0E67" w:rsidRDefault="00CD0E67" w:rsidP="00CD0E67">
      <w:pPr>
        <w:jc w:val="both"/>
      </w:pPr>
    </w:p>
    <w:p w:rsidR="00CD0E67" w:rsidRDefault="00CD0E67" w:rsidP="00CD0E67">
      <w:pPr>
        <w:jc w:val="both"/>
      </w:pPr>
      <w:r>
        <w:t>Option 5 (the proposed Code with industry enforcement and no additional health checks) is estimated to affect the welfare of up to 14,185 dogs (identical to Option 3) except for health checks where it is expected to have a ‘0’ incremental effect on animal welfare.</w:t>
      </w:r>
      <w:r w:rsidR="007B521C">
        <w:t xml:space="preserve"> </w:t>
      </w:r>
      <w:r>
        <w:t>Option 5 is therefore award</w:t>
      </w:r>
      <w:r w:rsidR="003A0AF9" w:rsidRPr="00520753">
        <w:t>ed</w:t>
      </w:r>
      <w:r>
        <w:t xml:space="preserve"> a score of +8.</w:t>
      </w:r>
    </w:p>
    <w:p w:rsidR="00CD0E67" w:rsidRDefault="00CD0E67" w:rsidP="00CD0E67">
      <w:pPr>
        <w:jc w:val="both"/>
      </w:pPr>
    </w:p>
    <w:p w:rsidR="00CD0E67" w:rsidRDefault="00CD0E67" w:rsidP="00CD0E67">
      <w:pPr>
        <w:jc w:val="both"/>
      </w:pPr>
      <w:r>
        <w:t>Option 6 (the proposed Code with industry enforcement and reduced rearing requirements) is estimated to affect the welfare of up to 14,185 dogs (identical to Option 3) except it is likely to expose a maximum of 14,185 dogs to welfare risk from reduced socialisation with dogs exposed to only half the rearing opportunities (time) as compared to Option 3. Option 6 is therefore awarded a score of +</w:t>
      </w:r>
      <w:r w:rsidR="009A1879">
        <w:t>7</w:t>
      </w:r>
      <w:r>
        <w:t>.</w:t>
      </w:r>
    </w:p>
    <w:p w:rsidR="00CD0E67" w:rsidRDefault="00CD0E67" w:rsidP="0042749A"/>
    <w:p w:rsidR="00C02451" w:rsidRDefault="00C02451">
      <w:pPr>
        <w:rPr>
          <w:i/>
          <w:color w:val="244061" w:themeColor="accent1" w:themeShade="80"/>
        </w:rPr>
      </w:pPr>
      <w:r>
        <w:rPr>
          <w:i/>
          <w:color w:val="244061" w:themeColor="accent1" w:themeShade="80"/>
        </w:rPr>
        <w:br w:type="page"/>
      </w:r>
    </w:p>
    <w:p w:rsidR="00CD0E67" w:rsidRPr="00077626" w:rsidRDefault="00CD0E67" w:rsidP="00AB74F5">
      <w:pPr>
        <w:pStyle w:val="H11italic"/>
      </w:pPr>
      <w:bookmarkStart w:id="17" w:name="_Toc477190136"/>
      <w:r w:rsidRPr="0042749A">
        <w:lastRenderedPageBreak/>
        <w:t>Rehoming potential criterion</w:t>
      </w:r>
      <w:bookmarkEnd w:id="17"/>
    </w:p>
    <w:p w:rsidR="00CD0E67" w:rsidRDefault="00CD0E67" w:rsidP="0042749A">
      <w:pPr>
        <w:jc w:val="both"/>
      </w:pPr>
      <w:r>
        <w:t>The rehoming potential criterion is based on the premise that g</w:t>
      </w:r>
      <w:r w:rsidRPr="00DF0451">
        <w:t>reyhound</w:t>
      </w:r>
      <w:r>
        <w:t>s are given the chance to maximise their</w:t>
      </w:r>
      <w:r w:rsidRPr="00DF0451">
        <w:t xml:space="preserve"> potential to be rehomed throughout the lifecycle.</w:t>
      </w:r>
      <w:r w:rsidR="007B521C">
        <w:t xml:space="preserve"> </w:t>
      </w:r>
      <w:r>
        <w:t xml:space="preserve">Although all </w:t>
      </w:r>
      <w:r w:rsidR="00B53EEF">
        <w:t xml:space="preserve">of </w:t>
      </w:r>
      <w:r>
        <w:t xml:space="preserve">the proposed standards are designed to have some influence on the rehoming potential of greyhounds, </w:t>
      </w:r>
      <w:r w:rsidR="00EF69C8">
        <w:t>rehoming</w:t>
      </w:r>
      <w:r>
        <w:t xml:space="preserve"> reform under proposed standard 6.3.12 is considered to be the main dedicated driver of rehabilitation and rehoming potential.</w:t>
      </w:r>
      <w:r w:rsidR="007B521C">
        <w:t xml:space="preserve"> </w:t>
      </w:r>
      <w:r>
        <w:t xml:space="preserve">Consequently, options are assessed on their ability to encourage rehabilitation by owners under proposed standard 6.3.12. </w:t>
      </w:r>
      <w:r w:rsidRPr="004560C7">
        <w:t xml:space="preserve">Given that the economic value of improved </w:t>
      </w:r>
      <w:r>
        <w:t xml:space="preserve">rehabilitation potential </w:t>
      </w:r>
      <w:r w:rsidRPr="004560C7">
        <w:t xml:space="preserve">per dog remains unknown, the </w:t>
      </w:r>
      <w:r w:rsidRPr="004560C7">
        <w:rPr>
          <w:i/>
        </w:rPr>
        <w:t>number dogs affected</w:t>
      </w:r>
      <w:r w:rsidRPr="004560C7">
        <w:t xml:space="preserve"> is used as a proxy value for </w:t>
      </w:r>
      <w:r>
        <w:t>rehoming potential benefits.</w:t>
      </w:r>
    </w:p>
    <w:p w:rsidR="00CD0E67" w:rsidRDefault="00CD0E67" w:rsidP="00CD0E67">
      <w:pPr>
        <w:jc w:val="both"/>
      </w:pPr>
      <w:r>
        <w:t>Option 1 is expected to result in an estimated 311 additional dogs being rehabilitated as compared to the base case and 7.4% of the maximum number of dogs rehabilitated under any of the options (see Table 16).</w:t>
      </w:r>
      <w:r w:rsidR="007B521C">
        <w:t xml:space="preserve"> </w:t>
      </w:r>
      <w:r>
        <w:t>Option 1 is therefore awarded a score of +0.7.</w:t>
      </w:r>
      <w:r w:rsidR="007B521C">
        <w:t xml:space="preserve"> </w:t>
      </w:r>
    </w:p>
    <w:p w:rsidR="00CD0E67" w:rsidRDefault="00CD0E67" w:rsidP="00CD0E67">
      <w:pPr>
        <w:jc w:val="both"/>
      </w:pPr>
    </w:p>
    <w:p w:rsidR="00CD0E67" w:rsidRDefault="00CD0E67" w:rsidP="00CD0E67">
      <w:pPr>
        <w:jc w:val="center"/>
        <w:rPr>
          <w:b/>
          <w:color w:val="000000" w:themeColor="text1"/>
          <w:sz w:val="20"/>
        </w:rPr>
      </w:pPr>
      <w:r>
        <w:rPr>
          <w:b/>
          <w:color w:val="000000" w:themeColor="text1"/>
          <w:sz w:val="20"/>
        </w:rPr>
        <w:t>Table 16</w:t>
      </w:r>
      <w:r w:rsidRPr="0009721F">
        <w:rPr>
          <w:b/>
          <w:color w:val="000000" w:themeColor="text1"/>
          <w:sz w:val="20"/>
        </w:rPr>
        <w:t>: Summary of</w:t>
      </w:r>
      <w:r>
        <w:rPr>
          <w:b/>
          <w:color w:val="000000" w:themeColor="text1"/>
          <w:sz w:val="20"/>
        </w:rPr>
        <w:t xml:space="preserve"> estimated changes to</w:t>
      </w:r>
      <w:r w:rsidRPr="0009721F">
        <w:rPr>
          <w:b/>
          <w:color w:val="000000" w:themeColor="text1"/>
          <w:sz w:val="20"/>
        </w:rPr>
        <w:t xml:space="preserve"> </w:t>
      </w:r>
      <w:r>
        <w:rPr>
          <w:b/>
          <w:color w:val="000000" w:themeColor="text1"/>
          <w:sz w:val="20"/>
        </w:rPr>
        <w:t xml:space="preserve">retirement outcomes under </w:t>
      </w:r>
      <w:r w:rsidRPr="0009721F">
        <w:rPr>
          <w:b/>
          <w:color w:val="000000" w:themeColor="text1"/>
          <w:sz w:val="20"/>
        </w:rPr>
        <w:t>Options 1 to 6</w:t>
      </w:r>
      <w:r>
        <w:rPr>
          <w:b/>
          <w:color w:val="000000" w:themeColor="text1"/>
          <w:sz w:val="20"/>
        </w:rPr>
        <w:t xml:space="preserve"> – compared to the base case</w:t>
      </w:r>
    </w:p>
    <w:p w:rsidR="00CD0E67" w:rsidRDefault="00CD0E67" w:rsidP="00CD0E67">
      <w:pPr>
        <w:jc w:val="both"/>
        <w:rPr>
          <w:color w:val="000000" w:themeColor="text1"/>
        </w:rPr>
      </w:pPr>
    </w:p>
    <w:tbl>
      <w:tblPr>
        <w:tblW w:w="8188" w:type="dxa"/>
        <w:jc w:val="center"/>
        <w:tblBorders>
          <w:top w:val="single" w:sz="4" w:space="0" w:color="53565A"/>
          <w:bottom w:val="single" w:sz="4" w:space="0" w:color="53565A"/>
          <w:insideH w:val="double" w:sz="4" w:space="0" w:color="53565A"/>
        </w:tblBorders>
        <w:tblLayout w:type="fixed"/>
        <w:tblLook w:val="04A0" w:firstRow="1" w:lastRow="0" w:firstColumn="1" w:lastColumn="0" w:noHBand="0" w:noVBand="1"/>
      </w:tblPr>
      <w:tblGrid>
        <w:gridCol w:w="3119"/>
        <w:gridCol w:w="792"/>
        <w:gridCol w:w="851"/>
        <w:gridCol w:w="792"/>
        <w:gridCol w:w="867"/>
        <w:gridCol w:w="883"/>
        <w:gridCol w:w="884"/>
      </w:tblGrid>
      <w:tr w:rsidR="00B87973" w:rsidRPr="00B87973" w:rsidTr="00B87973">
        <w:trPr>
          <w:trHeight w:val="300"/>
          <w:tblHeader/>
          <w:jc w:val="center"/>
        </w:trPr>
        <w:tc>
          <w:tcPr>
            <w:tcW w:w="3119" w:type="dxa"/>
            <w:shd w:val="clear" w:color="000000" w:fill="FFFFFF"/>
            <w:noWrap/>
            <w:vAlign w:val="bottom"/>
            <w:hideMark/>
          </w:tcPr>
          <w:p w:rsidR="00CD0E67" w:rsidRPr="00B87973" w:rsidRDefault="00CD0E67" w:rsidP="007F34A9">
            <w:pPr>
              <w:rPr>
                <w:rFonts w:eastAsia="Times New Roman" w:cs="Calibri"/>
                <w:b/>
                <w:bCs/>
                <w:color w:val="53565A"/>
                <w:sz w:val="20"/>
                <w:szCs w:val="20"/>
                <w:lang w:eastAsia="en-AU"/>
              </w:rPr>
            </w:pPr>
            <w:r w:rsidRPr="00B87973">
              <w:rPr>
                <w:rFonts w:eastAsia="Times New Roman" w:cs="Calibri"/>
                <w:b/>
                <w:bCs/>
                <w:color w:val="53565A"/>
                <w:sz w:val="20"/>
                <w:szCs w:val="20"/>
                <w:lang w:eastAsia="en-AU"/>
              </w:rPr>
              <w:t>Retirement outcome</w:t>
            </w:r>
          </w:p>
        </w:tc>
        <w:tc>
          <w:tcPr>
            <w:tcW w:w="792"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1</w:t>
            </w:r>
          </w:p>
        </w:tc>
        <w:tc>
          <w:tcPr>
            <w:tcW w:w="851"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2</w:t>
            </w:r>
          </w:p>
        </w:tc>
        <w:tc>
          <w:tcPr>
            <w:tcW w:w="792"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3</w:t>
            </w:r>
          </w:p>
        </w:tc>
        <w:tc>
          <w:tcPr>
            <w:tcW w:w="867"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4</w:t>
            </w:r>
          </w:p>
        </w:tc>
        <w:tc>
          <w:tcPr>
            <w:tcW w:w="883"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5</w:t>
            </w:r>
          </w:p>
        </w:tc>
        <w:tc>
          <w:tcPr>
            <w:tcW w:w="884" w:type="dxa"/>
            <w:shd w:val="clear" w:color="000000" w:fill="FFFFFF"/>
            <w:noWrap/>
            <w:vAlign w:val="bottom"/>
            <w:hideMark/>
          </w:tcPr>
          <w:p w:rsidR="00CD0E67" w:rsidRPr="00B87973" w:rsidRDefault="00CD0E67" w:rsidP="007F34A9">
            <w:pPr>
              <w:jc w:val="center"/>
              <w:rPr>
                <w:rFonts w:eastAsia="Times New Roman" w:cs="Calibri"/>
                <w:b/>
                <w:bCs/>
                <w:color w:val="53565A"/>
                <w:sz w:val="20"/>
                <w:szCs w:val="20"/>
                <w:lang w:eastAsia="en-AU"/>
              </w:rPr>
            </w:pPr>
            <w:r w:rsidRPr="00B87973">
              <w:rPr>
                <w:rFonts w:eastAsia="Times New Roman" w:cs="Calibri"/>
                <w:b/>
                <w:bCs/>
                <w:color w:val="53565A"/>
                <w:sz w:val="20"/>
                <w:szCs w:val="20"/>
                <w:lang w:eastAsia="en-AU"/>
              </w:rPr>
              <w:t>Option 6</w:t>
            </w:r>
          </w:p>
        </w:tc>
      </w:tr>
      <w:tr w:rsidR="00CD0E67" w:rsidRPr="0009721F" w:rsidTr="00B87973">
        <w:trPr>
          <w:trHeight w:val="50"/>
          <w:jc w:val="center"/>
        </w:trPr>
        <w:tc>
          <w:tcPr>
            <w:tcW w:w="3119" w:type="dxa"/>
            <w:shd w:val="clear" w:color="000000" w:fill="FFFFFF"/>
            <w:noWrap/>
            <w:vAlign w:val="center"/>
            <w:hideMark/>
          </w:tcPr>
          <w:p w:rsidR="00CD0E67" w:rsidRPr="0009721F" w:rsidRDefault="00CD0E67" w:rsidP="007F34A9">
            <w:pPr>
              <w:rPr>
                <w:rFonts w:eastAsia="Times New Roman" w:cs="Calibri"/>
                <w:sz w:val="20"/>
                <w:szCs w:val="20"/>
                <w:lang w:eastAsia="en-AU"/>
              </w:rPr>
            </w:pPr>
            <w:r w:rsidRPr="0009721F">
              <w:rPr>
                <w:rFonts w:eastAsia="Times New Roman" w:cs="Calibri"/>
                <w:sz w:val="20"/>
                <w:szCs w:val="20"/>
                <w:lang w:eastAsia="en-AU"/>
              </w:rPr>
              <w:t>Rehabilitation by owners</w:t>
            </w:r>
          </w:p>
        </w:tc>
        <w:tc>
          <w:tcPr>
            <w:tcW w:w="792"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sidRPr="0009721F">
              <w:rPr>
                <w:rFonts w:eastAsia="Times New Roman" w:cs="Calibri"/>
                <w:sz w:val="20"/>
                <w:szCs w:val="20"/>
                <w:lang w:eastAsia="en-AU"/>
              </w:rPr>
              <w:t>311</w:t>
            </w:r>
          </w:p>
        </w:tc>
        <w:tc>
          <w:tcPr>
            <w:tcW w:w="851"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sidRPr="0009721F">
              <w:rPr>
                <w:rFonts w:eastAsia="Times New Roman" w:cs="Calibri"/>
                <w:sz w:val="20"/>
                <w:szCs w:val="20"/>
                <w:lang w:eastAsia="en-AU"/>
              </w:rPr>
              <w:t>1,206</w:t>
            </w:r>
          </w:p>
        </w:tc>
        <w:tc>
          <w:tcPr>
            <w:tcW w:w="792"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sidRPr="0009721F">
              <w:rPr>
                <w:rFonts w:eastAsia="Times New Roman" w:cs="Calibri"/>
                <w:sz w:val="20"/>
                <w:szCs w:val="20"/>
                <w:lang w:eastAsia="en-AU"/>
              </w:rPr>
              <w:t>4,189</w:t>
            </w:r>
          </w:p>
        </w:tc>
        <w:tc>
          <w:tcPr>
            <w:tcW w:w="867"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sidRPr="0009721F">
              <w:rPr>
                <w:rFonts w:eastAsia="Times New Roman" w:cs="Calibri"/>
                <w:sz w:val="20"/>
                <w:szCs w:val="20"/>
                <w:lang w:eastAsia="en-AU"/>
              </w:rPr>
              <w:t>2,698</w:t>
            </w:r>
          </w:p>
        </w:tc>
        <w:tc>
          <w:tcPr>
            <w:tcW w:w="883"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sidRPr="00047885">
              <w:rPr>
                <w:rFonts w:eastAsia="Times New Roman" w:cs="Calibri"/>
                <w:sz w:val="20"/>
                <w:szCs w:val="20"/>
                <w:lang w:eastAsia="en-AU"/>
              </w:rPr>
              <w:t>4,189</w:t>
            </w:r>
          </w:p>
        </w:tc>
        <w:tc>
          <w:tcPr>
            <w:tcW w:w="884" w:type="dxa"/>
            <w:shd w:val="clear" w:color="000000" w:fill="FFFFFF"/>
            <w:noWrap/>
            <w:vAlign w:val="center"/>
            <w:hideMark/>
          </w:tcPr>
          <w:p w:rsidR="00CD0E67" w:rsidRPr="0009721F" w:rsidRDefault="00CD0E67" w:rsidP="007F34A9">
            <w:pPr>
              <w:jc w:val="right"/>
              <w:rPr>
                <w:rFonts w:eastAsia="Times New Roman" w:cs="Calibri"/>
                <w:sz w:val="20"/>
                <w:szCs w:val="20"/>
                <w:lang w:eastAsia="en-AU"/>
              </w:rPr>
            </w:pPr>
            <w:r>
              <w:rPr>
                <w:rFonts w:eastAsia="Times New Roman" w:cs="Calibri"/>
                <w:sz w:val="20"/>
                <w:szCs w:val="20"/>
                <w:lang w:eastAsia="en-AU"/>
              </w:rPr>
              <w:t>2</w:t>
            </w:r>
            <w:r w:rsidRPr="0009721F">
              <w:rPr>
                <w:rFonts w:eastAsia="Times New Roman" w:cs="Calibri"/>
                <w:sz w:val="20"/>
                <w:szCs w:val="20"/>
                <w:lang w:eastAsia="en-AU"/>
              </w:rPr>
              <w:t>,1</w:t>
            </w:r>
            <w:r>
              <w:rPr>
                <w:rFonts w:eastAsia="Times New Roman" w:cs="Calibri"/>
                <w:sz w:val="20"/>
                <w:szCs w:val="20"/>
                <w:lang w:eastAsia="en-AU"/>
              </w:rPr>
              <w:t>70</w:t>
            </w:r>
          </w:p>
        </w:tc>
      </w:tr>
    </w:tbl>
    <w:p w:rsidR="00CD0E67" w:rsidRDefault="00CD0E67" w:rsidP="00CD0E67">
      <w:pPr>
        <w:jc w:val="both"/>
      </w:pPr>
    </w:p>
    <w:p w:rsidR="00CD0E67" w:rsidRDefault="00CD0E67" w:rsidP="00CD0E67">
      <w:pPr>
        <w:jc w:val="both"/>
      </w:pPr>
      <w:r>
        <w:t>Option 2 is expected to result in an estimated 1,206 additional dogs being rehabilitated (i.e. 28.8% of the maximum number of dogs under any of the options). Therefore, Option 2 is awarded a score of +2.9.</w:t>
      </w:r>
    </w:p>
    <w:p w:rsidR="00CD0E67" w:rsidRDefault="00CD0E67" w:rsidP="00CD0E67">
      <w:pPr>
        <w:jc w:val="both"/>
      </w:pPr>
    </w:p>
    <w:p w:rsidR="00CD0E67" w:rsidRPr="00077626" w:rsidRDefault="00CD0E67" w:rsidP="00CD0E67">
      <w:pPr>
        <w:jc w:val="both"/>
      </w:pPr>
      <w:r w:rsidRPr="00C77237">
        <w:t>Options 3</w:t>
      </w:r>
      <w:r w:rsidRPr="00077626">
        <w:t xml:space="preserve"> and</w:t>
      </w:r>
      <w:r w:rsidRPr="00C77237">
        <w:t xml:space="preserve"> 5 are expected to result in the maximum number of additional dogs being rehabilitated under any of the options (i.e. 4,189 dogs)</w:t>
      </w:r>
      <w:r>
        <w:t>.</w:t>
      </w:r>
      <w:r w:rsidR="007B521C">
        <w:t xml:space="preserve"> </w:t>
      </w:r>
      <w:r w:rsidRPr="00077626">
        <w:t>Therefore, Options 3 and 5</w:t>
      </w:r>
      <w:r>
        <w:t xml:space="preserve"> which maximise</w:t>
      </w:r>
      <w:r w:rsidRPr="00077626">
        <w:t xml:space="preserve"> opportunities for socialisation, provide the largest rehoming potential and are provided a score of +10 against this criterion.</w:t>
      </w:r>
    </w:p>
    <w:p w:rsidR="00CD0E67" w:rsidRDefault="00CD0E67" w:rsidP="00CD0E67">
      <w:pPr>
        <w:jc w:val="both"/>
        <w:rPr>
          <w:highlight w:val="green"/>
        </w:rPr>
      </w:pPr>
    </w:p>
    <w:p w:rsidR="00CD0E67" w:rsidRDefault="00CD0E67" w:rsidP="00CD0E67">
      <w:pPr>
        <w:jc w:val="both"/>
      </w:pPr>
      <w:r>
        <w:t>Option 4 is expected to result in 2,698 additional dogs being rehabilitated, as compared against the base case, and 64.4% of the maximum number of dogs being rehabilitated and therefore Option 4 is awarded a score of +6.4.</w:t>
      </w:r>
    </w:p>
    <w:p w:rsidR="00CD0E67" w:rsidRDefault="00CD0E67" w:rsidP="00CD0E67">
      <w:pPr>
        <w:jc w:val="both"/>
        <w:rPr>
          <w:color w:val="000000" w:themeColor="text1"/>
        </w:rPr>
      </w:pPr>
    </w:p>
    <w:p w:rsidR="00CD0E67" w:rsidRDefault="00CD0E67" w:rsidP="00CD0E67">
      <w:pPr>
        <w:jc w:val="both"/>
      </w:pPr>
      <w:r>
        <w:t>Finally, Option 6 is expected to result in 2,170 additional dogs being rehabilitated, as compared against the base case, and 51.8% of the maximum number of dogs being rehabilitated and therefore Option 6 is awarded a score of +5.2.</w:t>
      </w:r>
    </w:p>
    <w:p w:rsidR="0067241A" w:rsidRDefault="0067241A" w:rsidP="00F4329F"/>
    <w:p w:rsidR="00CD0E67" w:rsidRPr="00077626" w:rsidRDefault="00CD0E67" w:rsidP="00AB74F5">
      <w:pPr>
        <w:pStyle w:val="H11italic"/>
      </w:pPr>
      <w:bookmarkStart w:id="18" w:name="_Toc477190137"/>
      <w:r>
        <w:t xml:space="preserve">Net costs </w:t>
      </w:r>
      <w:r w:rsidRPr="00077626">
        <w:t>criterion</w:t>
      </w:r>
      <w:bookmarkEnd w:id="18"/>
    </w:p>
    <w:p w:rsidR="00CD0E67" w:rsidRDefault="00F31C9C">
      <w:r>
        <w:t>The following t</w:t>
      </w:r>
      <w:r w:rsidR="00CD0E67">
        <w:t>able provides a summary of all estimated incremental costs as a comparison against all Options 1 to 6</w:t>
      </w:r>
      <w:r w:rsidR="006A5EAB">
        <w:t>. All costs are presented over 10 years, for the industry as a whole, and are discounted at a rate of 3.5% to show the present value of the costs.</w:t>
      </w:r>
    </w:p>
    <w:p w:rsidR="00CD0E67" w:rsidRDefault="00CD0E67" w:rsidP="00F4329F"/>
    <w:p w:rsidR="00C02451" w:rsidRDefault="00C02451">
      <w:pPr>
        <w:rPr>
          <w:b/>
          <w:sz w:val="20"/>
        </w:rPr>
      </w:pPr>
      <w:r>
        <w:rPr>
          <w:b/>
          <w:sz w:val="20"/>
        </w:rPr>
        <w:br w:type="page"/>
      </w:r>
    </w:p>
    <w:p w:rsidR="00CD0E67" w:rsidRDefault="00CD0E67" w:rsidP="00CD0E67">
      <w:pPr>
        <w:jc w:val="center"/>
        <w:rPr>
          <w:b/>
          <w:sz w:val="20"/>
        </w:rPr>
      </w:pPr>
      <w:r>
        <w:rPr>
          <w:b/>
          <w:sz w:val="20"/>
        </w:rPr>
        <w:lastRenderedPageBreak/>
        <w:t>Summary of estimated incremental costs $m – Options 1 to 6</w:t>
      </w:r>
      <w:r>
        <w:rPr>
          <w:rStyle w:val="FootnoteReference"/>
          <w:b/>
          <w:sz w:val="20"/>
        </w:rPr>
        <w:footnoteReference w:id="2"/>
      </w:r>
    </w:p>
    <w:p w:rsidR="00CD0E67" w:rsidRDefault="00CD0E67" w:rsidP="00F4329F"/>
    <w:tbl>
      <w:tblPr>
        <w:tblW w:w="8815" w:type="dxa"/>
        <w:jc w:val="center"/>
        <w:tblLayout w:type="fixed"/>
        <w:tblLook w:val="04A0" w:firstRow="1" w:lastRow="0" w:firstColumn="1" w:lastColumn="0" w:noHBand="0" w:noVBand="1"/>
      </w:tblPr>
      <w:tblGrid>
        <w:gridCol w:w="672"/>
        <w:gridCol w:w="2589"/>
        <w:gridCol w:w="992"/>
        <w:gridCol w:w="872"/>
        <w:gridCol w:w="903"/>
        <w:gridCol w:w="942"/>
        <w:gridCol w:w="903"/>
        <w:gridCol w:w="942"/>
      </w:tblGrid>
      <w:tr w:rsidR="00CD0E67" w:rsidRPr="00F5127B" w:rsidTr="00202816">
        <w:trPr>
          <w:trHeight w:val="300"/>
          <w:tblHeader/>
          <w:jc w:val="center"/>
        </w:trPr>
        <w:tc>
          <w:tcPr>
            <w:tcW w:w="672" w:type="dxa"/>
            <w:tcBorders>
              <w:left w:val="nil"/>
              <w:right w:val="nil"/>
            </w:tcBorders>
            <w:shd w:val="clear" w:color="auto" w:fill="auto"/>
            <w:noWrap/>
            <w:vAlign w:val="bottom"/>
          </w:tcPr>
          <w:p w:rsidR="00CD0E67" w:rsidRPr="00F5127B" w:rsidRDefault="00CD0E67" w:rsidP="007F34A9">
            <w:pPr>
              <w:rPr>
                <w:rFonts w:ascii="Times New Roman" w:eastAsia="Times New Roman" w:hAnsi="Times New Roman" w:cs="Times New Roman"/>
                <w:sz w:val="18"/>
                <w:szCs w:val="18"/>
                <w:lang w:eastAsia="en-AU"/>
              </w:rPr>
            </w:pPr>
          </w:p>
        </w:tc>
        <w:tc>
          <w:tcPr>
            <w:tcW w:w="2589" w:type="dxa"/>
            <w:tcBorders>
              <w:left w:val="nil"/>
              <w:right w:val="nil"/>
            </w:tcBorders>
            <w:shd w:val="clear" w:color="auto" w:fill="auto"/>
            <w:noWrap/>
            <w:vAlign w:val="bottom"/>
          </w:tcPr>
          <w:p w:rsidR="00CD0E67" w:rsidRPr="00B87973" w:rsidRDefault="00CD0E67" w:rsidP="007F34A9">
            <w:pPr>
              <w:rPr>
                <w:rFonts w:eastAsia="Times New Roman" w:cs="Calibri"/>
                <w:b/>
                <w:color w:val="53565A"/>
                <w:sz w:val="18"/>
                <w:szCs w:val="18"/>
                <w:lang w:eastAsia="en-AU"/>
              </w:rPr>
            </w:pPr>
          </w:p>
        </w:tc>
        <w:tc>
          <w:tcPr>
            <w:tcW w:w="99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1</w:t>
            </w:r>
          </w:p>
        </w:tc>
        <w:tc>
          <w:tcPr>
            <w:tcW w:w="87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2</w:t>
            </w:r>
          </w:p>
        </w:tc>
        <w:tc>
          <w:tcPr>
            <w:tcW w:w="903"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3</w:t>
            </w:r>
          </w:p>
        </w:tc>
        <w:tc>
          <w:tcPr>
            <w:tcW w:w="94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4</w:t>
            </w:r>
          </w:p>
        </w:tc>
        <w:tc>
          <w:tcPr>
            <w:tcW w:w="903"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5</w:t>
            </w:r>
          </w:p>
        </w:tc>
        <w:tc>
          <w:tcPr>
            <w:tcW w:w="94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Option 6</w:t>
            </w:r>
          </w:p>
        </w:tc>
      </w:tr>
      <w:tr w:rsidR="00CD0E67" w:rsidRPr="00F5127B" w:rsidTr="00B87973">
        <w:trPr>
          <w:trHeight w:val="610"/>
          <w:tblHeader/>
          <w:jc w:val="center"/>
        </w:trPr>
        <w:tc>
          <w:tcPr>
            <w:tcW w:w="672" w:type="dxa"/>
            <w:tcBorders>
              <w:left w:val="nil"/>
              <w:bottom w:val="double" w:sz="4" w:space="0" w:color="53565A"/>
              <w:right w:val="nil"/>
            </w:tcBorders>
            <w:shd w:val="clear" w:color="auto" w:fill="auto"/>
            <w:noWrap/>
            <w:vAlign w:val="bottom"/>
            <w:hideMark/>
          </w:tcPr>
          <w:p w:rsidR="00CD0E67" w:rsidRPr="00F5127B" w:rsidRDefault="00CD0E67" w:rsidP="007F34A9">
            <w:pPr>
              <w:jc w:val="center"/>
              <w:rPr>
                <w:rFonts w:eastAsia="Times New Roman" w:cs="Calibri"/>
                <w:b/>
                <w:color w:val="1F497D" w:themeColor="text2"/>
                <w:sz w:val="18"/>
                <w:szCs w:val="18"/>
                <w:lang w:eastAsia="en-AU"/>
              </w:rPr>
            </w:pPr>
            <w:r w:rsidRPr="00B87973">
              <w:rPr>
                <w:rFonts w:eastAsia="Times New Roman" w:cs="Calibri"/>
                <w:b/>
                <w:color w:val="53565A"/>
                <w:sz w:val="18"/>
                <w:szCs w:val="18"/>
                <w:lang w:eastAsia="en-AU"/>
              </w:rPr>
              <w:t>Std.</w:t>
            </w:r>
          </w:p>
        </w:tc>
        <w:tc>
          <w:tcPr>
            <w:tcW w:w="2589" w:type="dxa"/>
            <w:tcBorders>
              <w:left w:val="nil"/>
              <w:bottom w:val="double" w:sz="4" w:space="0" w:color="53565A"/>
              <w:right w:val="nil"/>
            </w:tcBorders>
            <w:shd w:val="clear" w:color="auto" w:fill="auto"/>
            <w:noWrap/>
            <w:vAlign w:val="bottom"/>
            <w:hideMark/>
          </w:tcPr>
          <w:p w:rsidR="00CD0E67" w:rsidRPr="00B87973" w:rsidRDefault="00CD0E67" w:rsidP="007F34A9">
            <w:pPr>
              <w:rPr>
                <w:rFonts w:eastAsia="Times New Roman" w:cs="Calibri"/>
                <w:b/>
                <w:color w:val="53565A"/>
                <w:sz w:val="18"/>
                <w:szCs w:val="18"/>
                <w:lang w:eastAsia="en-AU"/>
              </w:rPr>
            </w:pPr>
            <w:r w:rsidRPr="00B87973">
              <w:rPr>
                <w:rFonts w:eastAsia="Times New Roman" w:cs="Calibri"/>
                <w:b/>
                <w:color w:val="53565A"/>
                <w:sz w:val="18"/>
                <w:szCs w:val="18"/>
                <w:lang w:eastAsia="en-AU"/>
              </w:rPr>
              <w:t>Nature of quantifiable cost</w:t>
            </w:r>
          </w:p>
        </w:tc>
        <w:tc>
          <w:tcPr>
            <w:tcW w:w="992"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c>
          <w:tcPr>
            <w:tcW w:w="872"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c>
          <w:tcPr>
            <w:tcW w:w="903"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c>
          <w:tcPr>
            <w:tcW w:w="942"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c>
          <w:tcPr>
            <w:tcW w:w="903"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c>
          <w:tcPr>
            <w:tcW w:w="942" w:type="dxa"/>
            <w:tcBorders>
              <w:top w:val="single" w:sz="4" w:space="0" w:color="0F243E" w:themeColor="text2" w:themeShade="80"/>
              <w:left w:val="nil"/>
              <w:bottom w:val="double" w:sz="4" w:space="0" w:color="53565A"/>
              <w:right w:val="nil"/>
            </w:tcBorders>
            <w:shd w:val="clear" w:color="auto" w:fill="auto"/>
            <w:noWrap/>
            <w:vAlign w:val="bottom"/>
            <w:hideMark/>
          </w:tcPr>
          <w:p w:rsidR="00CD0E67" w:rsidRPr="00B87973" w:rsidRDefault="00CD0E67" w:rsidP="007F34A9">
            <w:pPr>
              <w:jc w:val="center"/>
              <w:rPr>
                <w:rFonts w:eastAsia="Times New Roman" w:cs="Calibri"/>
                <w:b/>
                <w:color w:val="53565A"/>
                <w:sz w:val="18"/>
                <w:szCs w:val="18"/>
                <w:lang w:eastAsia="en-AU"/>
              </w:rPr>
            </w:pPr>
            <w:r w:rsidRPr="00B87973">
              <w:rPr>
                <w:rFonts w:eastAsia="Times New Roman" w:cs="Calibri"/>
                <w:b/>
                <w:color w:val="53565A"/>
                <w:sz w:val="18"/>
                <w:szCs w:val="18"/>
                <w:lang w:eastAsia="en-AU"/>
              </w:rPr>
              <w:t>10-year PV</w:t>
            </w:r>
          </w:p>
        </w:tc>
      </w:tr>
      <w:tr w:rsidR="00CD0E67" w:rsidRPr="00F5127B" w:rsidTr="00B87973">
        <w:trPr>
          <w:trHeight w:val="317"/>
          <w:jc w:val="center"/>
        </w:trPr>
        <w:tc>
          <w:tcPr>
            <w:tcW w:w="672" w:type="dxa"/>
            <w:tcBorders>
              <w:top w:val="double" w:sz="4" w:space="0" w:color="53565A"/>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N/A</w:t>
            </w:r>
          </w:p>
        </w:tc>
        <w:tc>
          <w:tcPr>
            <w:tcW w:w="2589" w:type="dxa"/>
            <w:tcBorders>
              <w:top w:val="double" w:sz="4" w:space="0" w:color="53565A"/>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Media</w:t>
            </w:r>
          </w:p>
        </w:tc>
        <w:tc>
          <w:tcPr>
            <w:tcW w:w="992"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$0.965</w:t>
            </w:r>
          </w:p>
        </w:tc>
        <w:tc>
          <w:tcPr>
            <w:tcW w:w="872"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53565A"/>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N/A</w:t>
            </w:r>
          </w:p>
        </w:tc>
      </w:tr>
      <w:tr w:rsidR="00CD0E67" w:rsidRPr="00F5127B" w:rsidTr="00202816">
        <w:trPr>
          <w:trHeight w:val="80"/>
          <w:jc w:val="center"/>
        </w:trPr>
        <w:tc>
          <w:tcPr>
            <w:tcW w:w="672" w:type="dxa"/>
            <w:tcBorders>
              <w:top w:val="nil"/>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3.1</w:t>
            </w:r>
          </w:p>
        </w:tc>
        <w:tc>
          <w:tcPr>
            <w:tcW w:w="2589" w:type="dxa"/>
            <w:tcBorders>
              <w:top w:val="nil"/>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Staff Ratio 1:25</w:t>
            </w:r>
          </w:p>
        </w:tc>
        <w:tc>
          <w:tcPr>
            <w:tcW w:w="99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$2.074</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$5.006</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$7.938</w:t>
            </w:r>
          </w:p>
        </w:tc>
      </w:tr>
      <w:tr w:rsidR="00CD0E67" w:rsidRPr="00F5127B" w:rsidTr="00202816">
        <w:trPr>
          <w:trHeight w:val="80"/>
          <w:jc w:val="center"/>
        </w:trPr>
        <w:tc>
          <w:tcPr>
            <w:tcW w:w="672" w:type="dxa"/>
            <w:tcBorders>
              <w:top w:val="nil"/>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3.6</w:t>
            </w:r>
          </w:p>
        </w:tc>
        <w:tc>
          <w:tcPr>
            <w:tcW w:w="2589" w:type="dxa"/>
            <w:tcBorders>
              <w:top w:val="nil"/>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Independent VET</w:t>
            </w:r>
          </w:p>
        </w:tc>
        <w:tc>
          <w:tcPr>
            <w:tcW w:w="99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$0.001</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$0.003</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$0.004</w:t>
            </w:r>
          </w:p>
        </w:tc>
      </w:tr>
      <w:tr w:rsidR="00CD0E67" w:rsidRPr="00F5127B" w:rsidTr="00202816">
        <w:trPr>
          <w:trHeight w:val="80"/>
          <w:jc w:val="center"/>
        </w:trPr>
        <w:tc>
          <w:tcPr>
            <w:tcW w:w="672" w:type="dxa"/>
            <w:tcBorders>
              <w:top w:val="nil"/>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4.1</w:t>
            </w:r>
          </w:p>
        </w:tc>
        <w:tc>
          <w:tcPr>
            <w:tcW w:w="2589" w:type="dxa"/>
            <w:tcBorders>
              <w:top w:val="nil"/>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Health management plans</w:t>
            </w:r>
          </w:p>
        </w:tc>
        <w:tc>
          <w:tcPr>
            <w:tcW w:w="99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$0.668</w:t>
            </w:r>
          </w:p>
        </w:tc>
        <w:tc>
          <w:tcPr>
            <w:tcW w:w="87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$0.939</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$1.387</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$1.835</w:t>
            </w:r>
          </w:p>
        </w:tc>
      </w:tr>
      <w:tr w:rsidR="00CD0E67" w:rsidRPr="00F5127B" w:rsidTr="00202816">
        <w:trPr>
          <w:trHeight w:val="80"/>
          <w:jc w:val="center"/>
        </w:trPr>
        <w:tc>
          <w:tcPr>
            <w:tcW w:w="672" w:type="dxa"/>
            <w:tcBorders>
              <w:top w:val="nil"/>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5</w:t>
            </w:r>
          </w:p>
        </w:tc>
        <w:tc>
          <w:tcPr>
            <w:tcW w:w="2589" w:type="dxa"/>
            <w:tcBorders>
              <w:top w:val="nil"/>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Record keeping</w:t>
            </w:r>
          </w:p>
        </w:tc>
        <w:tc>
          <w:tcPr>
            <w:tcW w:w="99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$0.027</w:t>
            </w:r>
          </w:p>
        </w:tc>
        <w:tc>
          <w:tcPr>
            <w:tcW w:w="87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$0.178</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$0.428</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$0.679</w:t>
            </w:r>
          </w:p>
        </w:tc>
      </w:tr>
      <w:tr w:rsidR="00CD0E67" w:rsidRPr="00F5127B" w:rsidTr="00202816">
        <w:trPr>
          <w:trHeight w:val="80"/>
          <w:jc w:val="center"/>
        </w:trPr>
        <w:tc>
          <w:tcPr>
            <w:tcW w:w="672" w:type="dxa"/>
            <w:tcBorders>
              <w:top w:val="nil"/>
              <w:left w:val="nil"/>
              <w:bottom w:val="nil"/>
              <w:right w:val="nil"/>
            </w:tcBorders>
            <w:shd w:val="clear" w:color="auto" w:fill="auto"/>
            <w:noWrap/>
            <w:vAlign w:val="bottom"/>
            <w:hideMark/>
          </w:tcPr>
          <w:p w:rsidR="00CD0E67" w:rsidRPr="00F5127B" w:rsidRDefault="00CD0E67" w:rsidP="00054CD3">
            <w:pPr>
              <w:rPr>
                <w:rFonts w:eastAsia="Times New Roman" w:cs="Calibri"/>
                <w:sz w:val="18"/>
                <w:szCs w:val="18"/>
                <w:lang w:eastAsia="en-AU"/>
              </w:rPr>
            </w:pPr>
            <w:r w:rsidRPr="00F5127B">
              <w:rPr>
                <w:rFonts w:eastAsia="Times New Roman" w:cs="Calibri"/>
                <w:sz w:val="18"/>
                <w:szCs w:val="18"/>
                <w:lang w:eastAsia="en-AU"/>
              </w:rPr>
              <w:t>5.2.1</w:t>
            </w:r>
          </w:p>
        </w:tc>
        <w:tc>
          <w:tcPr>
            <w:tcW w:w="2589" w:type="dxa"/>
            <w:tcBorders>
              <w:top w:val="nil"/>
              <w:left w:val="nil"/>
              <w:bottom w:val="nil"/>
              <w:right w:val="nil"/>
            </w:tcBorders>
            <w:shd w:val="clear" w:color="auto" w:fill="auto"/>
            <w:noWrap/>
            <w:vAlign w:val="bottom"/>
            <w:hideMark/>
          </w:tcPr>
          <w:p w:rsidR="00CD0E67" w:rsidRPr="00054CD3" w:rsidRDefault="00CD0E67" w:rsidP="007F34A9">
            <w:pPr>
              <w:rPr>
                <w:rFonts w:eastAsia="Times New Roman" w:cs="Calibri"/>
                <w:color w:val="auto"/>
                <w:sz w:val="18"/>
                <w:szCs w:val="18"/>
                <w:lang w:eastAsia="en-AU"/>
              </w:rPr>
            </w:pPr>
            <w:r w:rsidRPr="00054CD3">
              <w:rPr>
                <w:rFonts w:eastAsia="Times New Roman" w:cs="Calibri"/>
                <w:color w:val="auto"/>
                <w:sz w:val="18"/>
                <w:szCs w:val="18"/>
                <w:lang w:eastAsia="en-AU"/>
              </w:rPr>
              <w:t>Records of health &amp; transfer</w:t>
            </w:r>
          </w:p>
        </w:tc>
        <w:tc>
          <w:tcPr>
            <w:tcW w:w="99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$0.043</w:t>
            </w:r>
          </w:p>
        </w:tc>
        <w:tc>
          <w:tcPr>
            <w:tcW w:w="87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$0.284</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$0.685</w:t>
            </w:r>
          </w:p>
        </w:tc>
        <w:tc>
          <w:tcPr>
            <w:tcW w:w="903"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CD0E67" w:rsidRPr="00F5127B" w:rsidRDefault="00CD0E67" w:rsidP="007F34A9">
            <w:pPr>
              <w:jc w:val="right"/>
              <w:rPr>
                <w:rFonts w:eastAsia="Times New Roman" w:cs="Calibri"/>
                <w:i/>
                <w:sz w:val="18"/>
                <w:szCs w:val="18"/>
                <w:lang w:eastAsia="en-AU"/>
              </w:rPr>
            </w:pPr>
            <w:r w:rsidRPr="00F5127B">
              <w:rPr>
                <w:rFonts w:eastAsia="Times New Roman" w:cs="Calibri"/>
                <w:i/>
                <w:sz w:val="18"/>
                <w:szCs w:val="18"/>
                <w:lang w:eastAsia="en-AU"/>
              </w:rPr>
              <w:t>$1.087</w:t>
            </w:r>
          </w:p>
        </w:tc>
      </w:tr>
      <w:tr w:rsidR="009A1879" w:rsidRPr="00F5127B" w:rsidTr="00202816">
        <w:trPr>
          <w:trHeight w:val="80"/>
          <w:jc w:val="center"/>
        </w:trPr>
        <w:tc>
          <w:tcPr>
            <w:tcW w:w="672" w:type="dxa"/>
            <w:tcBorders>
              <w:left w:val="nil"/>
              <w:bottom w:val="nil"/>
              <w:right w:val="nil"/>
            </w:tcBorders>
            <w:shd w:val="clear" w:color="auto" w:fill="auto"/>
            <w:noWrap/>
            <w:vAlign w:val="bottom"/>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6.1.1</w:t>
            </w:r>
          </w:p>
        </w:tc>
        <w:tc>
          <w:tcPr>
            <w:tcW w:w="2589" w:type="dxa"/>
            <w:tcBorders>
              <w:left w:val="nil"/>
              <w:bottom w:val="nil"/>
              <w:right w:val="nil"/>
            </w:tcBorders>
            <w:shd w:val="clear" w:color="auto" w:fill="auto"/>
            <w:noWrap/>
            <w:vAlign w:val="bottom"/>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Food</w:t>
            </w:r>
          </w:p>
        </w:tc>
        <w:tc>
          <w:tcPr>
            <w:tcW w:w="992" w:type="dxa"/>
            <w:tcBorders>
              <w:left w:val="nil"/>
              <w:bottom w:val="nil"/>
              <w:right w:val="nil"/>
            </w:tcBorders>
            <w:shd w:val="clear" w:color="auto" w:fill="auto"/>
            <w:noWrap/>
            <w:vAlign w:val="bottom"/>
          </w:tcPr>
          <w:p w:rsidR="009A1879" w:rsidRPr="00F5127B" w:rsidRDefault="009A1879" w:rsidP="00054CD3">
            <w:pPr>
              <w:jc w:val="right"/>
              <w:rPr>
                <w:rFonts w:eastAsia="Times New Roman" w:cs="Calibri"/>
                <w:sz w:val="18"/>
                <w:szCs w:val="18"/>
                <w:lang w:eastAsia="en-AU"/>
              </w:rPr>
            </w:pPr>
            <w:r w:rsidRPr="00F5127B">
              <w:rPr>
                <w:rFonts w:eastAsia="Times New Roman" w:cs="Calibri"/>
                <w:i/>
                <w:sz w:val="18"/>
                <w:szCs w:val="18"/>
                <w:lang w:eastAsia="en-AU"/>
              </w:rPr>
              <w:t>$0.027</w:t>
            </w:r>
          </w:p>
        </w:tc>
        <w:tc>
          <w:tcPr>
            <w:tcW w:w="87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$0.185</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$0.707</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$0.446</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$0.707</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$0.707</w:t>
            </w:r>
          </w:p>
        </w:tc>
      </w:tr>
      <w:tr w:rsidR="009A1879" w:rsidRPr="00F5127B" w:rsidTr="00202816">
        <w:trPr>
          <w:trHeight w:val="70"/>
          <w:jc w:val="center"/>
        </w:trPr>
        <w:tc>
          <w:tcPr>
            <w:tcW w:w="672" w:type="dxa"/>
            <w:tcBorders>
              <w:left w:val="nil"/>
              <w:bottom w:val="nil"/>
              <w:right w:val="nil"/>
            </w:tcBorders>
            <w:shd w:val="clear" w:color="auto" w:fill="auto"/>
            <w:noWrap/>
            <w:vAlign w:val="bottom"/>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6.2.3</w:t>
            </w:r>
          </w:p>
        </w:tc>
        <w:tc>
          <w:tcPr>
            <w:tcW w:w="2589" w:type="dxa"/>
            <w:tcBorders>
              <w:left w:val="nil"/>
              <w:bottom w:val="nil"/>
              <w:right w:val="nil"/>
            </w:tcBorders>
            <w:shd w:val="clear" w:color="auto" w:fill="auto"/>
            <w:noWrap/>
            <w:vAlign w:val="bottom"/>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Health checks</w:t>
            </w:r>
          </w:p>
        </w:tc>
        <w:tc>
          <w:tcPr>
            <w:tcW w:w="992" w:type="dxa"/>
            <w:tcBorders>
              <w:left w:val="nil"/>
              <w:bottom w:val="nil"/>
              <w:right w:val="nil"/>
            </w:tcBorders>
            <w:shd w:val="clear" w:color="auto" w:fill="auto"/>
            <w:noWrap/>
            <w:vAlign w:val="bottom"/>
          </w:tcPr>
          <w:p w:rsidR="009A1879" w:rsidRPr="00F5127B" w:rsidRDefault="009A1879" w:rsidP="00054CD3">
            <w:pPr>
              <w:jc w:val="right"/>
              <w:rPr>
                <w:rFonts w:eastAsia="Times New Roman" w:cs="Calibri"/>
                <w:sz w:val="18"/>
                <w:szCs w:val="18"/>
                <w:lang w:eastAsia="en-AU"/>
              </w:rPr>
            </w:pPr>
            <w:r w:rsidRPr="00F5127B">
              <w:rPr>
                <w:rFonts w:eastAsia="Times New Roman" w:cs="Calibri"/>
                <w:i/>
                <w:sz w:val="18"/>
                <w:szCs w:val="18"/>
                <w:lang w:eastAsia="en-AU"/>
              </w:rPr>
              <w:t>$0.620</w:t>
            </w:r>
          </w:p>
        </w:tc>
        <w:tc>
          <w:tcPr>
            <w:tcW w:w="87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$4.110</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$15.727</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$9.918</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$0.000</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$15.727</w:t>
            </w:r>
          </w:p>
        </w:tc>
      </w:tr>
      <w:tr w:rsidR="009A1879" w:rsidRPr="00F5127B" w:rsidTr="00202816">
        <w:trPr>
          <w:trHeight w:val="70"/>
          <w:jc w:val="center"/>
        </w:trPr>
        <w:tc>
          <w:tcPr>
            <w:tcW w:w="672" w:type="dxa"/>
            <w:tcBorders>
              <w:left w:val="nil"/>
              <w:right w:val="nil"/>
            </w:tcBorders>
            <w:shd w:val="clear" w:color="auto" w:fill="auto"/>
            <w:noWrap/>
            <w:vAlign w:val="bottom"/>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6.3.9</w:t>
            </w:r>
          </w:p>
        </w:tc>
        <w:tc>
          <w:tcPr>
            <w:tcW w:w="2589" w:type="dxa"/>
            <w:tcBorders>
              <w:left w:val="nil"/>
              <w:right w:val="nil"/>
            </w:tcBorders>
            <w:shd w:val="clear" w:color="auto" w:fill="auto"/>
            <w:noWrap/>
            <w:vAlign w:val="bottom"/>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Rearing</w:t>
            </w:r>
          </w:p>
        </w:tc>
        <w:tc>
          <w:tcPr>
            <w:tcW w:w="992" w:type="dxa"/>
            <w:tcBorders>
              <w:left w:val="nil"/>
              <w:right w:val="nil"/>
            </w:tcBorders>
            <w:shd w:val="clear" w:color="auto" w:fill="auto"/>
            <w:noWrap/>
            <w:vAlign w:val="bottom"/>
          </w:tcPr>
          <w:p w:rsidR="009A1879" w:rsidRPr="00F5127B" w:rsidRDefault="009A1879" w:rsidP="00054CD3">
            <w:pPr>
              <w:jc w:val="right"/>
              <w:rPr>
                <w:rFonts w:eastAsia="Times New Roman" w:cs="Calibri"/>
                <w:sz w:val="18"/>
                <w:szCs w:val="18"/>
                <w:lang w:eastAsia="en-AU"/>
              </w:rPr>
            </w:pPr>
            <w:r w:rsidRPr="00F5127B">
              <w:rPr>
                <w:rFonts w:eastAsia="Times New Roman" w:cs="Calibri"/>
                <w:i/>
                <w:sz w:val="18"/>
                <w:szCs w:val="18"/>
                <w:lang w:eastAsia="en-AU"/>
              </w:rPr>
              <w:t>$1.531</w:t>
            </w:r>
          </w:p>
        </w:tc>
        <w:tc>
          <w:tcPr>
            <w:tcW w:w="872" w:type="dxa"/>
            <w:tcBorders>
              <w:left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$9.777</w:t>
            </w:r>
          </w:p>
        </w:tc>
        <w:tc>
          <w:tcPr>
            <w:tcW w:w="903" w:type="dxa"/>
            <w:tcBorders>
              <w:left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$37.416</w:t>
            </w:r>
          </w:p>
        </w:tc>
        <w:tc>
          <w:tcPr>
            <w:tcW w:w="942" w:type="dxa"/>
            <w:tcBorders>
              <w:left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$23.596</w:t>
            </w:r>
          </w:p>
        </w:tc>
        <w:tc>
          <w:tcPr>
            <w:tcW w:w="903" w:type="dxa"/>
            <w:tcBorders>
              <w:left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$37.416</w:t>
            </w:r>
          </w:p>
        </w:tc>
        <w:tc>
          <w:tcPr>
            <w:tcW w:w="942" w:type="dxa"/>
            <w:tcBorders>
              <w:left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F5127B">
              <w:rPr>
                <w:rFonts w:eastAsia="Times New Roman" w:cs="Calibri"/>
                <w:i/>
                <w:sz w:val="18"/>
                <w:szCs w:val="18"/>
                <w:lang w:eastAsia="en-AU"/>
              </w:rPr>
              <w:t>$19.599</w:t>
            </w:r>
          </w:p>
        </w:tc>
      </w:tr>
      <w:tr w:rsidR="009A1879" w:rsidRPr="00F5127B" w:rsidTr="00202816">
        <w:trPr>
          <w:trHeight w:val="70"/>
          <w:jc w:val="center"/>
        </w:trPr>
        <w:tc>
          <w:tcPr>
            <w:tcW w:w="672" w:type="dxa"/>
            <w:tcBorders>
              <w:left w:val="nil"/>
              <w:bottom w:val="nil"/>
              <w:right w:val="nil"/>
            </w:tcBorders>
            <w:shd w:val="clear" w:color="auto" w:fill="auto"/>
            <w:noWrap/>
            <w:vAlign w:val="bottom"/>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6.3.12</w:t>
            </w:r>
          </w:p>
        </w:tc>
        <w:tc>
          <w:tcPr>
            <w:tcW w:w="2589" w:type="dxa"/>
            <w:tcBorders>
              <w:left w:val="nil"/>
              <w:bottom w:val="nil"/>
              <w:right w:val="nil"/>
            </w:tcBorders>
            <w:shd w:val="clear" w:color="auto" w:fill="auto"/>
            <w:noWrap/>
            <w:vAlign w:val="bottom"/>
          </w:tcPr>
          <w:p w:rsidR="009A1879" w:rsidRPr="00054CD3" w:rsidRDefault="00D8544F" w:rsidP="00D8544F">
            <w:pPr>
              <w:rPr>
                <w:rFonts w:eastAsia="Times New Roman" w:cs="Calibri"/>
                <w:color w:val="auto"/>
                <w:sz w:val="18"/>
                <w:szCs w:val="18"/>
                <w:lang w:eastAsia="en-AU"/>
              </w:rPr>
            </w:pPr>
            <w:r>
              <w:rPr>
                <w:rFonts w:eastAsia="Times New Roman" w:cs="Calibri"/>
                <w:color w:val="auto"/>
                <w:sz w:val="18"/>
                <w:szCs w:val="18"/>
                <w:lang w:eastAsia="en-AU"/>
              </w:rPr>
              <w:t>Rehoming</w:t>
            </w:r>
            <w:r w:rsidR="009A1879" w:rsidRPr="00054CD3">
              <w:rPr>
                <w:rFonts w:eastAsia="Times New Roman" w:cs="Calibri"/>
                <w:color w:val="auto"/>
                <w:sz w:val="18"/>
                <w:szCs w:val="18"/>
                <w:lang w:eastAsia="en-AU"/>
              </w:rPr>
              <w:t xml:space="preserve"> reform</w:t>
            </w:r>
          </w:p>
        </w:tc>
        <w:tc>
          <w:tcPr>
            <w:tcW w:w="992" w:type="dxa"/>
            <w:tcBorders>
              <w:left w:val="nil"/>
              <w:bottom w:val="nil"/>
              <w:right w:val="nil"/>
            </w:tcBorders>
            <w:shd w:val="clear" w:color="auto" w:fill="auto"/>
            <w:noWrap/>
            <w:vAlign w:val="bottom"/>
          </w:tcPr>
          <w:p w:rsidR="009A1879" w:rsidRPr="00F5127B" w:rsidRDefault="009A1879" w:rsidP="00054CD3">
            <w:pPr>
              <w:jc w:val="right"/>
              <w:rPr>
                <w:rFonts w:eastAsia="Times New Roman" w:cs="Calibri"/>
                <w:sz w:val="18"/>
                <w:szCs w:val="18"/>
                <w:lang w:eastAsia="en-AU"/>
              </w:rPr>
            </w:pPr>
            <w:r w:rsidRPr="00503B24">
              <w:rPr>
                <w:rFonts w:cs="Calibri"/>
                <w:i/>
                <w:color w:val="FF0000"/>
                <w:sz w:val="18"/>
                <w:szCs w:val="18"/>
              </w:rPr>
              <w:t>-$12.345</w:t>
            </w:r>
          </w:p>
        </w:tc>
        <w:tc>
          <w:tcPr>
            <w:tcW w:w="87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503B24">
              <w:rPr>
                <w:rFonts w:cs="Calibri"/>
                <w:i/>
                <w:color w:val="FF0000"/>
                <w:sz w:val="18"/>
                <w:szCs w:val="18"/>
              </w:rPr>
              <w:t>-$6.312</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503B24">
              <w:rPr>
                <w:rFonts w:cs="Calibri"/>
                <w:i/>
                <w:sz w:val="18"/>
                <w:szCs w:val="18"/>
              </w:rPr>
              <w:t>$13.796</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503B24">
              <w:rPr>
                <w:rFonts w:cs="Calibri"/>
                <w:i/>
                <w:sz w:val="18"/>
                <w:szCs w:val="18"/>
              </w:rPr>
              <w:t>$3.742</w:t>
            </w:r>
          </w:p>
        </w:tc>
        <w:tc>
          <w:tcPr>
            <w:tcW w:w="903"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sidRPr="00503B24">
              <w:rPr>
                <w:rFonts w:cs="Calibri"/>
                <w:i/>
                <w:sz w:val="18"/>
                <w:szCs w:val="18"/>
              </w:rPr>
              <w:t>$13.796</w:t>
            </w:r>
          </w:p>
        </w:tc>
        <w:tc>
          <w:tcPr>
            <w:tcW w:w="942" w:type="dxa"/>
            <w:tcBorders>
              <w:left w:val="nil"/>
              <w:bottom w:val="nil"/>
              <w:right w:val="nil"/>
            </w:tcBorders>
            <w:shd w:val="clear" w:color="auto" w:fill="auto"/>
            <w:noWrap/>
            <w:vAlign w:val="bottom"/>
          </w:tcPr>
          <w:p w:rsidR="009A1879" w:rsidRPr="00F5127B" w:rsidRDefault="009A1879" w:rsidP="00054CD3">
            <w:pPr>
              <w:jc w:val="right"/>
              <w:rPr>
                <w:rFonts w:ascii="Times New Roman" w:eastAsia="Times New Roman" w:hAnsi="Times New Roman" w:cs="Times New Roman"/>
                <w:sz w:val="18"/>
                <w:szCs w:val="18"/>
                <w:lang w:eastAsia="en-AU"/>
              </w:rPr>
            </w:pPr>
            <w:r>
              <w:rPr>
                <w:rFonts w:cs="Calibri"/>
                <w:i/>
                <w:sz w:val="18"/>
                <w:szCs w:val="18"/>
              </w:rPr>
              <w:t>$0.185</w:t>
            </w:r>
          </w:p>
        </w:tc>
      </w:tr>
      <w:tr w:rsidR="009A1879" w:rsidRPr="00F5127B" w:rsidTr="00202816">
        <w:trPr>
          <w:trHeight w:val="80"/>
          <w:jc w:val="center"/>
        </w:trPr>
        <w:tc>
          <w:tcPr>
            <w:tcW w:w="672" w:type="dxa"/>
            <w:tcBorders>
              <w:left w:val="nil"/>
              <w:bottom w:val="nil"/>
              <w:right w:val="nil"/>
            </w:tcBorders>
            <w:shd w:val="clear" w:color="auto" w:fill="auto"/>
            <w:noWrap/>
            <w:vAlign w:val="bottom"/>
            <w:hideMark/>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6.6.4</w:t>
            </w:r>
          </w:p>
        </w:tc>
        <w:tc>
          <w:tcPr>
            <w:tcW w:w="2589" w:type="dxa"/>
            <w:tcBorders>
              <w:left w:val="nil"/>
              <w:bottom w:val="nil"/>
              <w:right w:val="nil"/>
            </w:tcBorders>
            <w:shd w:val="clear" w:color="auto" w:fill="auto"/>
            <w:noWrap/>
            <w:vAlign w:val="bottom"/>
            <w:hideMark/>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Perimeter fencing</w:t>
            </w:r>
          </w:p>
        </w:tc>
        <w:tc>
          <w:tcPr>
            <w:tcW w:w="992"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$0.418</w:t>
            </w:r>
          </w:p>
        </w:tc>
        <w:tc>
          <w:tcPr>
            <w:tcW w:w="872"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$2.921</w:t>
            </w:r>
          </w:p>
        </w:tc>
        <w:tc>
          <w:tcPr>
            <w:tcW w:w="903"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$7.049</w:t>
            </w:r>
          </w:p>
        </w:tc>
        <w:tc>
          <w:tcPr>
            <w:tcW w:w="903"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$11.178</w:t>
            </w:r>
          </w:p>
        </w:tc>
      </w:tr>
      <w:tr w:rsidR="009A1879" w:rsidRPr="00F5127B" w:rsidTr="00202816">
        <w:trPr>
          <w:trHeight w:val="80"/>
          <w:jc w:val="center"/>
        </w:trPr>
        <w:tc>
          <w:tcPr>
            <w:tcW w:w="672" w:type="dxa"/>
            <w:tcBorders>
              <w:top w:val="nil"/>
              <w:left w:val="nil"/>
              <w:bottom w:val="nil"/>
              <w:right w:val="nil"/>
            </w:tcBorders>
            <w:shd w:val="clear" w:color="auto" w:fill="auto"/>
            <w:noWrap/>
            <w:vAlign w:val="bottom"/>
            <w:hideMark/>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6.6.5</w:t>
            </w:r>
          </w:p>
        </w:tc>
        <w:tc>
          <w:tcPr>
            <w:tcW w:w="2589" w:type="dxa"/>
            <w:tcBorders>
              <w:top w:val="nil"/>
              <w:left w:val="nil"/>
              <w:bottom w:val="nil"/>
              <w:right w:val="nil"/>
            </w:tcBorders>
            <w:shd w:val="clear" w:color="auto" w:fill="auto"/>
            <w:noWrap/>
            <w:vAlign w:val="bottom"/>
            <w:hideMark/>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Outdoor housing</w:t>
            </w:r>
          </w:p>
        </w:tc>
        <w:tc>
          <w:tcPr>
            <w:tcW w:w="99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$0.303</w:t>
            </w:r>
          </w:p>
        </w:tc>
        <w:tc>
          <w:tcPr>
            <w:tcW w:w="87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$2.016</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$4.864</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$7.713</w:t>
            </w:r>
          </w:p>
        </w:tc>
      </w:tr>
      <w:tr w:rsidR="009A1879" w:rsidRPr="00F5127B" w:rsidTr="00202816">
        <w:trPr>
          <w:trHeight w:val="80"/>
          <w:jc w:val="center"/>
        </w:trPr>
        <w:tc>
          <w:tcPr>
            <w:tcW w:w="672" w:type="dxa"/>
            <w:tcBorders>
              <w:top w:val="nil"/>
              <w:left w:val="nil"/>
              <w:bottom w:val="nil"/>
              <w:right w:val="nil"/>
            </w:tcBorders>
            <w:shd w:val="clear" w:color="auto" w:fill="auto"/>
            <w:noWrap/>
            <w:vAlign w:val="bottom"/>
            <w:hideMark/>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6.6.6</w:t>
            </w:r>
          </w:p>
        </w:tc>
        <w:tc>
          <w:tcPr>
            <w:tcW w:w="2589" w:type="dxa"/>
            <w:tcBorders>
              <w:top w:val="nil"/>
              <w:left w:val="nil"/>
              <w:bottom w:val="nil"/>
              <w:right w:val="nil"/>
            </w:tcBorders>
            <w:shd w:val="clear" w:color="auto" w:fill="auto"/>
            <w:noWrap/>
            <w:vAlign w:val="bottom"/>
            <w:hideMark/>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Indoor housing</w:t>
            </w:r>
          </w:p>
        </w:tc>
        <w:tc>
          <w:tcPr>
            <w:tcW w:w="99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87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$0.022</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$0.054</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$0.086</w:t>
            </w:r>
          </w:p>
        </w:tc>
      </w:tr>
      <w:tr w:rsidR="009A1879" w:rsidRPr="00F5127B" w:rsidTr="00202816">
        <w:trPr>
          <w:trHeight w:val="80"/>
          <w:jc w:val="center"/>
        </w:trPr>
        <w:tc>
          <w:tcPr>
            <w:tcW w:w="672" w:type="dxa"/>
            <w:tcBorders>
              <w:top w:val="nil"/>
              <w:left w:val="nil"/>
              <w:bottom w:val="nil"/>
              <w:right w:val="nil"/>
            </w:tcBorders>
            <w:shd w:val="clear" w:color="auto" w:fill="auto"/>
            <w:noWrap/>
            <w:vAlign w:val="bottom"/>
            <w:hideMark/>
          </w:tcPr>
          <w:p w:rsidR="009A1879" w:rsidRPr="00F5127B" w:rsidRDefault="009A1879" w:rsidP="00054CD3">
            <w:pPr>
              <w:rPr>
                <w:rFonts w:eastAsia="Times New Roman" w:cs="Calibri"/>
                <w:sz w:val="18"/>
                <w:szCs w:val="18"/>
                <w:lang w:eastAsia="en-AU"/>
              </w:rPr>
            </w:pPr>
            <w:r w:rsidRPr="00F5127B">
              <w:rPr>
                <w:rFonts w:eastAsia="Times New Roman" w:cs="Calibri"/>
                <w:sz w:val="18"/>
                <w:szCs w:val="18"/>
                <w:lang w:eastAsia="en-AU"/>
              </w:rPr>
              <w:t>7.1</w:t>
            </w:r>
          </w:p>
        </w:tc>
        <w:tc>
          <w:tcPr>
            <w:tcW w:w="2589" w:type="dxa"/>
            <w:tcBorders>
              <w:top w:val="nil"/>
              <w:left w:val="nil"/>
              <w:bottom w:val="nil"/>
              <w:right w:val="nil"/>
            </w:tcBorders>
            <w:shd w:val="clear" w:color="auto" w:fill="auto"/>
            <w:noWrap/>
            <w:vAlign w:val="bottom"/>
            <w:hideMark/>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Sale and transfer out of industry</w:t>
            </w:r>
          </w:p>
        </w:tc>
        <w:tc>
          <w:tcPr>
            <w:tcW w:w="99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$0.005</w:t>
            </w:r>
          </w:p>
        </w:tc>
        <w:tc>
          <w:tcPr>
            <w:tcW w:w="87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$0.013</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$0.026</w:t>
            </w:r>
          </w:p>
        </w:tc>
        <w:tc>
          <w:tcPr>
            <w:tcW w:w="903"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$0.039</w:t>
            </w:r>
          </w:p>
        </w:tc>
      </w:tr>
      <w:tr w:rsidR="009A1879" w:rsidRPr="00F5127B" w:rsidTr="00B87973">
        <w:trPr>
          <w:trHeight w:val="80"/>
          <w:jc w:val="center"/>
        </w:trPr>
        <w:tc>
          <w:tcPr>
            <w:tcW w:w="672"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sz w:val="18"/>
                <w:szCs w:val="18"/>
                <w:lang w:eastAsia="en-AU"/>
              </w:rPr>
            </w:pPr>
          </w:p>
        </w:tc>
        <w:tc>
          <w:tcPr>
            <w:tcW w:w="2589" w:type="dxa"/>
            <w:tcBorders>
              <w:top w:val="nil"/>
              <w:left w:val="nil"/>
              <w:bottom w:val="single" w:sz="4" w:space="0" w:color="53565A"/>
              <w:right w:val="nil"/>
            </w:tcBorders>
            <w:shd w:val="clear" w:color="auto" w:fill="auto"/>
            <w:noWrap/>
            <w:vAlign w:val="bottom"/>
            <w:hideMark/>
          </w:tcPr>
          <w:p w:rsidR="009A1879" w:rsidRPr="00054CD3" w:rsidRDefault="009A1879" w:rsidP="009A1879">
            <w:pPr>
              <w:rPr>
                <w:rFonts w:eastAsia="Times New Roman" w:cs="Calibri"/>
                <w:color w:val="auto"/>
                <w:sz w:val="18"/>
                <w:szCs w:val="18"/>
                <w:lang w:eastAsia="en-AU"/>
              </w:rPr>
            </w:pPr>
            <w:r w:rsidRPr="00054CD3">
              <w:rPr>
                <w:rFonts w:eastAsia="Times New Roman" w:cs="Calibri"/>
                <w:color w:val="auto"/>
                <w:sz w:val="18"/>
                <w:szCs w:val="18"/>
                <w:lang w:eastAsia="en-AU"/>
              </w:rPr>
              <w:t>Enforcement</w:t>
            </w:r>
          </w:p>
        </w:tc>
        <w:tc>
          <w:tcPr>
            <w:tcW w:w="992"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03"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$4.973</w:t>
            </w:r>
          </w:p>
        </w:tc>
        <w:tc>
          <w:tcPr>
            <w:tcW w:w="903"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i/>
                <w:sz w:val="18"/>
                <w:szCs w:val="18"/>
                <w:lang w:eastAsia="en-AU"/>
              </w:rPr>
            </w:pPr>
            <w:r w:rsidRPr="00F5127B">
              <w:rPr>
                <w:rFonts w:eastAsia="Times New Roman" w:cs="Calibri"/>
                <w:i/>
                <w:sz w:val="18"/>
                <w:szCs w:val="18"/>
                <w:lang w:eastAsia="en-AU"/>
              </w:rPr>
              <w:t>$19.584</w:t>
            </w:r>
          </w:p>
        </w:tc>
      </w:tr>
      <w:tr w:rsidR="009A1879" w:rsidRPr="00F5127B" w:rsidTr="00B87973">
        <w:trPr>
          <w:trHeight w:val="80"/>
          <w:jc w:val="center"/>
        </w:trPr>
        <w:tc>
          <w:tcPr>
            <w:tcW w:w="672" w:type="dxa"/>
            <w:tcBorders>
              <w:top w:val="single" w:sz="4" w:space="0" w:color="53565A"/>
              <w:left w:val="nil"/>
              <w:bottom w:val="single" w:sz="4" w:space="0" w:color="53565A"/>
              <w:right w:val="nil"/>
            </w:tcBorders>
            <w:shd w:val="clear" w:color="auto" w:fill="auto"/>
            <w:noWrap/>
            <w:vAlign w:val="bottom"/>
            <w:hideMark/>
          </w:tcPr>
          <w:p w:rsidR="009A1879" w:rsidRPr="00F5127B" w:rsidRDefault="009A1879" w:rsidP="009A1879">
            <w:pPr>
              <w:jc w:val="right"/>
              <w:rPr>
                <w:rFonts w:eastAsia="Times New Roman" w:cs="Calibri"/>
                <w:sz w:val="18"/>
                <w:szCs w:val="18"/>
                <w:lang w:eastAsia="en-AU"/>
              </w:rPr>
            </w:pPr>
          </w:p>
        </w:tc>
        <w:tc>
          <w:tcPr>
            <w:tcW w:w="2589" w:type="dxa"/>
            <w:tcBorders>
              <w:top w:val="single" w:sz="4" w:space="0" w:color="53565A"/>
              <w:left w:val="nil"/>
              <w:bottom w:val="single" w:sz="4" w:space="0" w:color="53565A"/>
              <w:right w:val="nil"/>
            </w:tcBorders>
            <w:shd w:val="clear" w:color="auto" w:fill="auto"/>
            <w:noWrap/>
            <w:vAlign w:val="bottom"/>
            <w:hideMark/>
          </w:tcPr>
          <w:p w:rsidR="009A1879" w:rsidRPr="00F5127B" w:rsidRDefault="009A1879" w:rsidP="009A1879">
            <w:pPr>
              <w:rPr>
                <w:rFonts w:eastAsia="Times New Roman" w:cs="Calibri"/>
                <w:b/>
                <w:i/>
                <w:sz w:val="18"/>
                <w:szCs w:val="18"/>
                <w:lang w:eastAsia="en-AU"/>
              </w:rPr>
            </w:pPr>
            <w:r w:rsidRPr="00F5127B">
              <w:rPr>
                <w:rFonts w:eastAsia="Times New Roman" w:cs="Calibri"/>
                <w:b/>
                <w:i/>
                <w:sz w:val="18"/>
                <w:szCs w:val="18"/>
                <w:lang w:eastAsia="en-AU"/>
              </w:rPr>
              <w:t>Total</w:t>
            </w:r>
          </w:p>
        </w:tc>
        <w:tc>
          <w:tcPr>
            <w:tcW w:w="992"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sidRPr="00503B24">
              <w:rPr>
                <w:rFonts w:cs="Calibri"/>
                <w:b/>
                <w:i/>
                <w:color w:val="FF0000"/>
                <w:sz w:val="18"/>
                <w:szCs w:val="18"/>
              </w:rPr>
              <w:t>-$7.735</w:t>
            </w:r>
          </w:p>
        </w:tc>
        <w:tc>
          <w:tcPr>
            <w:tcW w:w="872"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sidRPr="00503B24">
              <w:rPr>
                <w:rFonts w:cs="Calibri"/>
                <w:b/>
                <w:i/>
                <w:sz w:val="18"/>
                <w:szCs w:val="18"/>
              </w:rPr>
              <w:t>$35.791</w:t>
            </w:r>
          </w:p>
        </w:tc>
        <w:tc>
          <w:tcPr>
            <w:tcW w:w="903"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sidRPr="00503B24">
              <w:rPr>
                <w:rFonts w:cs="Calibri"/>
                <w:b/>
                <w:i/>
                <w:sz w:val="18"/>
                <w:szCs w:val="18"/>
              </w:rPr>
              <w:t>$117.790</w:t>
            </w:r>
          </w:p>
        </w:tc>
        <w:tc>
          <w:tcPr>
            <w:tcW w:w="942"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sidRPr="00503B24">
              <w:rPr>
                <w:rFonts w:cs="Calibri"/>
                <w:b/>
                <w:i/>
                <w:sz w:val="18"/>
                <w:szCs w:val="18"/>
              </w:rPr>
              <w:t>$62.179</w:t>
            </w:r>
          </w:p>
        </w:tc>
        <w:tc>
          <w:tcPr>
            <w:tcW w:w="903"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sidRPr="00503B24">
              <w:rPr>
                <w:rFonts w:cs="Calibri"/>
                <w:b/>
                <w:i/>
                <w:sz w:val="18"/>
                <w:szCs w:val="18"/>
              </w:rPr>
              <w:t>$102.063</w:t>
            </w:r>
          </w:p>
        </w:tc>
        <w:tc>
          <w:tcPr>
            <w:tcW w:w="942" w:type="dxa"/>
            <w:tcBorders>
              <w:top w:val="single" w:sz="4" w:space="0" w:color="53565A"/>
              <w:left w:val="nil"/>
              <w:bottom w:val="single" w:sz="4" w:space="0" w:color="53565A"/>
              <w:right w:val="nil"/>
            </w:tcBorders>
            <w:shd w:val="clear" w:color="auto" w:fill="auto"/>
            <w:noWrap/>
            <w:vAlign w:val="bottom"/>
            <w:hideMark/>
          </w:tcPr>
          <w:p w:rsidR="009A1879" w:rsidRPr="00503B24" w:rsidRDefault="009A1879" w:rsidP="009A1879">
            <w:pPr>
              <w:jc w:val="right"/>
              <w:rPr>
                <w:rFonts w:eastAsia="Times New Roman" w:cs="Calibri"/>
                <w:b/>
                <w:i/>
                <w:sz w:val="18"/>
                <w:szCs w:val="18"/>
                <w:lang w:eastAsia="en-AU"/>
              </w:rPr>
            </w:pPr>
            <w:r>
              <w:rPr>
                <w:rFonts w:cs="Calibri"/>
                <w:b/>
                <w:i/>
                <w:sz w:val="18"/>
                <w:szCs w:val="18"/>
              </w:rPr>
              <w:t>$86.361</w:t>
            </w:r>
          </w:p>
        </w:tc>
      </w:tr>
    </w:tbl>
    <w:p w:rsidR="004819A4" w:rsidRDefault="004819A4" w:rsidP="00B87973"/>
    <w:p w:rsidR="008B0AE1" w:rsidRDefault="008B0AE1" w:rsidP="0042749A">
      <w:pPr>
        <w:jc w:val="both"/>
      </w:pPr>
      <w:r>
        <w:t>The MCA scoring of costs have be</w:t>
      </w:r>
      <w:r w:rsidR="003D0FA9">
        <w:t xml:space="preserve">en determined based on their relationship to </w:t>
      </w:r>
      <w:r w:rsidR="00F960FE">
        <w:t xml:space="preserve">the </w:t>
      </w:r>
      <w:r w:rsidR="00B87973">
        <w:br/>
      </w:r>
      <w:r w:rsidR="00F960FE">
        <w:t xml:space="preserve">base case, and to </w:t>
      </w:r>
      <w:r w:rsidR="003D0FA9">
        <w:t>option 3,</w:t>
      </w:r>
      <w:r w:rsidR="00F960FE">
        <w:t xml:space="preserve"> which the Department believes is a ‘mid-range’ cost option, scoring -5.</w:t>
      </w:r>
      <w:r w:rsidR="007B521C">
        <w:t xml:space="preserve"> </w:t>
      </w:r>
    </w:p>
    <w:p w:rsidR="003D0FA9" w:rsidRDefault="003D0FA9" w:rsidP="0042749A">
      <w:pPr>
        <w:jc w:val="both"/>
      </w:pPr>
    </w:p>
    <w:p w:rsidR="004819A4" w:rsidRDefault="004819A4" w:rsidP="0042749A">
      <w:pPr>
        <w:jc w:val="both"/>
      </w:pPr>
      <w:r>
        <w:t xml:space="preserve">Option 1 </w:t>
      </w:r>
      <w:r w:rsidRPr="004819A4">
        <w:t xml:space="preserve">results in a </w:t>
      </w:r>
      <w:r w:rsidRPr="0042749A">
        <w:rPr>
          <w:i/>
        </w:rPr>
        <w:t>net cost savings of $7.74m</w:t>
      </w:r>
      <w:r>
        <w:t xml:space="preserve"> over 10 years in present value dollars </w:t>
      </w:r>
      <w:r w:rsidR="00B87973">
        <w:br/>
      </w:r>
      <w:r w:rsidR="003D0FA9">
        <w:t xml:space="preserve">and </w:t>
      </w:r>
      <w:r w:rsidR="003D0FA9" w:rsidRPr="004819A4">
        <w:t xml:space="preserve">represents 7% of </w:t>
      </w:r>
      <w:r w:rsidR="003D0FA9">
        <w:t xml:space="preserve">$117.79m under Option 3. It is </w:t>
      </w:r>
      <w:r w:rsidRPr="004819A4">
        <w:t xml:space="preserve">awarded a score of +0.3 </w:t>
      </w:r>
      <w:r w:rsidR="003D0FA9">
        <w:t xml:space="preserve">(7% of </w:t>
      </w:r>
      <w:r w:rsidR="00B87973">
        <w:br/>
      </w:r>
      <w:r w:rsidR="003D0FA9">
        <w:t xml:space="preserve">option 3’s </w:t>
      </w:r>
      <w:r w:rsidR="003D0FA9">
        <w:noBreakHyphen/>
        <w:t>5.0)</w:t>
      </w:r>
      <w:r>
        <w:t>.</w:t>
      </w:r>
    </w:p>
    <w:p w:rsidR="004819A4" w:rsidRDefault="004819A4" w:rsidP="0042749A">
      <w:pPr>
        <w:jc w:val="both"/>
      </w:pPr>
    </w:p>
    <w:p w:rsidR="004819A4" w:rsidRDefault="004819A4" w:rsidP="0042749A">
      <w:pPr>
        <w:jc w:val="both"/>
      </w:pPr>
      <w:r>
        <w:t xml:space="preserve">Option 2 results in a 10-year </w:t>
      </w:r>
      <w:r w:rsidRPr="0042749A">
        <w:rPr>
          <w:i/>
        </w:rPr>
        <w:t>net cost of $35.79m</w:t>
      </w:r>
      <w:r>
        <w:t xml:space="preserve"> in present value dollars, and is awarded a score of -1.5</w:t>
      </w:r>
      <w:r w:rsidR="00100FAA">
        <w:t xml:space="preserve"> as it </w:t>
      </w:r>
      <w:r w:rsidRPr="004819A4">
        <w:t xml:space="preserve">represents 30% of the value of </w:t>
      </w:r>
      <w:r w:rsidR="003D0FA9">
        <w:t>option 3</w:t>
      </w:r>
      <w:r w:rsidRPr="004819A4">
        <w:t>.</w:t>
      </w:r>
    </w:p>
    <w:p w:rsidR="004819A4" w:rsidRDefault="004819A4" w:rsidP="0042749A">
      <w:pPr>
        <w:jc w:val="both"/>
      </w:pPr>
    </w:p>
    <w:p w:rsidR="00CD0E67" w:rsidRDefault="004819A4" w:rsidP="0042749A">
      <w:pPr>
        <w:jc w:val="both"/>
      </w:pPr>
      <w:r w:rsidRPr="00077626">
        <w:t xml:space="preserve">Option 3 results in the highest </w:t>
      </w:r>
      <w:r w:rsidRPr="0042749A">
        <w:rPr>
          <w:i/>
        </w:rPr>
        <w:t>net cost of $117.79m</w:t>
      </w:r>
      <w:r>
        <w:t xml:space="preserve"> over 10 years in present value dollars. </w:t>
      </w:r>
      <w:r w:rsidR="003D0FA9">
        <w:t>This equates to a cost of approximately $</w:t>
      </w:r>
      <w:r w:rsidR="00CA1C14">
        <w:t>1</w:t>
      </w:r>
      <w:r w:rsidR="006F7DDA">
        <w:t>500 per dog over its life time</w:t>
      </w:r>
      <w:r w:rsidR="003D0FA9">
        <w:t>. While these requirements will have a noticeable impact</w:t>
      </w:r>
      <w:r w:rsidR="006F7DDA">
        <w:t xml:space="preserve"> on industry participants, the Department believes that this increase in costs will not be too significant in the context of the overall costs of owning a greyhound over its lifetime (estimated to be around 7.8%)</w:t>
      </w:r>
      <w:r w:rsidR="003D0FA9">
        <w:t xml:space="preserve">. </w:t>
      </w:r>
      <w:r w:rsidRPr="00B37708">
        <w:t xml:space="preserve">For these reasons, Option 3 is awarded a </w:t>
      </w:r>
      <w:r w:rsidR="003D0FA9">
        <w:t xml:space="preserve">mid-range </w:t>
      </w:r>
      <w:r w:rsidRPr="00B37708">
        <w:t>score of -5.0</w:t>
      </w:r>
      <w:r w:rsidR="003D0FA9">
        <w:t>.</w:t>
      </w:r>
    </w:p>
    <w:p w:rsidR="008B0AE1" w:rsidRDefault="008B0AE1" w:rsidP="0042749A">
      <w:pPr>
        <w:jc w:val="both"/>
      </w:pPr>
    </w:p>
    <w:p w:rsidR="004819A4" w:rsidRDefault="004819A4" w:rsidP="004819A4">
      <w:pPr>
        <w:jc w:val="both"/>
      </w:pPr>
      <w:r>
        <w:t xml:space="preserve">Option 4 results in a 10-year </w:t>
      </w:r>
      <w:r w:rsidRPr="0042749A">
        <w:rPr>
          <w:i/>
        </w:rPr>
        <w:t xml:space="preserve">net cost of </w:t>
      </w:r>
      <w:r w:rsidR="002C361C" w:rsidRPr="0042749A">
        <w:rPr>
          <w:i/>
        </w:rPr>
        <w:t>$62.18m</w:t>
      </w:r>
      <w:r w:rsidR="002C361C">
        <w:t xml:space="preserve"> </w:t>
      </w:r>
      <w:r w:rsidR="00100FAA">
        <w:t xml:space="preserve">in present value dollars and </w:t>
      </w:r>
      <w:r>
        <w:t>is awarded a score of -2.6</w:t>
      </w:r>
      <w:r w:rsidR="00100FAA">
        <w:t xml:space="preserve"> as it</w:t>
      </w:r>
      <w:r>
        <w:t xml:space="preserve"> </w:t>
      </w:r>
      <w:r w:rsidRPr="004819A4">
        <w:t>represents 53% of the value of option</w:t>
      </w:r>
      <w:r w:rsidR="003D0FA9">
        <w:t xml:space="preserve"> 3</w:t>
      </w:r>
      <w:r>
        <w:t>.</w:t>
      </w:r>
    </w:p>
    <w:p w:rsidR="004819A4" w:rsidRDefault="004819A4" w:rsidP="00B87973"/>
    <w:p w:rsidR="004819A4" w:rsidRDefault="004819A4" w:rsidP="004819A4">
      <w:pPr>
        <w:jc w:val="both"/>
      </w:pPr>
      <w:r>
        <w:t xml:space="preserve">Option 5 </w:t>
      </w:r>
      <w:r w:rsidR="00100FAA">
        <w:t xml:space="preserve">results in a 10-year </w:t>
      </w:r>
      <w:r w:rsidR="00100FAA" w:rsidRPr="0042749A">
        <w:rPr>
          <w:i/>
        </w:rPr>
        <w:t>net cost of $102.06m</w:t>
      </w:r>
      <w:r w:rsidR="00100FAA">
        <w:t xml:space="preserve"> in present value dollars and </w:t>
      </w:r>
      <w:r>
        <w:t xml:space="preserve">is awarded a score of -4.3 </w:t>
      </w:r>
      <w:r w:rsidR="00100FAA">
        <w:t xml:space="preserve">as it </w:t>
      </w:r>
      <w:r w:rsidRPr="004819A4">
        <w:t>represents 87% of the value of option</w:t>
      </w:r>
      <w:r w:rsidR="0089126F">
        <w:t xml:space="preserve"> 3</w:t>
      </w:r>
      <w:r>
        <w:t>.</w:t>
      </w:r>
    </w:p>
    <w:p w:rsidR="00100FAA" w:rsidRDefault="00100FAA" w:rsidP="004819A4">
      <w:pPr>
        <w:jc w:val="both"/>
      </w:pPr>
    </w:p>
    <w:p w:rsidR="00100FAA" w:rsidRDefault="00100FAA" w:rsidP="00100FAA">
      <w:pPr>
        <w:jc w:val="both"/>
      </w:pPr>
      <w:r>
        <w:t xml:space="preserve">Option 6 results in a present value 10-year cost of $86.36m and is awarded a score of -3.7 as it </w:t>
      </w:r>
      <w:r w:rsidRPr="00100FAA">
        <w:t>represents 73% of the value of option</w:t>
      </w:r>
      <w:r w:rsidR="0089126F">
        <w:t xml:space="preserve"> 3</w:t>
      </w:r>
      <w:r>
        <w:t>.</w:t>
      </w:r>
    </w:p>
    <w:p w:rsidR="00100FAA" w:rsidRDefault="00100FAA" w:rsidP="004819A4">
      <w:pPr>
        <w:jc w:val="both"/>
      </w:pPr>
    </w:p>
    <w:p w:rsidR="00100FAA" w:rsidRDefault="00100FAA" w:rsidP="00100FAA">
      <w:pPr>
        <w:pStyle w:val="BodyText1"/>
        <w:spacing w:after="120"/>
        <w:rPr>
          <w:rFonts w:ascii="Calibri" w:hAnsi="Calibri"/>
          <w:sz w:val="22"/>
          <w:szCs w:val="22"/>
          <w:lang w:val="en-US"/>
        </w:rPr>
      </w:pPr>
      <w:r>
        <w:rPr>
          <w:rFonts w:ascii="Calibri" w:hAnsi="Calibri"/>
          <w:sz w:val="22"/>
          <w:szCs w:val="22"/>
          <w:lang w:val="en-US"/>
        </w:rPr>
        <w:lastRenderedPageBreak/>
        <w:t>Table 25, summarises the relative scores discussed in Sections 5.2.1 to 5.2.3 as part of a multi-criteria analysis.</w:t>
      </w:r>
    </w:p>
    <w:p w:rsidR="00100FAA" w:rsidRPr="002876C0" w:rsidRDefault="00100FAA" w:rsidP="00100FAA">
      <w:pPr>
        <w:pStyle w:val="BodyText1"/>
        <w:spacing w:after="120"/>
        <w:jc w:val="center"/>
        <w:rPr>
          <w:rFonts w:ascii="Calibri" w:hAnsi="Calibri"/>
          <w:b/>
          <w:sz w:val="20"/>
          <w:lang w:val="en-US"/>
        </w:rPr>
      </w:pPr>
      <w:r>
        <w:rPr>
          <w:rFonts w:ascii="Calibri" w:hAnsi="Calibri"/>
          <w:b/>
          <w:sz w:val="20"/>
          <w:lang w:val="en-US"/>
        </w:rPr>
        <w:t>Table 25</w:t>
      </w:r>
      <w:r w:rsidRPr="002876C0">
        <w:rPr>
          <w:rFonts w:ascii="Calibri" w:hAnsi="Calibri"/>
          <w:b/>
          <w:sz w:val="20"/>
          <w:lang w:val="en-US"/>
        </w:rPr>
        <w:t>: Multi-Criteria analysis</w:t>
      </w:r>
    </w:p>
    <w:tbl>
      <w:tblPr>
        <w:tblW w:w="8200" w:type="dxa"/>
        <w:jc w:val="center"/>
        <w:tblLayout w:type="fixed"/>
        <w:tblLook w:val="04A0" w:firstRow="1" w:lastRow="0" w:firstColumn="1" w:lastColumn="0" w:noHBand="0" w:noVBand="1"/>
      </w:tblPr>
      <w:tblGrid>
        <w:gridCol w:w="1901"/>
        <w:gridCol w:w="1452"/>
        <w:gridCol w:w="608"/>
        <w:gridCol w:w="775"/>
        <w:gridCol w:w="709"/>
        <w:gridCol w:w="709"/>
        <w:gridCol w:w="709"/>
        <w:gridCol w:w="677"/>
        <w:gridCol w:w="660"/>
      </w:tblGrid>
      <w:tr w:rsidR="00100FAA" w:rsidRPr="00AB74F5" w:rsidTr="00054CD3">
        <w:trPr>
          <w:trHeight w:val="184"/>
          <w:tblHeader/>
          <w:jc w:val="center"/>
        </w:trPr>
        <w:tc>
          <w:tcPr>
            <w:tcW w:w="1901" w:type="dxa"/>
            <w:tcBorders>
              <w:top w:val="single" w:sz="4" w:space="0" w:color="1F497D" w:themeColor="text2"/>
            </w:tcBorders>
          </w:tcPr>
          <w:p w:rsidR="00100FAA" w:rsidRPr="00AB74F5" w:rsidRDefault="00100FAA" w:rsidP="007F34A9">
            <w:pPr>
              <w:pStyle w:val="BodyText1"/>
              <w:spacing w:before="0" w:after="0"/>
              <w:jc w:val="left"/>
              <w:rPr>
                <w:rFonts w:ascii="Calibri" w:hAnsi="Calibri"/>
                <w:b/>
                <w:color w:val="53565A"/>
                <w:sz w:val="18"/>
                <w:szCs w:val="18"/>
                <w:lang w:val="en-US"/>
              </w:rPr>
            </w:pPr>
          </w:p>
        </w:tc>
        <w:tc>
          <w:tcPr>
            <w:tcW w:w="1452" w:type="dxa"/>
            <w:tcBorders>
              <w:top w:val="single" w:sz="4" w:space="0" w:color="1F497D" w:themeColor="text2"/>
            </w:tcBorders>
          </w:tcPr>
          <w:p w:rsidR="00100FAA" w:rsidRPr="00AB74F5" w:rsidRDefault="00100FAA" w:rsidP="007F34A9">
            <w:pPr>
              <w:pStyle w:val="BodyText1"/>
              <w:spacing w:before="0" w:after="0"/>
              <w:jc w:val="left"/>
              <w:rPr>
                <w:rFonts w:ascii="Calibri" w:hAnsi="Calibri"/>
                <w:b/>
                <w:color w:val="53565A"/>
                <w:sz w:val="18"/>
                <w:szCs w:val="18"/>
                <w:lang w:val="en-US"/>
              </w:rPr>
            </w:pPr>
          </w:p>
        </w:tc>
        <w:tc>
          <w:tcPr>
            <w:tcW w:w="608" w:type="dxa"/>
            <w:tcBorders>
              <w:top w:val="single" w:sz="4" w:space="0" w:color="1F497D" w:themeColor="text2"/>
            </w:tcBorders>
          </w:tcPr>
          <w:p w:rsidR="00100FAA" w:rsidRPr="00AB74F5" w:rsidRDefault="00100FAA" w:rsidP="007F34A9">
            <w:pPr>
              <w:pStyle w:val="BodyText1"/>
              <w:spacing w:before="0" w:after="0"/>
              <w:jc w:val="left"/>
              <w:rPr>
                <w:rFonts w:ascii="Calibri" w:hAnsi="Calibri"/>
                <w:b/>
                <w:color w:val="53565A"/>
                <w:sz w:val="18"/>
                <w:szCs w:val="18"/>
                <w:lang w:val="en-US"/>
              </w:rPr>
            </w:pPr>
          </w:p>
        </w:tc>
        <w:tc>
          <w:tcPr>
            <w:tcW w:w="4236" w:type="dxa"/>
            <w:gridSpan w:val="6"/>
            <w:tcBorders>
              <w:top w:val="single" w:sz="4" w:space="0" w:color="1F497D" w:themeColor="text2"/>
              <w:bottom w:val="single" w:sz="4" w:space="0" w:color="244061" w:themeColor="accent1" w:themeShade="80"/>
            </w:tcBorders>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Option</w:t>
            </w:r>
          </w:p>
        </w:tc>
      </w:tr>
      <w:tr w:rsidR="00AB74F5" w:rsidRPr="00AB74F5" w:rsidTr="00AB74F5">
        <w:trPr>
          <w:trHeight w:val="184"/>
          <w:tblHeader/>
          <w:jc w:val="center"/>
        </w:trPr>
        <w:tc>
          <w:tcPr>
            <w:tcW w:w="1901" w:type="dxa"/>
            <w:tcBorders>
              <w:bottom w:val="double" w:sz="4" w:space="0" w:color="53565A"/>
            </w:tcBorders>
          </w:tcPr>
          <w:p w:rsidR="00100FAA" w:rsidRPr="00AB74F5" w:rsidRDefault="00100FAA" w:rsidP="007F34A9">
            <w:pPr>
              <w:pStyle w:val="BodyText1"/>
              <w:spacing w:before="0" w:after="0"/>
              <w:jc w:val="left"/>
              <w:rPr>
                <w:rFonts w:ascii="Calibri" w:hAnsi="Calibri"/>
                <w:b/>
                <w:color w:val="53565A"/>
                <w:sz w:val="18"/>
                <w:szCs w:val="18"/>
                <w:lang w:val="en-US"/>
              </w:rPr>
            </w:pPr>
            <w:r w:rsidRPr="00AB74F5">
              <w:rPr>
                <w:rFonts w:ascii="Calibri" w:hAnsi="Calibri"/>
                <w:b/>
                <w:color w:val="53565A"/>
                <w:sz w:val="18"/>
                <w:szCs w:val="18"/>
                <w:lang w:val="en-US"/>
              </w:rPr>
              <w:t>Criterion</w:t>
            </w:r>
          </w:p>
          <w:p w:rsidR="00100FAA" w:rsidRPr="00AB74F5" w:rsidRDefault="00100FAA" w:rsidP="007F34A9">
            <w:pPr>
              <w:pStyle w:val="BodyText1"/>
              <w:spacing w:before="0" w:after="0"/>
              <w:jc w:val="left"/>
              <w:rPr>
                <w:rFonts w:ascii="Calibri" w:hAnsi="Calibri"/>
                <w:b/>
                <w:color w:val="53565A"/>
                <w:sz w:val="18"/>
                <w:szCs w:val="18"/>
                <w:lang w:val="en-US"/>
              </w:rPr>
            </w:pPr>
            <w:r w:rsidRPr="00AB74F5">
              <w:rPr>
                <w:rFonts w:ascii="Calibri" w:hAnsi="Calibri"/>
                <w:b/>
                <w:color w:val="53565A"/>
                <w:sz w:val="18"/>
                <w:szCs w:val="18"/>
                <w:lang w:val="en-US"/>
              </w:rPr>
              <w:t>(Weighting)</w:t>
            </w:r>
          </w:p>
        </w:tc>
        <w:tc>
          <w:tcPr>
            <w:tcW w:w="1452" w:type="dxa"/>
            <w:tcBorders>
              <w:bottom w:val="double" w:sz="4" w:space="0" w:color="53565A"/>
            </w:tcBorders>
          </w:tcPr>
          <w:p w:rsidR="00100FAA" w:rsidRPr="00AB74F5" w:rsidRDefault="00100FAA" w:rsidP="007F34A9">
            <w:pPr>
              <w:pStyle w:val="BodyText1"/>
              <w:spacing w:before="0" w:after="0"/>
              <w:jc w:val="left"/>
              <w:rPr>
                <w:rFonts w:ascii="Calibri" w:hAnsi="Calibri"/>
                <w:b/>
                <w:color w:val="53565A"/>
                <w:sz w:val="18"/>
                <w:szCs w:val="18"/>
                <w:lang w:val="en-US"/>
              </w:rPr>
            </w:pPr>
            <w:r w:rsidRPr="00AB74F5">
              <w:rPr>
                <w:rFonts w:ascii="Calibri" w:hAnsi="Calibri"/>
                <w:b/>
                <w:color w:val="53565A"/>
                <w:sz w:val="18"/>
                <w:szCs w:val="18"/>
                <w:lang w:val="en-US"/>
              </w:rPr>
              <w:t>Score type</w:t>
            </w:r>
          </w:p>
        </w:tc>
        <w:tc>
          <w:tcPr>
            <w:tcW w:w="608" w:type="dxa"/>
            <w:tcBorders>
              <w:bottom w:val="double" w:sz="4" w:space="0" w:color="53565A"/>
            </w:tcBorders>
          </w:tcPr>
          <w:p w:rsidR="00100FAA" w:rsidRPr="00AB74F5" w:rsidRDefault="00100FAA" w:rsidP="007F34A9">
            <w:pPr>
              <w:pStyle w:val="BodyText1"/>
              <w:spacing w:before="0" w:after="0"/>
              <w:jc w:val="left"/>
              <w:rPr>
                <w:rFonts w:ascii="Calibri" w:hAnsi="Calibri"/>
                <w:b/>
                <w:color w:val="53565A"/>
                <w:sz w:val="18"/>
                <w:szCs w:val="18"/>
                <w:lang w:val="en-US"/>
              </w:rPr>
            </w:pPr>
            <w:r w:rsidRPr="00AB74F5">
              <w:rPr>
                <w:rFonts w:ascii="Calibri" w:hAnsi="Calibri"/>
                <w:b/>
                <w:color w:val="53565A"/>
                <w:sz w:val="18"/>
                <w:szCs w:val="18"/>
                <w:lang w:val="en-US"/>
              </w:rPr>
              <w:t>Base Case</w:t>
            </w:r>
          </w:p>
        </w:tc>
        <w:tc>
          <w:tcPr>
            <w:tcW w:w="775"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1</w:t>
            </w:r>
          </w:p>
        </w:tc>
        <w:tc>
          <w:tcPr>
            <w:tcW w:w="709"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2</w:t>
            </w:r>
          </w:p>
        </w:tc>
        <w:tc>
          <w:tcPr>
            <w:tcW w:w="709"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3</w:t>
            </w:r>
          </w:p>
        </w:tc>
        <w:tc>
          <w:tcPr>
            <w:tcW w:w="709"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4</w:t>
            </w:r>
          </w:p>
        </w:tc>
        <w:tc>
          <w:tcPr>
            <w:tcW w:w="677"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5</w:t>
            </w:r>
          </w:p>
        </w:tc>
        <w:tc>
          <w:tcPr>
            <w:tcW w:w="660" w:type="dxa"/>
            <w:tcBorders>
              <w:top w:val="single" w:sz="4" w:space="0" w:color="244061" w:themeColor="accent1" w:themeShade="80"/>
              <w:bottom w:val="double" w:sz="4" w:space="0" w:color="53565A"/>
            </w:tcBorders>
            <w:vAlign w:val="center"/>
          </w:tcPr>
          <w:p w:rsidR="00100FAA" w:rsidRPr="00AB74F5" w:rsidRDefault="00100FAA" w:rsidP="007F34A9">
            <w:pPr>
              <w:pStyle w:val="BodyText1"/>
              <w:spacing w:before="0" w:after="0"/>
              <w:jc w:val="center"/>
              <w:rPr>
                <w:rFonts w:ascii="Calibri" w:hAnsi="Calibri"/>
                <w:b/>
                <w:color w:val="53565A"/>
                <w:sz w:val="18"/>
                <w:szCs w:val="18"/>
                <w:lang w:val="en-US"/>
              </w:rPr>
            </w:pPr>
            <w:r w:rsidRPr="00AB74F5">
              <w:rPr>
                <w:rFonts w:ascii="Calibri" w:hAnsi="Calibri"/>
                <w:b/>
                <w:color w:val="53565A"/>
                <w:sz w:val="18"/>
                <w:szCs w:val="18"/>
                <w:lang w:val="en-US"/>
              </w:rPr>
              <w:t>6</w:t>
            </w:r>
          </w:p>
        </w:tc>
      </w:tr>
      <w:tr w:rsidR="00100FAA" w:rsidTr="00753110">
        <w:trPr>
          <w:trHeight w:val="289"/>
          <w:jc w:val="center"/>
        </w:trPr>
        <w:tc>
          <w:tcPr>
            <w:tcW w:w="1901" w:type="dxa"/>
            <w:tcBorders>
              <w:top w:val="double" w:sz="4" w:space="0" w:color="53565A"/>
            </w:tcBorders>
            <w:shd w:val="clear" w:color="auto" w:fill="DBE5F1"/>
            <w:vAlign w:val="center"/>
          </w:tcPr>
          <w:p w:rsidR="00100FAA" w:rsidRPr="00415266" w:rsidRDefault="00100FAA" w:rsidP="007F34A9">
            <w:pPr>
              <w:pStyle w:val="BodyText1"/>
              <w:spacing w:before="0" w:after="0"/>
              <w:jc w:val="left"/>
              <w:rPr>
                <w:rFonts w:ascii="Calibri" w:hAnsi="Calibri"/>
                <w:b/>
                <w:sz w:val="18"/>
                <w:szCs w:val="18"/>
                <w:lang w:val="en-US"/>
              </w:rPr>
            </w:pPr>
            <w:r w:rsidRPr="00415266">
              <w:rPr>
                <w:rFonts w:ascii="Calibri" w:hAnsi="Calibri"/>
                <w:b/>
                <w:sz w:val="18"/>
                <w:szCs w:val="18"/>
                <w:lang w:val="en-US"/>
              </w:rPr>
              <w:t>Animal Welfare</w:t>
            </w:r>
          </w:p>
        </w:tc>
        <w:tc>
          <w:tcPr>
            <w:tcW w:w="1452" w:type="dxa"/>
            <w:tcBorders>
              <w:top w:val="double" w:sz="4" w:space="0" w:color="53565A"/>
            </w:tcBorders>
            <w:shd w:val="clear" w:color="auto" w:fill="DBE5F1"/>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tcBorders>
              <w:top w:val="double" w:sz="4" w:space="0" w:color="53565A"/>
            </w:tcBorders>
            <w:shd w:val="clear" w:color="auto" w:fill="DBE5F1"/>
            <w:vAlign w:val="center"/>
          </w:tcPr>
          <w:p w:rsidR="00100FAA" w:rsidRPr="00FC0BC1" w:rsidRDefault="00100FAA" w:rsidP="007F34A9">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+0.4</w:t>
            </w:r>
          </w:p>
        </w:tc>
        <w:tc>
          <w:tcPr>
            <w:tcW w:w="709"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+2.6</w:t>
            </w:r>
          </w:p>
        </w:tc>
        <w:tc>
          <w:tcPr>
            <w:tcW w:w="709"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+10.0</w:t>
            </w:r>
          </w:p>
        </w:tc>
        <w:tc>
          <w:tcPr>
            <w:tcW w:w="709"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+6.3</w:t>
            </w:r>
          </w:p>
        </w:tc>
        <w:tc>
          <w:tcPr>
            <w:tcW w:w="677"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+8.0</w:t>
            </w:r>
          </w:p>
        </w:tc>
        <w:tc>
          <w:tcPr>
            <w:tcW w:w="660" w:type="dxa"/>
            <w:tcBorders>
              <w:top w:val="doub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w:t>
            </w:r>
            <w:r w:rsidR="009A1879">
              <w:rPr>
                <w:rFonts w:ascii="Calibri" w:hAnsi="Calibri" w:cs="Calibri"/>
                <w:color w:val="000000"/>
                <w:sz w:val="18"/>
                <w:szCs w:val="18"/>
              </w:rPr>
              <w:t>7</w:t>
            </w:r>
            <w:r>
              <w:rPr>
                <w:rFonts w:ascii="Calibri" w:hAnsi="Calibri" w:cs="Calibri"/>
                <w:color w:val="000000"/>
                <w:sz w:val="18"/>
                <w:szCs w:val="18"/>
              </w:rPr>
              <w:t>.0</w:t>
            </w:r>
          </w:p>
        </w:tc>
      </w:tr>
      <w:tr w:rsidR="00100FAA" w:rsidTr="00753110">
        <w:trPr>
          <w:trHeight w:val="383"/>
          <w:jc w:val="center"/>
        </w:trPr>
        <w:tc>
          <w:tcPr>
            <w:tcW w:w="1901" w:type="dxa"/>
            <w:shd w:val="clear" w:color="auto" w:fill="DBE5F1"/>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(25%)</w:t>
            </w:r>
          </w:p>
        </w:tc>
        <w:tc>
          <w:tcPr>
            <w:tcW w:w="1452" w:type="dxa"/>
            <w:shd w:val="clear" w:color="auto" w:fill="DBE5F1"/>
            <w:vAlign w:val="center"/>
          </w:tcPr>
          <w:p w:rsidR="00100FAA" w:rsidRPr="00415266" w:rsidRDefault="00100FAA" w:rsidP="007F34A9">
            <w:pPr>
              <w:pStyle w:val="BodyText1"/>
              <w:spacing w:before="0" w:after="0"/>
              <w:jc w:val="left"/>
              <w:rPr>
                <w:rFonts w:ascii="Calibri" w:hAnsi="Calibri"/>
                <w:b/>
                <w:i/>
                <w:sz w:val="18"/>
                <w:szCs w:val="18"/>
                <w:lang w:val="en-US"/>
              </w:rPr>
            </w:pPr>
            <w:r w:rsidRPr="00415266">
              <w:rPr>
                <w:rFonts w:ascii="Calibri" w:hAnsi="Calibri"/>
                <w:b/>
                <w:i/>
                <w:sz w:val="18"/>
                <w:szCs w:val="18"/>
                <w:lang w:val="en-US"/>
              </w:rPr>
              <w:t>Weighted score</w:t>
            </w:r>
          </w:p>
        </w:tc>
        <w:tc>
          <w:tcPr>
            <w:tcW w:w="608" w:type="dxa"/>
            <w:shd w:val="clear" w:color="auto" w:fill="DBE5F1"/>
            <w:vAlign w:val="center"/>
          </w:tcPr>
          <w:p w:rsidR="00100FAA" w:rsidRPr="00503B24" w:rsidRDefault="00100FAA" w:rsidP="007F34A9">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+0.1</w:t>
            </w:r>
          </w:p>
        </w:tc>
        <w:tc>
          <w:tcPr>
            <w:tcW w:w="709"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+0.7</w:t>
            </w:r>
          </w:p>
        </w:tc>
        <w:tc>
          <w:tcPr>
            <w:tcW w:w="709"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+1.6</w:t>
            </w:r>
          </w:p>
        </w:tc>
        <w:tc>
          <w:tcPr>
            <w:tcW w:w="677"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+2.0</w:t>
            </w:r>
          </w:p>
        </w:tc>
        <w:tc>
          <w:tcPr>
            <w:tcW w:w="660" w:type="dxa"/>
            <w:shd w:val="clear" w:color="auto" w:fill="DBE5F1"/>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+1.3</w:t>
            </w:r>
          </w:p>
        </w:tc>
      </w:tr>
      <w:tr w:rsidR="00100FAA" w:rsidTr="007F34A9">
        <w:trPr>
          <w:trHeight w:val="273"/>
          <w:jc w:val="center"/>
        </w:trPr>
        <w:tc>
          <w:tcPr>
            <w:tcW w:w="1901" w:type="dxa"/>
            <w:vAlign w:val="center"/>
          </w:tcPr>
          <w:p w:rsidR="00100FAA" w:rsidRPr="00415266" w:rsidRDefault="00100FAA" w:rsidP="007F34A9">
            <w:pPr>
              <w:pStyle w:val="BodyText1"/>
              <w:spacing w:before="0" w:after="0"/>
              <w:jc w:val="left"/>
              <w:rPr>
                <w:rFonts w:ascii="Calibri" w:hAnsi="Calibri"/>
                <w:b/>
                <w:sz w:val="18"/>
                <w:szCs w:val="18"/>
                <w:lang w:val="en-US"/>
              </w:rPr>
            </w:pPr>
            <w:r w:rsidRPr="00415266">
              <w:rPr>
                <w:rFonts w:ascii="Calibri" w:hAnsi="Calibri"/>
                <w:b/>
                <w:sz w:val="18"/>
                <w:szCs w:val="18"/>
                <w:lang w:val="en-US"/>
              </w:rPr>
              <w:t>Rehoming potential</w:t>
            </w:r>
          </w:p>
        </w:tc>
        <w:tc>
          <w:tcPr>
            <w:tcW w:w="1452" w:type="dxa"/>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vAlign w:val="center"/>
          </w:tcPr>
          <w:p w:rsidR="00100FAA" w:rsidRPr="00FC0BC1" w:rsidRDefault="00100FAA" w:rsidP="007F34A9">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+0.7</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+2.9</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+10.0</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+6.4</w:t>
            </w:r>
          </w:p>
        </w:tc>
        <w:tc>
          <w:tcPr>
            <w:tcW w:w="677" w:type="dxa"/>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+10.0</w:t>
            </w:r>
          </w:p>
        </w:tc>
        <w:tc>
          <w:tcPr>
            <w:tcW w:w="660" w:type="dxa"/>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+5.2</w:t>
            </w:r>
          </w:p>
        </w:tc>
      </w:tr>
      <w:tr w:rsidR="00100FAA" w:rsidTr="007F34A9">
        <w:trPr>
          <w:trHeight w:val="332"/>
          <w:jc w:val="center"/>
        </w:trPr>
        <w:tc>
          <w:tcPr>
            <w:tcW w:w="1901" w:type="dxa"/>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(25%)</w:t>
            </w:r>
          </w:p>
        </w:tc>
        <w:tc>
          <w:tcPr>
            <w:tcW w:w="1452" w:type="dxa"/>
            <w:vAlign w:val="center"/>
          </w:tcPr>
          <w:p w:rsidR="00100FAA" w:rsidRPr="00415266" w:rsidRDefault="00100FAA" w:rsidP="007F34A9">
            <w:pPr>
              <w:pStyle w:val="BodyText1"/>
              <w:spacing w:before="0" w:after="0"/>
              <w:jc w:val="left"/>
              <w:rPr>
                <w:rFonts w:ascii="Calibri" w:hAnsi="Calibri"/>
                <w:b/>
                <w:sz w:val="18"/>
                <w:szCs w:val="18"/>
                <w:lang w:val="en-US"/>
              </w:rPr>
            </w:pPr>
            <w:r w:rsidRPr="00415266">
              <w:rPr>
                <w:rFonts w:ascii="Calibri" w:hAnsi="Calibri"/>
                <w:b/>
                <w:i/>
                <w:sz w:val="18"/>
                <w:szCs w:val="18"/>
                <w:lang w:val="en-US"/>
              </w:rPr>
              <w:t>Weighted score</w:t>
            </w:r>
          </w:p>
        </w:tc>
        <w:tc>
          <w:tcPr>
            <w:tcW w:w="608" w:type="dxa"/>
            <w:vAlign w:val="center"/>
          </w:tcPr>
          <w:p w:rsidR="00100FAA" w:rsidRPr="00503B24" w:rsidRDefault="00100FAA" w:rsidP="007F34A9">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+0.2</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+0.7</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+1.6</w:t>
            </w:r>
          </w:p>
        </w:tc>
        <w:tc>
          <w:tcPr>
            <w:tcW w:w="677" w:type="dxa"/>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+2.5</w:t>
            </w:r>
          </w:p>
        </w:tc>
        <w:tc>
          <w:tcPr>
            <w:tcW w:w="660" w:type="dxa"/>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+1.3</w:t>
            </w:r>
          </w:p>
        </w:tc>
      </w:tr>
      <w:tr w:rsidR="00100FAA" w:rsidTr="007F34A9">
        <w:trPr>
          <w:trHeight w:val="180"/>
          <w:jc w:val="center"/>
        </w:trPr>
        <w:tc>
          <w:tcPr>
            <w:tcW w:w="1901" w:type="dxa"/>
            <w:vAlign w:val="center"/>
          </w:tcPr>
          <w:p w:rsidR="00100FAA" w:rsidRPr="00415266" w:rsidRDefault="00100FAA" w:rsidP="007F34A9">
            <w:pPr>
              <w:pStyle w:val="BodyText1"/>
              <w:spacing w:before="0" w:after="0"/>
              <w:jc w:val="left"/>
              <w:rPr>
                <w:rFonts w:ascii="Calibri" w:hAnsi="Calibri"/>
                <w:b/>
                <w:sz w:val="18"/>
                <w:szCs w:val="18"/>
                <w:lang w:val="en-US"/>
              </w:rPr>
            </w:pPr>
            <w:r w:rsidRPr="00415266">
              <w:rPr>
                <w:rFonts w:ascii="Calibri" w:hAnsi="Calibri"/>
                <w:b/>
                <w:sz w:val="18"/>
                <w:szCs w:val="18"/>
                <w:lang w:val="en-US"/>
              </w:rPr>
              <w:t>Net cost to industry and government</w:t>
            </w:r>
          </w:p>
        </w:tc>
        <w:tc>
          <w:tcPr>
            <w:tcW w:w="1452" w:type="dxa"/>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vAlign w:val="center"/>
          </w:tcPr>
          <w:p w:rsidR="00100FAA" w:rsidRPr="00FC0BC1" w:rsidRDefault="00100FAA" w:rsidP="007F34A9">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+0.3</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-1.5</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-5.0</w:t>
            </w:r>
          </w:p>
        </w:tc>
        <w:tc>
          <w:tcPr>
            <w:tcW w:w="709" w:type="dxa"/>
            <w:vAlign w:val="center"/>
          </w:tcPr>
          <w:p w:rsidR="00100FAA" w:rsidRPr="00FC0BC1" w:rsidRDefault="00100FAA" w:rsidP="007F34A9">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-2.6</w:t>
            </w:r>
          </w:p>
        </w:tc>
        <w:tc>
          <w:tcPr>
            <w:tcW w:w="677" w:type="dxa"/>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-4.3</w:t>
            </w:r>
          </w:p>
        </w:tc>
        <w:tc>
          <w:tcPr>
            <w:tcW w:w="660" w:type="dxa"/>
            <w:vAlign w:val="center"/>
          </w:tcPr>
          <w:p w:rsidR="00100FAA" w:rsidRPr="00FC0BC1" w:rsidRDefault="00100FAA" w:rsidP="007F34A9">
            <w:pPr>
              <w:pStyle w:val="BodyText1"/>
              <w:spacing w:before="0" w:after="0"/>
              <w:jc w:val="center"/>
              <w:rPr>
                <w:rFonts w:asciiTheme="majorHAnsi" w:hAnsiTheme="majorHAnsi"/>
                <w:sz w:val="18"/>
                <w:szCs w:val="18"/>
              </w:rPr>
            </w:pPr>
            <w:r>
              <w:rPr>
                <w:rFonts w:ascii="Calibri" w:hAnsi="Calibri" w:cs="Calibri"/>
                <w:color w:val="000000"/>
                <w:sz w:val="18"/>
                <w:szCs w:val="18"/>
              </w:rPr>
              <w:t>-3.7</w:t>
            </w:r>
          </w:p>
        </w:tc>
      </w:tr>
      <w:tr w:rsidR="00100FAA" w:rsidTr="007F34A9">
        <w:trPr>
          <w:trHeight w:val="385"/>
          <w:jc w:val="center"/>
        </w:trPr>
        <w:tc>
          <w:tcPr>
            <w:tcW w:w="1901" w:type="dxa"/>
            <w:vAlign w:val="center"/>
          </w:tcPr>
          <w:p w:rsidR="00100FAA" w:rsidRPr="00415266" w:rsidRDefault="00100FAA" w:rsidP="007F34A9">
            <w:pPr>
              <w:pStyle w:val="BodyText1"/>
              <w:spacing w:before="0" w:after="0"/>
              <w:jc w:val="left"/>
              <w:rPr>
                <w:rFonts w:ascii="Calibri" w:hAnsi="Calibri"/>
                <w:sz w:val="18"/>
                <w:szCs w:val="18"/>
                <w:lang w:val="en-US"/>
              </w:rPr>
            </w:pPr>
            <w:r w:rsidRPr="00415266">
              <w:rPr>
                <w:rFonts w:ascii="Calibri" w:hAnsi="Calibri"/>
                <w:sz w:val="18"/>
                <w:szCs w:val="18"/>
                <w:lang w:val="en-US"/>
              </w:rPr>
              <w:t>(50%)</w:t>
            </w:r>
          </w:p>
        </w:tc>
        <w:tc>
          <w:tcPr>
            <w:tcW w:w="1452" w:type="dxa"/>
            <w:vAlign w:val="center"/>
          </w:tcPr>
          <w:p w:rsidR="00100FAA" w:rsidRPr="00415266" w:rsidRDefault="00100FAA" w:rsidP="007F34A9">
            <w:pPr>
              <w:pStyle w:val="BodyText1"/>
              <w:spacing w:before="0" w:after="0"/>
              <w:jc w:val="left"/>
              <w:rPr>
                <w:rFonts w:ascii="Calibri" w:hAnsi="Calibri"/>
                <w:b/>
                <w:sz w:val="18"/>
                <w:szCs w:val="18"/>
                <w:lang w:val="en-US"/>
              </w:rPr>
            </w:pPr>
            <w:r w:rsidRPr="00415266">
              <w:rPr>
                <w:rFonts w:ascii="Calibri" w:hAnsi="Calibri"/>
                <w:b/>
                <w:i/>
                <w:sz w:val="18"/>
                <w:szCs w:val="18"/>
                <w:lang w:val="en-US"/>
              </w:rPr>
              <w:t>Weighted score</w:t>
            </w:r>
          </w:p>
        </w:tc>
        <w:tc>
          <w:tcPr>
            <w:tcW w:w="608" w:type="dxa"/>
            <w:vAlign w:val="center"/>
          </w:tcPr>
          <w:p w:rsidR="00100FAA" w:rsidRPr="00503B24" w:rsidRDefault="00100FAA" w:rsidP="007F34A9">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+0.2</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-0.8</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vAlign w:val="center"/>
          </w:tcPr>
          <w:p w:rsidR="00100FAA" w:rsidRPr="00503B24"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-1.3</w:t>
            </w:r>
          </w:p>
        </w:tc>
        <w:tc>
          <w:tcPr>
            <w:tcW w:w="677" w:type="dxa"/>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-2.2</w:t>
            </w:r>
          </w:p>
        </w:tc>
        <w:tc>
          <w:tcPr>
            <w:tcW w:w="660" w:type="dxa"/>
            <w:vAlign w:val="center"/>
          </w:tcPr>
          <w:p w:rsidR="00100FAA" w:rsidRPr="00503B24" w:rsidRDefault="00100FAA" w:rsidP="007F34A9">
            <w:pPr>
              <w:pStyle w:val="BodyText1"/>
              <w:spacing w:before="0" w:after="0"/>
              <w:jc w:val="center"/>
              <w:rPr>
                <w:rFonts w:asciiTheme="majorHAnsi" w:hAnsiTheme="majorHAnsi"/>
                <w:b/>
                <w:i/>
                <w:sz w:val="18"/>
                <w:szCs w:val="18"/>
              </w:rPr>
            </w:pPr>
            <w:r>
              <w:rPr>
                <w:rFonts w:ascii="Calibri" w:hAnsi="Calibri" w:cs="Calibri"/>
                <w:b/>
                <w:bCs/>
                <w:color w:val="000000"/>
                <w:sz w:val="18"/>
                <w:szCs w:val="18"/>
              </w:rPr>
              <w:t>-1.8</w:t>
            </w:r>
          </w:p>
        </w:tc>
      </w:tr>
      <w:tr w:rsidR="00100FAA" w:rsidTr="00753110">
        <w:trPr>
          <w:trHeight w:val="263"/>
          <w:jc w:val="center"/>
        </w:trPr>
        <w:tc>
          <w:tcPr>
            <w:tcW w:w="1901" w:type="dxa"/>
            <w:shd w:val="clear" w:color="auto" w:fill="DBE5F1"/>
            <w:vAlign w:val="center"/>
          </w:tcPr>
          <w:p w:rsidR="00100FAA" w:rsidRPr="00503B24" w:rsidRDefault="00100FAA" w:rsidP="007F34A9">
            <w:pPr>
              <w:pStyle w:val="BodyText1"/>
              <w:spacing w:before="0" w:after="0"/>
              <w:jc w:val="left"/>
              <w:rPr>
                <w:rFonts w:ascii="Calibri" w:hAnsi="Calibri"/>
                <w:sz w:val="18"/>
                <w:szCs w:val="18"/>
                <w:lang w:val="en-US"/>
              </w:rPr>
            </w:pPr>
            <w:r w:rsidRPr="00503B24">
              <w:rPr>
                <w:rFonts w:ascii="Calibri" w:hAnsi="Calibri"/>
                <w:sz w:val="18"/>
                <w:szCs w:val="18"/>
                <w:lang w:val="en-US"/>
              </w:rPr>
              <w:t>Total score</w:t>
            </w:r>
          </w:p>
        </w:tc>
        <w:tc>
          <w:tcPr>
            <w:tcW w:w="1452" w:type="dxa"/>
            <w:shd w:val="clear" w:color="auto" w:fill="DBE5F1"/>
            <w:vAlign w:val="center"/>
          </w:tcPr>
          <w:p w:rsidR="00100FAA" w:rsidRPr="00415266" w:rsidRDefault="00100FAA" w:rsidP="007F34A9">
            <w:pPr>
              <w:pStyle w:val="BodyText1"/>
              <w:spacing w:before="0" w:after="0"/>
              <w:jc w:val="left"/>
              <w:rPr>
                <w:rFonts w:ascii="Calibri" w:hAnsi="Calibri"/>
                <w:b/>
                <w:sz w:val="18"/>
                <w:szCs w:val="18"/>
                <w:lang w:val="en-US"/>
              </w:rPr>
            </w:pPr>
          </w:p>
        </w:tc>
        <w:tc>
          <w:tcPr>
            <w:tcW w:w="608" w:type="dxa"/>
            <w:shd w:val="clear" w:color="auto" w:fill="DBE5F1"/>
            <w:vAlign w:val="center"/>
          </w:tcPr>
          <w:p w:rsidR="00100FAA" w:rsidRPr="00E078DE" w:rsidRDefault="00100FAA" w:rsidP="007F34A9">
            <w:pPr>
              <w:pStyle w:val="BodyText1"/>
              <w:spacing w:before="0" w:after="0"/>
              <w:jc w:val="left"/>
              <w:rPr>
                <w:rFonts w:asciiTheme="majorHAnsi" w:hAnsiTheme="majorHAnsi"/>
                <w:sz w:val="18"/>
                <w:szCs w:val="18"/>
                <w:lang w:val="en-US"/>
              </w:rPr>
            </w:pPr>
            <w:r w:rsidRPr="00B20E96">
              <w:rPr>
                <w:rFonts w:asciiTheme="majorHAnsi" w:hAnsiTheme="majorHAnsi"/>
                <w:sz w:val="18"/>
                <w:szCs w:val="18"/>
              </w:rPr>
              <w:t>0.00</w:t>
            </w:r>
          </w:p>
        </w:tc>
        <w:tc>
          <w:tcPr>
            <w:tcW w:w="775"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+1.5</w:t>
            </w:r>
          </w:p>
        </w:tc>
        <w:tc>
          <w:tcPr>
            <w:tcW w:w="709"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+4.0</w:t>
            </w:r>
          </w:p>
        </w:tc>
        <w:tc>
          <w:tcPr>
            <w:tcW w:w="709"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+15.0</w:t>
            </w:r>
          </w:p>
        </w:tc>
        <w:tc>
          <w:tcPr>
            <w:tcW w:w="709"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+10.1</w:t>
            </w:r>
          </w:p>
        </w:tc>
        <w:tc>
          <w:tcPr>
            <w:tcW w:w="677"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rPr>
            </w:pPr>
            <w:r>
              <w:rPr>
                <w:rFonts w:ascii="Calibri" w:hAnsi="Calibri" w:cs="Calibri"/>
                <w:i/>
                <w:iCs/>
                <w:color w:val="000000"/>
                <w:sz w:val="18"/>
                <w:szCs w:val="18"/>
              </w:rPr>
              <w:t>+13.7</w:t>
            </w:r>
          </w:p>
        </w:tc>
        <w:tc>
          <w:tcPr>
            <w:tcW w:w="660" w:type="dxa"/>
            <w:shd w:val="clear" w:color="auto" w:fill="DBE5F1"/>
            <w:vAlign w:val="center"/>
          </w:tcPr>
          <w:p w:rsidR="00100FAA" w:rsidRPr="00B20E96" w:rsidRDefault="00100FAA" w:rsidP="007F34A9">
            <w:pPr>
              <w:pStyle w:val="BodyText1"/>
              <w:spacing w:before="0" w:after="0"/>
              <w:jc w:val="center"/>
              <w:rPr>
                <w:rFonts w:asciiTheme="majorHAnsi" w:hAnsiTheme="majorHAnsi"/>
                <w:sz w:val="18"/>
                <w:szCs w:val="18"/>
              </w:rPr>
            </w:pPr>
            <w:r>
              <w:rPr>
                <w:rFonts w:ascii="Calibri" w:hAnsi="Calibri" w:cs="Calibri"/>
                <w:i/>
                <w:iCs/>
                <w:color w:val="000000"/>
                <w:sz w:val="18"/>
                <w:szCs w:val="18"/>
              </w:rPr>
              <w:t>+6.5</w:t>
            </w:r>
          </w:p>
        </w:tc>
      </w:tr>
      <w:tr w:rsidR="00100FAA" w:rsidTr="00753110">
        <w:trPr>
          <w:trHeight w:val="76"/>
          <w:jc w:val="center"/>
        </w:trPr>
        <w:tc>
          <w:tcPr>
            <w:tcW w:w="1901" w:type="dxa"/>
            <w:tcBorders>
              <w:bottom w:val="single" w:sz="4" w:space="0" w:color="53565A"/>
            </w:tcBorders>
            <w:shd w:val="clear" w:color="auto" w:fill="DBE5F1"/>
            <w:vAlign w:val="center"/>
          </w:tcPr>
          <w:p w:rsidR="00100FAA" w:rsidRPr="00415266" w:rsidRDefault="00100FAA" w:rsidP="007F34A9">
            <w:pPr>
              <w:pStyle w:val="BodyText1"/>
              <w:spacing w:before="0" w:after="0"/>
              <w:jc w:val="left"/>
              <w:rPr>
                <w:rFonts w:ascii="Calibri" w:hAnsi="Calibri"/>
                <w:b/>
                <w:i/>
                <w:sz w:val="18"/>
                <w:szCs w:val="18"/>
                <w:lang w:val="en-US"/>
              </w:rPr>
            </w:pPr>
            <w:r w:rsidRPr="00415266">
              <w:rPr>
                <w:rFonts w:ascii="Calibri" w:hAnsi="Calibri"/>
                <w:b/>
                <w:i/>
                <w:sz w:val="18"/>
                <w:szCs w:val="18"/>
                <w:lang w:val="en-US"/>
              </w:rPr>
              <w:t>Total weighted score</w:t>
            </w:r>
          </w:p>
        </w:tc>
        <w:tc>
          <w:tcPr>
            <w:tcW w:w="1452" w:type="dxa"/>
            <w:tcBorders>
              <w:bottom w:val="single" w:sz="4" w:space="0" w:color="53565A"/>
            </w:tcBorders>
            <w:shd w:val="clear" w:color="auto" w:fill="DBE5F1"/>
            <w:vAlign w:val="center"/>
          </w:tcPr>
          <w:p w:rsidR="00100FAA" w:rsidRPr="00415266" w:rsidRDefault="00100FAA" w:rsidP="007F34A9">
            <w:pPr>
              <w:pStyle w:val="BodyText1"/>
              <w:spacing w:before="0" w:after="0"/>
              <w:jc w:val="left"/>
              <w:rPr>
                <w:rFonts w:ascii="Calibri" w:hAnsi="Calibri"/>
                <w:b/>
                <w:sz w:val="18"/>
                <w:szCs w:val="18"/>
                <w:lang w:val="en-US"/>
              </w:rPr>
            </w:pPr>
          </w:p>
        </w:tc>
        <w:tc>
          <w:tcPr>
            <w:tcW w:w="608" w:type="dxa"/>
            <w:tcBorders>
              <w:bottom w:val="single" w:sz="4" w:space="0" w:color="53565A"/>
            </w:tcBorders>
            <w:shd w:val="clear" w:color="auto" w:fill="DBE5F1"/>
            <w:vAlign w:val="center"/>
          </w:tcPr>
          <w:p w:rsidR="00100FAA" w:rsidRPr="00FC0BC1" w:rsidRDefault="00100FAA" w:rsidP="007F34A9">
            <w:pPr>
              <w:pStyle w:val="BodyText1"/>
              <w:spacing w:before="0" w:after="0"/>
              <w:jc w:val="left"/>
              <w:rPr>
                <w:rFonts w:asciiTheme="majorHAnsi" w:hAnsiTheme="majorHAnsi"/>
                <w:b/>
                <w:i/>
                <w:sz w:val="18"/>
                <w:szCs w:val="18"/>
                <w:lang w:val="en-US"/>
              </w:rPr>
            </w:pPr>
            <w:r w:rsidRPr="00FC0BC1">
              <w:rPr>
                <w:rFonts w:asciiTheme="majorHAnsi" w:hAnsiTheme="majorHAnsi"/>
                <w:b/>
                <w:i/>
                <w:sz w:val="18"/>
                <w:szCs w:val="18"/>
              </w:rPr>
              <w:t>0.00</w:t>
            </w:r>
          </w:p>
        </w:tc>
        <w:tc>
          <w:tcPr>
            <w:tcW w:w="775"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+0.4</w:t>
            </w:r>
          </w:p>
        </w:tc>
        <w:tc>
          <w:tcPr>
            <w:tcW w:w="709"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+0.6</w:t>
            </w:r>
          </w:p>
        </w:tc>
        <w:tc>
          <w:tcPr>
            <w:tcW w:w="709"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+2.5</w:t>
            </w:r>
          </w:p>
        </w:tc>
        <w:tc>
          <w:tcPr>
            <w:tcW w:w="709"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+1.9</w:t>
            </w:r>
          </w:p>
        </w:tc>
        <w:tc>
          <w:tcPr>
            <w:tcW w:w="677"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rPr>
            </w:pPr>
            <w:r>
              <w:rPr>
                <w:rFonts w:ascii="Calibri" w:hAnsi="Calibri" w:cs="Calibri"/>
                <w:b/>
                <w:bCs/>
                <w:i/>
                <w:iCs/>
                <w:color w:val="000000"/>
                <w:sz w:val="18"/>
                <w:szCs w:val="18"/>
              </w:rPr>
              <w:t>+2.3</w:t>
            </w:r>
          </w:p>
        </w:tc>
        <w:tc>
          <w:tcPr>
            <w:tcW w:w="660" w:type="dxa"/>
            <w:tcBorders>
              <w:bottom w:val="single" w:sz="4" w:space="0" w:color="53565A"/>
            </w:tcBorders>
            <w:shd w:val="clear" w:color="auto" w:fill="DBE5F1"/>
            <w:vAlign w:val="center"/>
          </w:tcPr>
          <w:p w:rsidR="00100FAA" w:rsidRPr="00FC0BC1" w:rsidRDefault="00100FAA" w:rsidP="007F34A9">
            <w:pPr>
              <w:pStyle w:val="BodyText1"/>
              <w:spacing w:before="0" w:after="0"/>
              <w:jc w:val="center"/>
              <w:rPr>
                <w:rFonts w:asciiTheme="majorHAnsi" w:hAnsiTheme="majorHAnsi"/>
                <w:b/>
                <w:i/>
                <w:sz w:val="18"/>
                <w:szCs w:val="18"/>
              </w:rPr>
            </w:pPr>
            <w:r>
              <w:rPr>
                <w:rFonts w:ascii="Calibri" w:hAnsi="Calibri" w:cs="Calibri"/>
                <w:b/>
                <w:bCs/>
                <w:i/>
                <w:iCs/>
                <w:color w:val="000000"/>
                <w:sz w:val="18"/>
                <w:szCs w:val="18"/>
              </w:rPr>
              <w:t>+</w:t>
            </w:r>
            <w:r w:rsidR="009A1879">
              <w:rPr>
                <w:rFonts w:ascii="Calibri" w:hAnsi="Calibri" w:cs="Calibri"/>
                <w:b/>
                <w:bCs/>
                <w:i/>
                <w:iCs/>
                <w:color w:val="000000"/>
                <w:sz w:val="18"/>
                <w:szCs w:val="18"/>
              </w:rPr>
              <w:t>1</w:t>
            </w:r>
            <w:r>
              <w:rPr>
                <w:rFonts w:ascii="Calibri" w:hAnsi="Calibri" w:cs="Calibri"/>
                <w:b/>
                <w:bCs/>
                <w:i/>
                <w:iCs/>
                <w:color w:val="000000"/>
                <w:sz w:val="18"/>
                <w:szCs w:val="18"/>
              </w:rPr>
              <w:t>.</w:t>
            </w:r>
            <w:r w:rsidR="009A1879">
              <w:rPr>
                <w:rFonts w:ascii="Calibri" w:hAnsi="Calibri" w:cs="Calibri"/>
                <w:b/>
                <w:bCs/>
                <w:i/>
                <w:iCs/>
                <w:color w:val="000000"/>
                <w:sz w:val="18"/>
                <w:szCs w:val="18"/>
              </w:rPr>
              <w:t>2</w:t>
            </w:r>
          </w:p>
        </w:tc>
      </w:tr>
    </w:tbl>
    <w:p w:rsidR="00100FAA" w:rsidRDefault="00100FAA" w:rsidP="00100FAA">
      <w:pPr>
        <w:jc w:val="both"/>
        <w:rPr>
          <w:highlight w:val="yellow"/>
          <w:lang w:val="en-US"/>
        </w:rPr>
      </w:pPr>
    </w:p>
    <w:p w:rsidR="00100FAA" w:rsidRDefault="00100FAA" w:rsidP="00100FAA">
      <w:pPr>
        <w:jc w:val="both"/>
        <w:rPr>
          <w:lang w:val="en-US"/>
        </w:rPr>
      </w:pPr>
      <w:r w:rsidRPr="002C786C">
        <w:rPr>
          <w:lang w:val="en-US"/>
        </w:rPr>
        <w:t>Based on Table 2</w:t>
      </w:r>
      <w:r>
        <w:rPr>
          <w:lang w:val="en-US"/>
        </w:rPr>
        <w:t>5</w:t>
      </w:r>
      <w:r w:rsidRPr="002C786C">
        <w:rPr>
          <w:lang w:val="en-US"/>
        </w:rPr>
        <w:t xml:space="preserve">, </w:t>
      </w:r>
      <w:r w:rsidRPr="002C786C">
        <w:rPr>
          <w:b/>
          <w:i/>
          <w:lang w:val="en-US"/>
        </w:rPr>
        <w:t>Option</w:t>
      </w:r>
      <w:r>
        <w:rPr>
          <w:b/>
          <w:i/>
          <w:lang w:val="en-US"/>
        </w:rPr>
        <w:t xml:space="preserve"> 3 </w:t>
      </w:r>
      <w:r w:rsidRPr="00503B24">
        <w:rPr>
          <w:b/>
          <w:lang w:val="en-US"/>
        </w:rPr>
        <w:t>(the proposed Code with industry enforcement)</w:t>
      </w:r>
      <w:r>
        <w:rPr>
          <w:lang w:val="en-US"/>
        </w:rPr>
        <w:t xml:space="preserve"> </w:t>
      </w:r>
      <w:r>
        <w:rPr>
          <w:b/>
          <w:i/>
          <w:lang w:val="en-US"/>
        </w:rPr>
        <w:t xml:space="preserve">provides for the highest weighted score +2.5 </w:t>
      </w:r>
      <w:r w:rsidRPr="002C786C">
        <w:rPr>
          <w:lang w:val="en-US"/>
        </w:rPr>
        <w:t xml:space="preserve">followed by Option </w:t>
      </w:r>
      <w:r>
        <w:rPr>
          <w:lang w:val="en-US"/>
        </w:rPr>
        <w:t xml:space="preserve">5 (the proposed Code with industry enforcement and no additional health checks) </w:t>
      </w:r>
      <w:r w:rsidRPr="002C786C">
        <w:rPr>
          <w:lang w:val="en-US"/>
        </w:rPr>
        <w:t>with a score of +</w:t>
      </w:r>
      <w:r>
        <w:rPr>
          <w:lang w:val="en-US"/>
        </w:rPr>
        <w:t>2</w:t>
      </w:r>
      <w:r w:rsidRPr="002C786C">
        <w:rPr>
          <w:lang w:val="en-US"/>
        </w:rPr>
        <w:t>.</w:t>
      </w:r>
      <w:r>
        <w:rPr>
          <w:lang w:val="en-US"/>
        </w:rPr>
        <w:t>3</w:t>
      </w:r>
      <w:r w:rsidRPr="002C786C">
        <w:rPr>
          <w:lang w:val="en-US"/>
        </w:rPr>
        <w:t xml:space="preserve"> </w:t>
      </w:r>
      <w:r w:rsidR="00B53EEF">
        <w:rPr>
          <w:lang w:val="en-US"/>
        </w:rPr>
        <w:t>then</w:t>
      </w:r>
      <w:r w:rsidRPr="002C786C">
        <w:rPr>
          <w:lang w:val="en-US"/>
        </w:rPr>
        <w:t xml:space="preserve"> Option </w:t>
      </w:r>
      <w:r>
        <w:rPr>
          <w:lang w:val="en-US"/>
        </w:rPr>
        <w:t>4</w:t>
      </w:r>
      <w:r w:rsidRPr="002C786C">
        <w:rPr>
          <w:lang w:val="en-US"/>
        </w:rPr>
        <w:t xml:space="preserve"> </w:t>
      </w:r>
      <w:r>
        <w:rPr>
          <w:lang w:val="en-US"/>
        </w:rPr>
        <w:t>(the proposed Code with local government enforcement)</w:t>
      </w:r>
      <w:r w:rsidRPr="002C786C">
        <w:rPr>
          <w:lang w:val="en-US"/>
        </w:rPr>
        <w:t xml:space="preserve"> with a score of +</w:t>
      </w:r>
      <w:r>
        <w:rPr>
          <w:lang w:val="en-US"/>
        </w:rPr>
        <w:t>1</w:t>
      </w:r>
      <w:r w:rsidRPr="002C786C">
        <w:rPr>
          <w:lang w:val="en-US"/>
        </w:rPr>
        <w:t>.</w:t>
      </w:r>
      <w:r>
        <w:rPr>
          <w:lang w:val="en-US"/>
        </w:rPr>
        <w:t>9</w:t>
      </w:r>
      <w:r w:rsidRPr="002C786C">
        <w:rPr>
          <w:lang w:val="en-US"/>
        </w:rPr>
        <w:t xml:space="preserve">. </w:t>
      </w:r>
      <w:r>
        <w:rPr>
          <w:lang w:val="en-US"/>
        </w:rPr>
        <w:t>Option 6 (the proposed Code with industry enforcement and reduced rearing requirements) provides a score of +</w:t>
      </w:r>
      <w:r w:rsidR="009A1879">
        <w:rPr>
          <w:lang w:val="en-US"/>
        </w:rPr>
        <w:t>1</w:t>
      </w:r>
      <w:r>
        <w:rPr>
          <w:lang w:val="en-US"/>
        </w:rPr>
        <w:t>.</w:t>
      </w:r>
      <w:r w:rsidR="009A1879">
        <w:rPr>
          <w:lang w:val="en-US"/>
        </w:rPr>
        <w:t>2</w:t>
      </w:r>
      <w:r>
        <w:rPr>
          <w:lang w:val="en-US"/>
        </w:rPr>
        <w:t xml:space="preserve">; </w:t>
      </w:r>
      <w:r w:rsidRPr="002C786C">
        <w:rPr>
          <w:lang w:val="en-US"/>
        </w:rPr>
        <w:t xml:space="preserve">Option </w:t>
      </w:r>
      <w:r>
        <w:rPr>
          <w:lang w:val="en-US"/>
        </w:rPr>
        <w:t>2 (adoption of the proposed Code in the Local Rules) provides a score of +0.6; and Option 1 (media and information campaign) provides the lowest score of +0.4.</w:t>
      </w:r>
      <w:r w:rsidR="007B521C">
        <w:rPr>
          <w:lang w:val="en-US"/>
        </w:rPr>
        <w:t xml:space="preserve"> </w:t>
      </w:r>
      <w:r>
        <w:rPr>
          <w:lang w:val="en-US"/>
        </w:rPr>
        <w:t xml:space="preserve">Based on these scores, </w:t>
      </w:r>
      <w:r w:rsidRPr="00503B24">
        <w:rPr>
          <w:b/>
          <w:i/>
          <w:lang w:val="en-US"/>
        </w:rPr>
        <w:t xml:space="preserve">Option 3 the proposed Code with industry enforcement is </w:t>
      </w:r>
      <w:r>
        <w:rPr>
          <w:b/>
          <w:i/>
          <w:lang w:val="en-US"/>
        </w:rPr>
        <w:t xml:space="preserve">selected as </w:t>
      </w:r>
      <w:r w:rsidRPr="00503B24">
        <w:rPr>
          <w:b/>
          <w:i/>
          <w:lang w:val="en-US"/>
        </w:rPr>
        <w:t>the preferred option</w:t>
      </w:r>
      <w:r>
        <w:rPr>
          <w:lang w:val="en-US"/>
        </w:rPr>
        <w:t>.</w:t>
      </w:r>
    </w:p>
    <w:p w:rsidR="00100FAA" w:rsidRDefault="00100FAA" w:rsidP="004819A4">
      <w:pPr>
        <w:jc w:val="both"/>
      </w:pPr>
    </w:p>
    <w:p w:rsidR="00100FAA" w:rsidRPr="00AB74F5" w:rsidRDefault="00100FAA" w:rsidP="00AB74F5">
      <w:pPr>
        <w:pStyle w:val="H13pt"/>
      </w:pPr>
      <w:bookmarkStart w:id="19" w:name="_Toc477190138"/>
      <w:r w:rsidRPr="00AB74F5">
        <w:t>Impact on small business and competition</w:t>
      </w:r>
      <w:bookmarkEnd w:id="19"/>
    </w:p>
    <w:p w:rsidR="00100FAA" w:rsidRDefault="00100FAA" w:rsidP="00100FAA">
      <w:pPr>
        <w:pStyle w:val="BodyText20"/>
        <w:rPr>
          <w:rFonts w:ascii="Calibri" w:hAnsi="Calibri"/>
          <w:sz w:val="22"/>
          <w:szCs w:val="22"/>
          <w:lang w:val="en-US"/>
        </w:rPr>
      </w:pPr>
      <w:r>
        <w:rPr>
          <w:rFonts w:ascii="Calibri" w:hAnsi="Calibri"/>
          <w:sz w:val="22"/>
          <w:szCs w:val="22"/>
          <w:lang w:val="en-US"/>
        </w:rPr>
        <w:t xml:space="preserve">For the purposes of this RIS small breeders are established as those participants who have whelped less than 3 litters and small trainers/owners are those with less than 9 greyhounds who </w:t>
      </w:r>
      <w:r w:rsidR="00B53EEF">
        <w:rPr>
          <w:rFonts w:ascii="Calibri" w:hAnsi="Calibri"/>
          <w:sz w:val="22"/>
          <w:szCs w:val="22"/>
          <w:lang w:val="en-US"/>
        </w:rPr>
        <w:t xml:space="preserve">have </w:t>
      </w:r>
      <w:r>
        <w:rPr>
          <w:rFonts w:ascii="Calibri" w:hAnsi="Calibri"/>
          <w:sz w:val="22"/>
          <w:szCs w:val="22"/>
          <w:lang w:val="en-US"/>
        </w:rPr>
        <w:t>made a start.</w:t>
      </w:r>
      <w:r w:rsidR="007B521C">
        <w:rPr>
          <w:rFonts w:ascii="Calibri" w:hAnsi="Calibri"/>
          <w:sz w:val="22"/>
          <w:szCs w:val="22"/>
          <w:lang w:val="en-US"/>
        </w:rPr>
        <w:t xml:space="preserve"> </w:t>
      </w:r>
      <w:r w:rsidR="007F34A9">
        <w:rPr>
          <w:rFonts w:ascii="Calibri" w:hAnsi="Calibri"/>
          <w:sz w:val="22"/>
          <w:szCs w:val="22"/>
          <w:lang w:val="en-US"/>
        </w:rPr>
        <w:t>S</w:t>
      </w:r>
      <w:r>
        <w:rPr>
          <w:rFonts w:ascii="Calibri" w:hAnsi="Calibri"/>
          <w:sz w:val="22"/>
          <w:szCs w:val="22"/>
          <w:lang w:val="en-US"/>
        </w:rPr>
        <w:t>mall breeders constitute 21.55% of unique breeders and trainers and small trainers represent 64.5% of unique breeders and trainers.</w:t>
      </w:r>
      <w:r w:rsidR="007B521C">
        <w:rPr>
          <w:rFonts w:ascii="Calibri" w:hAnsi="Calibri"/>
          <w:sz w:val="22"/>
          <w:szCs w:val="22"/>
          <w:lang w:val="en-US"/>
        </w:rPr>
        <w:t xml:space="preserve"> </w:t>
      </w:r>
      <w:r>
        <w:rPr>
          <w:rFonts w:ascii="Calibri" w:hAnsi="Calibri"/>
          <w:sz w:val="22"/>
          <w:szCs w:val="22"/>
          <w:lang w:val="en-US"/>
        </w:rPr>
        <w:t xml:space="preserve">97.5% of unique owners are considered to be small. </w:t>
      </w:r>
      <w:r w:rsidR="006F7DDA">
        <w:rPr>
          <w:rFonts w:ascii="Calibri" w:hAnsi="Calibri"/>
          <w:sz w:val="22"/>
          <w:szCs w:val="22"/>
          <w:lang w:val="en-US"/>
        </w:rPr>
        <w:t xml:space="preserve">Overall, the analysis undertaken in this section suggests that small industry participants are not likely to face significantly different or disproportionate costs in complying with the proposed Code. </w:t>
      </w:r>
      <w:r w:rsidR="00AD10B7">
        <w:rPr>
          <w:rFonts w:ascii="Calibri" w:hAnsi="Calibri"/>
          <w:sz w:val="22"/>
          <w:szCs w:val="22"/>
          <w:lang w:val="en-US"/>
        </w:rPr>
        <w:t xml:space="preserve">The complete analysis of small business impacts is contained in </w:t>
      </w:r>
      <w:r w:rsidR="00F31C9C">
        <w:rPr>
          <w:rFonts w:ascii="Calibri" w:hAnsi="Calibri"/>
          <w:sz w:val="22"/>
          <w:szCs w:val="22"/>
          <w:lang w:val="en-US"/>
        </w:rPr>
        <w:t>Section 6 of this RIS</w:t>
      </w:r>
      <w:r w:rsidR="00AD10B7">
        <w:rPr>
          <w:rFonts w:ascii="Calibri" w:hAnsi="Calibri"/>
          <w:sz w:val="22"/>
          <w:szCs w:val="22"/>
          <w:lang w:val="en-US"/>
        </w:rPr>
        <w:t>.</w:t>
      </w:r>
      <w:r>
        <w:rPr>
          <w:rFonts w:ascii="Calibri" w:hAnsi="Calibri"/>
          <w:sz w:val="22"/>
          <w:szCs w:val="22"/>
          <w:lang w:val="en-US"/>
        </w:rPr>
        <w:t xml:space="preserve"> </w:t>
      </w:r>
    </w:p>
    <w:p w:rsidR="007F34A9" w:rsidRDefault="007F34A9" w:rsidP="00100FAA">
      <w:pPr>
        <w:pStyle w:val="BodyText20"/>
        <w:rPr>
          <w:rFonts w:ascii="Calibri" w:hAnsi="Calibri"/>
          <w:sz w:val="22"/>
          <w:szCs w:val="22"/>
          <w:lang w:val="en-US"/>
        </w:rPr>
      </w:pPr>
    </w:p>
    <w:p w:rsidR="00100FAA" w:rsidRPr="00AB74F5" w:rsidRDefault="007F34A9" w:rsidP="00AB74F5">
      <w:pPr>
        <w:pStyle w:val="H11italic"/>
      </w:pPr>
      <w:bookmarkStart w:id="20" w:name="_Toc477190139"/>
      <w:r w:rsidRPr="00AB74F5">
        <w:t>Impact on small breeders (those who whelped less than 3 litters)</w:t>
      </w:r>
      <w:bookmarkEnd w:id="20"/>
    </w:p>
    <w:p w:rsidR="00100FAA" w:rsidRDefault="00AD10B7" w:rsidP="00100FAA">
      <w:pPr>
        <w:pStyle w:val="BodyText20"/>
        <w:rPr>
          <w:rFonts w:ascii="Calibri" w:hAnsi="Calibri"/>
          <w:sz w:val="22"/>
          <w:szCs w:val="22"/>
          <w:lang w:val="en-US"/>
        </w:rPr>
      </w:pPr>
      <w:r>
        <w:rPr>
          <w:rFonts w:ascii="Calibri" w:hAnsi="Calibri"/>
          <w:sz w:val="22"/>
          <w:szCs w:val="22"/>
          <w:lang w:val="en-US"/>
        </w:rPr>
        <w:t xml:space="preserve">The ‘per dog’ impact for smaller and larger breeders are likely to be the same, therefore </w:t>
      </w:r>
      <w:r w:rsidR="00ED1EE4">
        <w:rPr>
          <w:rFonts w:ascii="Calibri" w:hAnsi="Calibri"/>
          <w:sz w:val="22"/>
          <w:szCs w:val="22"/>
          <w:lang w:val="en-US"/>
        </w:rPr>
        <w:t xml:space="preserve">the proposed Code </w:t>
      </w:r>
      <w:r w:rsidR="00100FAA">
        <w:rPr>
          <w:rFonts w:ascii="Calibri" w:hAnsi="Calibri"/>
          <w:sz w:val="22"/>
          <w:szCs w:val="22"/>
          <w:lang w:val="en-US"/>
        </w:rPr>
        <w:t xml:space="preserve">would not </w:t>
      </w:r>
      <w:r w:rsidR="00ED1EE4">
        <w:rPr>
          <w:rFonts w:ascii="Calibri" w:hAnsi="Calibri"/>
          <w:sz w:val="22"/>
          <w:szCs w:val="22"/>
          <w:lang w:val="en-US"/>
        </w:rPr>
        <w:t xml:space="preserve">be likely to disadvantage </w:t>
      </w:r>
      <w:r w:rsidR="00100FAA">
        <w:rPr>
          <w:rFonts w:ascii="Calibri" w:hAnsi="Calibri"/>
          <w:sz w:val="22"/>
          <w:szCs w:val="22"/>
          <w:lang w:val="en-US"/>
        </w:rPr>
        <w:t>small businesses.</w:t>
      </w:r>
    </w:p>
    <w:p w:rsidR="00100FAA" w:rsidRDefault="00100FAA" w:rsidP="00100FAA">
      <w:pPr>
        <w:pStyle w:val="BodyText20"/>
        <w:rPr>
          <w:rFonts w:ascii="Calibri" w:hAnsi="Calibri"/>
          <w:sz w:val="22"/>
          <w:szCs w:val="22"/>
          <w:lang w:val="en-US"/>
        </w:rPr>
      </w:pPr>
    </w:p>
    <w:p w:rsidR="007F34A9" w:rsidRPr="00077626" w:rsidRDefault="007F34A9" w:rsidP="00AB74F5">
      <w:pPr>
        <w:pStyle w:val="H11italic"/>
      </w:pPr>
      <w:bookmarkStart w:id="21" w:name="_Toc477190140"/>
      <w:r>
        <w:t xml:space="preserve">Impact on </w:t>
      </w:r>
      <w:r w:rsidRPr="00077626">
        <w:t xml:space="preserve">small </w:t>
      </w:r>
      <w:r>
        <w:t xml:space="preserve">trainers </w:t>
      </w:r>
      <w:r w:rsidRPr="0042749A">
        <w:t>(</w:t>
      </w:r>
      <w:r>
        <w:t xml:space="preserve">those who had </w:t>
      </w:r>
      <w:r w:rsidRPr="0042749A">
        <w:t>less than 9 greyhounds who made a start)</w:t>
      </w:r>
      <w:bookmarkEnd w:id="21"/>
    </w:p>
    <w:p w:rsidR="00100FAA" w:rsidRPr="0042749A" w:rsidRDefault="000E190F" w:rsidP="00100FAA">
      <w:pPr>
        <w:pStyle w:val="BodyText20"/>
        <w:rPr>
          <w:rFonts w:ascii="Calibri" w:hAnsi="Calibri"/>
          <w:sz w:val="22"/>
          <w:szCs w:val="22"/>
          <w:lang w:val="en-US"/>
        </w:rPr>
      </w:pPr>
      <w:r>
        <w:rPr>
          <w:rFonts w:ascii="Calibri" w:hAnsi="Calibri"/>
          <w:sz w:val="22"/>
          <w:szCs w:val="22"/>
          <w:lang w:val="en-US"/>
        </w:rPr>
        <w:t>As smaller trainers are currently likely to be less compliant</w:t>
      </w:r>
      <w:r w:rsidR="005778AC">
        <w:rPr>
          <w:rFonts w:ascii="Calibri" w:hAnsi="Calibri"/>
          <w:sz w:val="22"/>
          <w:szCs w:val="22"/>
          <w:lang w:val="en-US"/>
        </w:rPr>
        <w:t xml:space="preserve"> compared to large trainers</w:t>
      </w:r>
      <w:r>
        <w:rPr>
          <w:rFonts w:ascii="Calibri" w:hAnsi="Calibri"/>
          <w:sz w:val="22"/>
          <w:szCs w:val="22"/>
          <w:lang w:val="en-US"/>
        </w:rPr>
        <w:t xml:space="preserve">, </w:t>
      </w:r>
      <w:r w:rsidR="00FA31C9">
        <w:rPr>
          <w:rFonts w:ascii="Calibri" w:hAnsi="Calibri"/>
          <w:sz w:val="22"/>
          <w:szCs w:val="22"/>
          <w:lang w:val="en-US"/>
        </w:rPr>
        <w:br/>
      </w:r>
      <w:r>
        <w:rPr>
          <w:rFonts w:ascii="Calibri" w:hAnsi="Calibri"/>
          <w:sz w:val="22"/>
          <w:szCs w:val="22"/>
          <w:lang w:val="en-US"/>
        </w:rPr>
        <w:t xml:space="preserve">the proposed Code </w:t>
      </w:r>
      <w:r w:rsidR="00A95F5B">
        <w:rPr>
          <w:rFonts w:ascii="Calibri" w:hAnsi="Calibri"/>
          <w:sz w:val="22"/>
          <w:szCs w:val="22"/>
          <w:lang w:val="en-US"/>
        </w:rPr>
        <w:t xml:space="preserve">may </w:t>
      </w:r>
      <w:r>
        <w:rPr>
          <w:rFonts w:ascii="Calibri" w:hAnsi="Calibri"/>
          <w:sz w:val="22"/>
          <w:szCs w:val="22"/>
          <w:lang w:val="en-US"/>
        </w:rPr>
        <w:t xml:space="preserve">have </w:t>
      </w:r>
      <w:r w:rsidR="005778AC">
        <w:rPr>
          <w:rFonts w:ascii="Calibri" w:hAnsi="Calibri"/>
          <w:sz w:val="22"/>
          <w:szCs w:val="22"/>
          <w:lang w:val="en-US"/>
        </w:rPr>
        <w:t>a larger effect on them overall.</w:t>
      </w:r>
      <w:r>
        <w:rPr>
          <w:rFonts w:ascii="Calibri" w:hAnsi="Calibri"/>
          <w:sz w:val="22"/>
          <w:szCs w:val="22"/>
          <w:lang w:val="en-US"/>
        </w:rPr>
        <w:t xml:space="preserve"> </w:t>
      </w:r>
      <w:r w:rsidR="005778AC">
        <w:rPr>
          <w:rFonts w:ascii="Calibri" w:hAnsi="Calibri"/>
          <w:sz w:val="22"/>
          <w:szCs w:val="22"/>
          <w:lang w:val="en-US"/>
        </w:rPr>
        <w:t>However,</w:t>
      </w:r>
      <w:r>
        <w:rPr>
          <w:rFonts w:ascii="Calibri" w:hAnsi="Calibri"/>
          <w:sz w:val="22"/>
          <w:szCs w:val="22"/>
          <w:lang w:val="en-US"/>
        </w:rPr>
        <w:t xml:space="preserve"> smaller trainers </w:t>
      </w:r>
      <w:r w:rsidR="00FA31C9">
        <w:rPr>
          <w:rFonts w:ascii="Calibri" w:hAnsi="Calibri"/>
          <w:sz w:val="22"/>
          <w:szCs w:val="22"/>
          <w:lang w:val="en-US"/>
        </w:rPr>
        <w:br/>
      </w:r>
      <w:r>
        <w:rPr>
          <w:rFonts w:ascii="Calibri" w:hAnsi="Calibri"/>
          <w:sz w:val="22"/>
          <w:szCs w:val="22"/>
          <w:lang w:val="en-US"/>
        </w:rPr>
        <w:t>that are alrea</w:t>
      </w:r>
      <w:r w:rsidR="005778AC">
        <w:rPr>
          <w:rFonts w:ascii="Calibri" w:hAnsi="Calibri"/>
          <w:sz w:val="22"/>
          <w:szCs w:val="22"/>
          <w:lang w:val="en-US"/>
        </w:rPr>
        <w:t>dy engaging in better practices</w:t>
      </w:r>
      <w:r>
        <w:rPr>
          <w:rFonts w:ascii="Calibri" w:hAnsi="Calibri"/>
          <w:sz w:val="22"/>
          <w:szCs w:val="22"/>
          <w:lang w:val="en-US"/>
        </w:rPr>
        <w:t xml:space="preserve"> will not experience disproportionately higher costs than larger trainers</w:t>
      </w:r>
      <w:r w:rsidR="00AD10B7">
        <w:rPr>
          <w:rFonts w:ascii="Calibri" w:hAnsi="Calibri"/>
          <w:sz w:val="22"/>
          <w:szCs w:val="22"/>
          <w:lang w:val="en-US"/>
        </w:rPr>
        <w:t xml:space="preserve">, </w:t>
      </w:r>
      <w:r w:rsidR="005778AC">
        <w:rPr>
          <w:rFonts w:ascii="Calibri" w:hAnsi="Calibri"/>
          <w:sz w:val="22"/>
          <w:szCs w:val="22"/>
          <w:lang w:val="en-US"/>
        </w:rPr>
        <w:t>therefore</w:t>
      </w:r>
      <w:r w:rsidR="00AD10B7">
        <w:rPr>
          <w:rFonts w:ascii="Calibri" w:hAnsi="Calibri"/>
          <w:sz w:val="22"/>
          <w:szCs w:val="22"/>
          <w:lang w:val="en-US"/>
        </w:rPr>
        <w:t xml:space="preserve"> the ongoing costs for small and large trainers are likely to be similar</w:t>
      </w:r>
      <w:r>
        <w:rPr>
          <w:rFonts w:ascii="Calibri" w:hAnsi="Calibri"/>
          <w:sz w:val="22"/>
          <w:szCs w:val="22"/>
          <w:lang w:val="en-US"/>
        </w:rPr>
        <w:t>.</w:t>
      </w:r>
      <w:r w:rsidR="00100FAA" w:rsidRPr="006F7D60">
        <w:rPr>
          <w:rFonts w:ascii="Calibri" w:hAnsi="Calibri"/>
          <w:sz w:val="22"/>
          <w:szCs w:val="22"/>
          <w:lang w:val="en-US"/>
        </w:rPr>
        <w:t xml:space="preserve"> </w:t>
      </w:r>
    </w:p>
    <w:p w:rsidR="00AB74F5" w:rsidRDefault="00AB74F5">
      <w:pPr>
        <w:rPr>
          <w:b/>
          <w:i/>
          <w:color w:val="53565A"/>
          <w:lang w:val="en-US"/>
        </w:rPr>
      </w:pPr>
      <w:r>
        <w:br w:type="page"/>
      </w:r>
    </w:p>
    <w:p w:rsidR="007F34A9" w:rsidRPr="00077626" w:rsidRDefault="007F34A9" w:rsidP="00AB74F5">
      <w:pPr>
        <w:pStyle w:val="H11italic"/>
      </w:pPr>
      <w:bookmarkStart w:id="22" w:name="_Toc477190141"/>
      <w:r>
        <w:lastRenderedPageBreak/>
        <w:t xml:space="preserve">Impact on </w:t>
      </w:r>
      <w:r w:rsidRPr="00077626">
        <w:t xml:space="preserve">small </w:t>
      </w:r>
      <w:r>
        <w:t xml:space="preserve">owners </w:t>
      </w:r>
      <w:r w:rsidRPr="00077626">
        <w:t>(</w:t>
      </w:r>
      <w:r>
        <w:t xml:space="preserve">those who had </w:t>
      </w:r>
      <w:r w:rsidRPr="00077626">
        <w:t>less than 9 greyhounds who made a start)</w:t>
      </w:r>
      <w:bookmarkEnd w:id="22"/>
    </w:p>
    <w:p w:rsidR="00100FAA" w:rsidRDefault="00100FAA" w:rsidP="00100FAA">
      <w:pPr>
        <w:pStyle w:val="BodyText20"/>
        <w:rPr>
          <w:rFonts w:ascii="Calibri" w:hAnsi="Calibri"/>
          <w:sz w:val="22"/>
          <w:szCs w:val="22"/>
        </w:rPr>
      </w:pPr>
      <w:r>
        <w:rPr>
          <w:rFonts w:ascii="Calibri" w:hAnsi="Calibri"/>
          <w:sz w:val="22"/>
          <w:szCs w:val="22"/>
        </w:rPr>
        <w:t>For an owner, there is most likely to be a $12 to $13 increase in rearing costs per dog per week for 36 weeks and around a $49 increase in training costs per week per dog for 12 weeks.</w:t>
      </w:r>
      <w:r w:rsidR="007B521C">
        <w:rPr>
          <w:rFonts w:ascii="Calibri" w:hAnsi="Calibri"/>
          <w:sz w:val="22"/>
          <w:szCs w:val="22"/>
        </w:rPr>
        <w:t xml:space="preserve"> </w:t>
      </w:r>
      <w:r>
        <w:rPr>
          <w:rFonts w:ascii="Calibri" w:hAnsi="Calibri"/>
          <w:sz w:val="22"/>
          <w:szCs w:val="22"/>
        </w:rPr>
        <w:t>The additional cost per dog is therefore likely to be around $450 for rearing and around $588 for training, over their lifetime.</w:t>
      </w:r>
      <w:r w:rsidR="007B521C">
        <w:rPr>
          <w:rFonts w:ascii="Calibri" w:hAnsi="Calibri"/>
          <w:sz w:val="22"/>
          <w:szCs w:val="22"/>
        </w:rPr>
        <w:t xml:space="preserve"> </w:t>
      </w:r>
      <w:r w:rsidR="00AE7ACF">
        <w:rPr>
          <w:rFonts w:ascii="Calibri" w:hAnsi="Calibri"/>
          <w:sz w:val="22"/>
          <w:szCs w:val="22"/>
        </w:rPr>
        <w:t xml:space="preserve">Additionally, </w:t>
      </w:r>
      <w:r>
        <w:rPr>
          <w:rFonts w:ascii="Calibri" w:hAnsi="Calibri"/>
          <w:sz w:val="22"/>
          <w:szCs w:val="22"/>
        </w:rPr>
        <w:t xml:space="preserve">there is also the direct cost to owners from </w:t>
      </w:r>
      <w:r w:rsidR="00D8544F">
        <w:rPr>
          <w:rFonts w:ascii="Calibri" w:hAnsi="Calibri"/>
          <w:sz w:val="22"/>
          <w:szCs w:val="22"/>
        </w:rPr>
        <w:t xml:space="preserve">rehoming </w:t>
      </w:r>
      <w:r>
        <w:rPr>
          <w:rFonts w:ascii="Calibri" w:hAnsi="Calibri"/>
          <w:sz w:val="22"/>
          <w:szCs w:val="22"/>
        </w:rPr>
        <w:t>reforms and the transfer of responsibility of rehabilitation of dogs to owners at a cost of arou</w:t>
      </w:r>
      <w:r w:rsidR="00AE7ACF">
        <w:rPr>
          <w:rFonts w:ascii="Calibri" w:hAnsi="Calibri"/>
          <w:sz w:val="22"/>
          <w:szCs w:val="22"/>
        </w:rPr>
        <w:t>nd $512 per dog under proposed Standard 6.3.12 – a total increase of around $1,550 per dog over its lifetime.</w:t>
      </w:r>
    </w:p>
    <w:p w:rsidR="00100FAA" w:rsidRDefault="00100FAA" w:rsidP="00100FAA">
      <w:pPr>
        <w:pStyle w:val="BodyText20"/>
        <w:rPr>
          <w:rFonts w:ascii="Calibri" w:hAnsi="Calibri"/>
          <w:sz w:val="22"/>
          <w:szCs w:val="22"/>
        </w:rPr>
      </w:pPr>
    </w:p>
    <w:p w:rsidR="00100FAA" w:rsidRPr="0042749A" w:rsidRDefault="00100FAA" w:rsidP="00100FAA">
      <w:pPr>
        <w:pStyle w:val="BodyText20"/>
        <w:rPr>
          <w:rFonts w:ascii="Calibri" w:hAnsi="Calibri"/>
          <w:sz w:val="22"/>
          <w:szCs w:val="22"/>
        </w:rPr>
      </w:pPr>
      <w:r>
        <w:rPr>
          <w:rFonts w:ascii="Calibri" w:hAnsi="Calibri"/>
          <w:sz w:val="22"/>
          <w:szCs w:val="22"/>
        </w:rPr>
        <w:t>For large owners made up of as many as ten syndicate me</w:t>
      </w:r>
      <w:r w:rsidR="00AE7ACF">
        <w:rPr>
          <w:rFonts w:ascii="Calibri" w:hAnsi="Calibri"/>
          <w:sz w:val="22"/>
          <w:szCs w:val="22"/>
        </w:rPr>
        <w:t xml:space="preserve">mbers (on advice from GRV) </w:t>
      </w:r>
      <w:r>
        <w:rPr>
          <w:rFonts w:ascii="Calibri" w:hAnsi="Calibri"/>
          <w:sz w:val="22"/>
          <w:szCs w:val="22"/>
        </w:rPr>
        <w:t xml:space="preserve">this is not likely to constitute an impost. For small owners with less than 9 greyhounds then this could result in a </w:t>
      </w:r>
      <w:r w:rsidR="00AE7ACF">
        <w:rPr>
          <w:rFonts w:ascii="Calibri" w:hAnsi="Calibri"/>
          <w:sz w:val="22"/>
          <w:szCs w:val="22"/>
        </w:rPr>
        <w:t>larger proportionate burden.</w:t>
      </w:r>
      <w:r w:rsidR="007B521C">
        <w:rPr>
          <w:rFonts w:ascii="Calibri" w:hAnsi="Calibri"/>
          <w:sz w:val="22"/>
          <w:szCs w:val="22"/>
        </w:rPr>
        <w:t xml:space="preserve"> </w:t>
      </w:r>
      <w:r>
        <w:rPr>
          <w:rFonts w:ascii="Calibri" w:hAnsi="Calibri"/>
          <w:sz w:val="22"/>
          <w:szCs w:val="22"/>
        </w:rPr>
        <w:t xml:space="preserve">However even for small </w:t>
      </w:r>
      <w:r w:rsidR="00AE7ACF">
        <w:rPr>
          <w:rFonts w:ascii="Calibri" w:hAnsi="Calibri"/>
          <w:sz w:val="22"/>
          <w:szCs w:val="22"/>
        </w:rPr>
        <w:t>owners – a rise in cost by $1,55</w:t>
      </w:r>
      <w:r>
        <w:rPr>
          <w:rFonts w:ascii="Calibri" w:hAnsi="Calibri"/>
          <w:sz w:val="22"/>
          <w:szCs w:val="22"/>
        </w:rPr>
        <w:t xml:space="preserve">0 per dog over their lifetime (including the cost of rehabilitation) </w:t>
      </w:r>
      <w:r w:rsidR="00AE7ACF">
        <w:rPr>
          <w:rFonts w:ascii="Calibri" w:hAnsi="Calibri"/>
          <w:sz w:val="22"/>
        </w:rPr>
        <w:t>represents a 7.8</w:t>
      </w:r>
      <w:r w:rsidRPr="007C72F9">
        <w:rPr>
          <w:rFonts w:ascii="Calibri" w:hAnsi="Calibri"/>
          <w:sz w:val="22"/>
        </w:rPr>
        <w:t>% increase</w:t>
      </w:r>
      <w:r w:rsidR="00322BDA">
        <w:rPr>
          <w:rFonts w:ascii="Calibri" w:hAnsi="Calibri"/>
          <w:sz w:val="22"/>
        </w:rPr>
        <w:t xml:space="preserve"> from the average estimated costs of ownership</w:t>
      </w:r>
      <w:r w:rsidR="00B53EEF">
        <w:rPr>
          <w:rFonts w:ascii="Calibri" w:hAnsi="Calibri"/>
          <w:sz w:val="22"/>
        </w:rPr>
        <w:t>.</w:t>
      </w:r>
      <w:r w:rsidRPr="007C72F9">
        <w:rPr>
          <w:rFonts w:ascii="Calibri" w:hAnsi="Calibri"/>
          <w:sz w:val="22"/>
        </w:rPr>
        <w:t xml:space="preserve"> </w:t>
      </w:r>
      <w:r w:rsidR="00B53EEF">
        <w:rPr>
          <w:rFonts w:ascii="Calibri" w:hAnsi="Calibri"/>
          <w:sz w:val="22"/>
        </w:rPr>
        <w:t>I</w:t>
      </w:r>
      <w:r w:rsidRPr="007C72F9">
        <w:rPr>
          <w:rFonts w:ascii="Calibri" w:hAnsi="Calibri"/>
          <w:sz w:val="22"/>
        </w:rPr>
        <w:t>t is unclear if this will reduce involvement in the industry.</w:t>
      </w:r>
      <w:r w:rsidR="007B521C">
        <w:rPr>
          <w:rFonts w:ascii="Calibri" w:hAnsi="Calibri"/>
          <w:sz w:val="22"/>
        </w:rPr>
        <w:t xml:space="preserve"> </w:t>
      </w:r>
      <w:r w:rsidRPr="007C72F9">
        <w:rPr>
          <w:rFonts w:ascii="Calibri" w:hAnsi="Calibri"/>
          <w:sz w:val="22"/>
        </w:rPr>
        <w:t xml:space="preserve">Importantly, unlike large owners, small owners are more likely to </w:t>
      </w:r>
      <w:r w:rsidR="00B53EEF">
        <w:rPr>
          <w:rFonts w:ascii="Calibri" w:hAnsi="Calibri"/>
          <w:sz w:val="22"/>
        </w:rPr>
        <w:t>participate in the industry</w:t>
      </w:r>
      <w:r w:rsidRPr="007C72F9">
        <w:rPr>
          <w:rFonts w:ascii="Calibri" w:hAnsi="Calibri"/>
          <w:sz w:val="22"/>
        </w:rPr>
        <w:t xml:space="preserve"> as a hobby</w:t>
      </w:r>
      <w:r w:rsidR="00B53EEF">
        <w:rPr>
          <w:rFonts w:ascii="Calibri" w:hAnsi="Calibri"/>
          <w:sz w:val="22"/>
        </w:rPr>
        <w:t>,</w:t>
      </w:r>
      <w:r w:rsidRPr="007C72F9">
        <w:rPr>
          <w:rFonts w:ascii="Calibri" w:hAnsi="Calibri"/>
          <w:sz w:val="22"/>
        </w:rPr>
        <w:t xml:space="preserve"> not for the winnings</w:t>
      </w:r>
      <w:r w:rsidR="00626D16">
        <w:rPr>
          <w:rFonts w:ascii="Calibri" w:hAnsi="Calibri"/>
          <w:sz w:val="22"/>
        </w:rPr>
        <w:t xml:space="preserve"> and earnings.</w:t>
      </w:r>
    </w:p>
    <w:p w:rsidR="00100FAA" w:rsidRDefault="00100FAA" w:rsidP="004819A4">
      <w:pPr>
        <w:jc w:val="both"/>
      </w:pPr>
    </w:p>
    <w:p w:rsidR="007F34A9" w:rsidRPr="0042749A" w:rsidRDefault="007F34A9" w:rsidP="00AB74F5">
      <w:pPr>
        <w:pStyle w:val="H11italic"/>
      </w:pPr>
      <w:bookmarkStart w:id="23" w:name="_Toc477190142"/>
      <w:r w:rsidRPr="0042749A">
        <w:t>Impact on competition</w:t>
      </w:r>
      <w:bookmarkEnd w:id="23"/>
    </w:p>
    <w:p w:rsidR="00E33429" w:rsidRDefault="007F34A9" w:rsidP="007F34A9">
      <w:pPr>
        <w:pStyle w:val="BodyText20"/>
        <w:rPr>
          <w:rFonts w:ascii="Calibri" w:hAnsi="Calibri"/>
          <w:sz w:val="22"/>
          <w:szCs w:val="22"/>
          <w:lang w:val="en-US"/>
        </w:rPr>
      </w:pPr>
      <w:r>
        <w:rPr>
          <w:rFonts w:ascii="Calibri" w:hAnsi="Calibri"/>
          <w:sz w:val="22"/>
          <w:szCs w:val="22"/>
          <w:lang w:val="en-US"/>
        </w:rPr>
        <w:t xml:space="preserve">The markets affected by the proposed Code are predominantly those for greyhound breeding, training and ownership. Keeping in line with the discussion of impacts on small </w:t>
      </w:r>
      <w:r w:rsidR="00B53EEF">
        <w:rPr>
          <w:rFonts w:ascii="Calibri" w:hAnsi="Calibri"/>
          <w:sz w:val="22"/>
          <w:szCs w:val="22"/>
          <w:lang w:val="en-US"/>
        </w:rPr>
        <w:t>establishments</w:t>
      </w:r>
      <w:r>
        <w:rPr>
          <w:rFonts w:ascii="Calibri" w:hAnsi="Calibri"/>
          <w:sz w:val="22"/>
          <w:szCs w:val="22"/>
          <w:lang w:val="en-US"/>
        </w:rPr>
        <w:t>, the proposed Code is highly unlikely to have an impact on the number or size of participants in relevant markets.</w:t>
      </w:r>
      <w:r w:rsidR="007B521C">
        <w:rPr>
          <w:rFonts w:ascii="Calibri" w:hAnsi="Calibri"/>
          <w:sz w:val="22"/>
          <w:szCs w:val="22"/>
          <w:lang w:val="en-US"/>
        </w:rPr>
        <w:t xml:space="preserve"> </w:t>
      </w:r>
      <w:r>
        <w:rPr>
          <w:rFonts w:ascii="Calibri" w:hAnsi="Calibri"/>
          <w:sz w:val="22"/>
          <w:szCs w:val="22"/>
          <w:lang w:val="en-US"/>
        </w:rPr>
        <w:t>According to DEDJTR, the proposed Code is not expected to affect the costs of a</w:t>
      </w:r>
      <w:r w:rsidR="00FB3DA0">
        <w:rPr>
          <w:rFonts w:ascii="Calibri" w:hAnsi="Calibri"/>
          <w:sz w:val="22"/>
          <w:szCs w:val="22"/>
          <w:lang w:val="en-US"/>
        </w:rPr>
        <w:t>n</w:t>
      </w:r>
      <w:r>
        <w:rPr>
          <w:rFonts w:ascii="Calibri" w:hAnsi="Calibri"/>
          <w:sz w:val="22"/>
          <w:szCs w:val="22"/>
          <w:lang w:val="en-US"/>
        </w:rPr>
        <w:t xml:space="preserve"> </w:t>
      </w:r>
      <w:r w:rsidR="00FB3DA0">
        <w:rPr>
          <w:rFonts w:ascii="Calibri" w:hAnsi="Calibri"/>
          <w:sz w:val="22"/>
          <w:szCs w:val="22"/>
          <w:lang w:val="en-US"/>
        </w:rPr>
        <w:t>establishment</w:t>
      </w:r>
      <w:r>
        <w:rPr>
          <w:rFonts w:ascii="Calibri" w:hAnsi="Calibri"/>
          <w:sz w:val="22"/>
          <w:szCs w:val="22"/>
          <w:lang w:val="en-US"/>
        </w:rPr>
        <w:t xml:space="preserve"> (even small </w:t>
      </w:r>
      <w:r w:rsidR="00FB3DA0">
        <w:rPr>
          <w:rFonts w:ascii="Calibri" w:hAnsi="Calibri"/>
          <w:sz w:val="22"/>
          <w:szCs w:val="22"/>
          <w:lang w:val="en-US"/>
        </w:rPr>
        <w:t>establishments</w:t>
      </w:r>
      <w:r>
        <w:rPr>
          <w:rFonts w:ascii="Calibri" w:hAnsi="Calibri"/>
          <w:sz w:val="22"/>
          <w:szCs w:val="22"/>
          <w:lang w:val="en-US"/>
        </w:rPr>
        <w:t>) sufficiently or in an ongoing way as to create any significant impact on competition</w:t>
      </w:r>
      <w:r w:rsidR="00FB3DA0">
        <w:rPr>
          <w:rFonts w:ascii="Calibri" w:hAnsi="Calibri"/>
          <w:sz w:val="22"/>
          <w:szCs w:val="22"/>
          <w:lang w:val="en-US"/>
        </w:rPr>
        <w:t>,</w:t>
      </w:r>
      <w:r>
        <w:rPr>
          <w:rFonts w:ascii="Calibri" w:hAnsi="Calibri"/>
          <w:sz w:val="22"/>
          <w:szCs w:val="22"/>
          <w:lang w:val="en-US"/>
        </w:rPr>
        <w:t xml:space="preserve"> including any barriers to entry.</w:t>
      </w:r>
      <w:r w:rsidR="007B521C">
        <w:rPr>
          <w:rFonts w:ascii="Calibri" w:hAnsi="Calibri"/>
          <w:sz w:val="22"/>
          <w:szCs w:val="22"/>
          <w:lang w:val="en-US"/>
        </w:rPr>
        <w:t xml:space="preserve"> </w:t>
      </w:r>
      <w:r w:rsidR="00626D16">
        <w:rPr>
          <w:rFonts w:ascii="Calibri" w:hAnsi="Calibri"/>
          <w:sz w:val="22"/>
          <w:szCs w:val="22"/>
          <w:lang w:val="en-US"/>
        </w:rPr>
        <w:t>A</w:t>
      </w:r>
      <w:r>
        <w:rPr>
          <w:rFonts w:ascii="Calibri" w:hAnsi="Calibri"/>
          <w:sz w:val="22"/>
          <w:szCs w:val="22"/>
          <w:lang w:val="en-US"/>
        </w:rPr>
        <w:t>ccording to DEDJTR, breeders and trainers are expected to ‘fully’ pass on any cost increased rear</w:t>
      </w:r>
      <w:r w:rsidR="00B24A9C">
        <w:rPr>
          <w:rFonts w:ascii="Calibri" w:hAnsi="Calibri"/>
          <w:sz w:val="22"/>
          <w:szCs w:val="22"/>
          <w:lang w:val="en-US"/>
        </w:rPr>
        <w:t>ing and training (of around $1,1</w:t>
      </w:r>
      <w:r>
        <w:rPr>
          <w:rFonts w:ascii="Calibri" w:hAnsi="Calibri"/>
          <w:sz w:val="22"/>
          <w:szCs w:val="22"/>
          <w:lang w:val="en-US"/>
        </w:rPr>
        <w:t>00 per dog) to owners.</w:t>
      </w:r>
      <w:r w:rsidR="007B521C">
        <w:rPr>
          <w:rFonts w:ascii="Calibri" w:hAnsi="Calibri"/>
          <w:sz w:val="22"/>
          <w:szCs w:val="22"/>
          <w:lang w:val="en-US"/>
        </w:rPr>
        <w:t xml:space="preserve"> </w:t>
      </w:r>
      <w:r w:rsidRPr="00D346FD">
        <w:rPr>
          <w:rFonts w:ascii="Calibri" w:hAnsi="Calibri"/>
          <w:sz w:val="22"/>
          <w:szCs w:val="22"/>
          <w:lang w:val="en-US"/>
        </w:rPr>
        <w:t xml:space="preserve">With respect to owners </w:t>
      </w:r>
      <w:r>
        <w:rPr>
          <w:rFonts w:ascii="Calibri" w:hAnsi="Calibri"/>
          <w:sz w:val="22"/>
          <w:szCs w:val="22"/>
          <w:lang w:val="en-US"/>
        </w:rPr>
        <w:t xml:space="preserve">DEDJTR notes that </w:t>
      </w:r>
      <w:r w:rsidRPr="00D346FD">
        <w:rPr>
          <w:rFonts w:ascii="Calibri" w:hAnsi="Calibri"/>
          <w:sz w:val="22"/>
          <w:szCs w:val="22"/>
          <w:lang w:val="en-US"/>
        </w:rPr>
        <w:t>it is unli</w:t>
      </w:r>
      <w:r w:rsidR="00B24A9C">
        <w:rPr>
          <w:rFonts w:ascii="Calibri" w:hAnsi="Calibri"/>
          <w:sz w:val="22"/>
          <w:szCs w:val="22"/>
          <w:lang w:val="en-US"/>
        </w:rPr>
        <w:t>kely an increase of cost of $1,1</w:t>
      </w:r>
      <w:r w:rsidRPr="00D346FD">
        <w:rPr>
          <w:rFonts w:ascii="Calibri" w:hAnsi="Calibri"/>
          <w:sz w:val="22"/>
          <w:szCs w:val="22"/>
          <w:lang w:val="en-US"/>
        </w:rPr>
        <w:t xml:space="preserve">00 </w:t>
      </w:r>
      <w:r w:rsidR="00B24A9C">
        <w:rPr>
          <w:rFonts w:ascii="Calibri" w:hAnsi="Calibri"/>
          <w:sz w:val="22"/>
          <w:szCs w:val="22"/>
          <w:lang w:val="en-US"/>
        </w:rPr>
        <w:t>in rearing and training and $512</w:t>
      </w:r>
      <w:r w:rsidRPr="00D346FD">
        <w:rPr>
          <w:rFonts w:ascii="Calibri" w:hAnsi="Calibri"/>
          <w:sz w:val="22"/>
          <w:szCs w:val="22"/>
          <w:lang w:val="en-US"/>
        </w:rPr>
        <w:t xml:space="preserve"> for rehabilitation </w:t>
      </w:r>
      <w:r w:rsidR="009873BA">
        <w:rPr>
          <w:rFonts w:ascii="Calibri" w:hAnsi="Calibri"/>
          <w:sz w:val="22"/>
          <w:szCs w:val="22"/>
          <w:lang w:val="en-US"/>
        </w:rPr>
        <w:t xml:space="preserve">per dog over its lifetime </w:t>
      </w:r>
      <w:r w:rsidRPr="00D346FD">
        <w:rPr>
          <w:rFonts w:ascii="Calibri" w:hAnsi="Calibri"/>
          <w:sz w:val="22"/>
          <w:szCs w:val="22"/>
          <w:lang w:val="en-US"/>
        </w:rPr>
        <w:t>will affect decisions of small owners (consumers) to participate in an adverse way –</w:t>
      </w:r>
      <w:r>
        <w:rPr>
          <w:rFonts w:ascii="Calibri" w:hAnsi="Calibri"/>
          <w:sz w:val="22"/>
          <w:szCs w:val="22"/>
          <w:lang w:val="en-US"/>
        </w:rPr>
        <w:t xml:space="preserve"> given the hobby/</w:t>
      </w:r>
      <w:r w:rsidRPr="00D346FD">
        <w:rPr>
          <w:rFonts w:ascii="Calibri" w:hAnsi="Calibri"/>
          <w:sz w:val="22"/>
          <w:szCs w:val="22"/>
          <w:lang w:val="en-US"/>
        </w:rPr>
        <w:t>social status of owning a greyhound.</w:t>
      </w:r>
      <w:r w:rsidR="007B521C">
        <w:rPr>
          <w:rFonts w:ascii="Calibri" w:hAnsi="Calibri"/>
          <w:sz w:val="22"/>
          <w:szCs w:val="22"/>
          <w:lang w:val="en-US"/>
        </w:rPr>
        <w:t xml:space="preserve"> </w:t>
      </w:r>
      <w:r>
        <w:rPr>
          <w:rFonts w:ascii="Calibri" w:hAnsi="Calibri"/>
          <w:sz w:val="22"/>
          <w:szCs w:val="22"/>
          <w:lang w:val="en-US"/>
        </w:rPr>
        <w:t>Given that 97.5% of unique owners are considered to be small then this cost increase is expected to affect all owners equally and therefore the proposed Code is not considered to be a restriction on competition in relation to greyhound ownership.</w:t>
      </w:r>
    </w:p>
    <w:p w:rsidR="00E33429" w:rsidRDefault="00E33429" w:rsidP="007F34A9">
      <w:pPr>
        <w:pStyle w:val="BodyText20"/>
        <w:rPr>
          <w:rFonts w:ascii="Calibri" w:hAnsi="Calibri"/>
          <w:sz w:val="22"/>
          <w:szCs w:val="22"/>
          <w:lang w:val="en-US"/>
        </w:rPr>
      </w:pPr>
    </w:p>
    <w:tbl>
      <w:tblPr>
        <w:tblW w:w="0" w:type="auto"/>
        <w:tblLook w:val="04A0" w:firstRow="1" w:lastRow="0" w:firstColumn="1" w:lastColumn="0" w:noHBand="0" w:noVBand="1"/>
      </w:tblPr>
      <w:tblGrid>
        <w:gridCol w:w="8437"/>
      </w:tblGrid>
      <w:tr w:rsidR="005778AC" w:rsidTr="005778AC">
        <w:tc>
          <w:tcPr>
            <w:tcW w:w="8437" w:type="dxa"/>
            <w:shd w:val="clear" w:color="auto" w:fill="D9D9D9" w:themeFill="background1" w:themeFillShade="D9"/>
          </w:tcPr>
          <w:p w:rsidR="005778AC" w:rsidRDefault="005778AC" w:rsidP="005778AC">
            <w:pPr>
              <w:rPr>
                <w:b/>
              </w:rPr>
            </w:pPr>
            <w:r>
              <w:rPr>
                <w:b/>
              </w:rPr>
              <w:t>Comment by GRV</w:t>
            </w:r>
            <w:r w:rsidRPr="00457D62">
              <w:rPr>
                <w:b/>
              </w:rPr>
              <w:t>;</w:t>
            </w:r>
          </w:p>
          <w:p w:rsidR="005778AC" w:rsidRDefault="005778AC" w:rsidP="005778AC">
            <w:pPr>
              <w:pStyle w:val="BodyText20"/>
              <w:rPr>
                <w:rFonts w:ascii="Calibri" w:hAnsi="Calibri"/>
                <w:i/>
                <w:sz w:val="22"/>
                <w:szCs w:val="22"/>
                <w:lang w:val="en-US"/>
              </w:rPr>
            </w:pPr>
            <w:r>
              <w:rPr>
                <w:rFonts w:ascii="Calibri" w:hAnsi="Calibri"/>
                <w:i/>
                <w:sz w:val="22"/>
                <w:szCs w:val="22"/>
                <w:lang w:val="en-US"/>
              </w:rPr>
              <w:t>GRV Industry Reform Initiatives</w:t>
            </w:r>
          </w:p>
          <w:p w:rsidR="005778AC" w:rsidRPr="005778AC" w:rsidRDefault="005778AC" w:rsidP="005778AC">
            <w:r>
              <w:rPr>
                <w:lang w:val="en-US"/>
              </w:rPr>
              <w:t>It should also be noted that the economic impact may also be further reduced through the many reform initiatives currently being delivered by GRV</w:t>
            </w:r>
            <w:r w:rsidR="00FB0619">
              <w:rPr>
                <w:lang w:val="en-US"/>
              </w:rPr>
              <w:t>. T</w:t>
            </w:r>
            <w:r>
              <w:rPr>
                <w:lang w:val="en-US"/>
              </w:rPr>
              <w:t>hese initiatives are already driving improved animal welfare outcomes and improved participant behaviour.</w:t>
            </w:r>
          </w:p>
        </w:tc>
      </w:tr>
    </w:tbl>
    <w:p w:rsidR="00E33429" w:rsidRDefault="00E33429" w:rsidP="00AB74F5">
      <w:pPr>
        <w:pStyle w:val="TOCHeading"/>
      </w:pPr>
      <w:bookmarkStart w:id="24" w:name="_Toc456126043"/>
      <w:bookmarkStart w:id="25" w:name="_Toc469529132"/>
    </w:p>
    <w:p w:rsidR="00E33429" w:rsidRDefault="00E33429">
      <w:r>
        <w:br w:type="page"/>
      </w:r>
    </w:p>
    <w:sdt>
      <w:sdtPr>
        <w:rPr>
          <w:rFonts w:ascii="Calibri" w:eastAsiaTheme="minorEastAsia" w:hAnsi="Calibri" w:cs="Lucida Grande"/>
          <w:bCs/>
          <w:color w:val="000000"/>
          <w:sz w:val="22"/>
          <w:szCs w:val="22"/>
          <w:lang w:val="en-AU"/>
        </w:rPr>
        <w:id w:val="1956136167"/>
        <w:docPartObj>
          <w:docPartGallery w:val="Table of Contents"/>
          <w:docPartUnique/>
        </w:docPartObj>
      </w:sdtPr>
      <w:sdtEndPr>
        <w:rPr>
          <w:rFonts w:asciiTheme="majorHAnsi" w:hAnsiTheme="majorHAnsi"/>
          <w:b w:val="0"/>
          <w:noProof/>
          <w:color w:val="53565A"/>
          <w:sz w:val="24"/>
        </w:rPr>
      </w:sdtEndPr>
      <w:sdtContent>
        <w:p w:rsidR="006D4A2F" w:rsidRPr="00AB74F5" w:rsidRDefault="006D4A2F" w:rsidP="00AB74F5">
          <w:pPr>
            <w:pStyle w:val="TOCHeading"/>
          </w:pPr>
          <w:r w:rsidRPr="00AB74F5">
            <w:t>Table of Contents</w:t>
          </w:r>
        </w:p>
        <w:p w:rsidR="00BE55AE" w:rsidRDefault="00BE55AE" w:rsidP="00BE55AE">
          <w:pPr>
            <w:pStyle w:val="TOC1"/>
            <w:rPr>
              <w:rFonts w:asciiTheme="minorHAnsi" w:hAnsiTheme="minorHAnsi" w:cstheme="minorBidi"/>
              <w:noProof/>
              <w:color w:val="auto"/>
              <w:lang w:eastAsia="en-AU"/>
            </w:rPr>
          </w:pPr>
          <w:r>
            <w:fldChar w:fldCharType="begin"/>
          </w:r>
          <w:r>
            <w:instrText xml:space="preserve"> TOC \o "1-3" \h \z \t "H 13pt,2,H 11 italic,3" </w:instrText>
          </w:r>
          <w:r>
            <w:fldChar w:fldCharType="separate"/>
          </w:r>
          <w:hyperlink w:anchor="_Toc477190123" w:history="1">
            <w:r w:rsidRPr="00016C79">
              <w:rPr>
                <w:rStyle w:val="Hyperlink"/>
                <w:noProof/>
              </w:rPr>
              <w:t>Assessment Letter</w:t>
            </w:r>
            <w:r>
              <w:rPr>
                <w:noProof/>
                <w:webHidden/>
              </w:rPr>
              <w:tab/>
            </w:r>
            <w:r>
              <w:rPr>
                <w:noProof/>
                <w:webHidden/>
              </w:rPr>
              <w:fldChar w:fldCharType="begin"/>
            </w:r>
            <w:r>
              <w:rPr>
                <w:noProof/>
                <w:webHidden/>
              </w:rPr>
              <w:instrText xml:space="preserve"> PAGEREF _Toc477190123 \h </w:instrText>
            </w:r>
            <w:r>
              <w:rPr>
                <w:noProof/>
                <w:webHidden/>
              </w:rPr>
            </w:r>
            <w:r>
              <w:rPr>
                <w:noProof/>
                <w:webHidden/>
              </w:rPr>
              <w:fldChar w:fldCharType="separate"/>
            </w:r>
            <w:r w:rsidR="00BB2E54">
              <w:rPr>
                <w:noProof/>
                <w:webHidden/>
              </w:rPr>
              <w:t>3</w:t>
            </w:r>
            <w:r>
              <w:rPr>
                <w:noProof/>
                <w:webHidden/>
              </w:rPr>
              <w:fldChar w:fldCharType="end"/>
            </w:r>
          </w:hyperlink>
        </w:p>
        <w:p w:rsidR="00BE55AE" w:rsidRDefault="000E36A1" w:rsidP="00BE55AE">
          <w:pPr>
            <w:pStyle w:val="TOC1"/>
            <w:rPr>
              <w:rFonts w:asciiTheme="minorHAnsi" w:hAnsiTheme="minorHAnsi" w:cstheme="minorBidi"/>
              <w:noProof/>
              <w:color w:val="auto"/>
              <w:lang w:eastAsia="en-AU"/>
            </w:rPr>
          </w:pPr>
          <w:hyperlink w:anchor="_Toc477190124" w:history="1">
            <w:r w:rsidR="00BE55AE" w:rsidRPr="00016C79">
              <w:rPr>
                <w:rStyle w:val="Hyperlink"/>
                <w:noProof/>
              </w:rPr>
              <w:t>Executive Summary</w:t>
            </w:r>
            <w:r w:rsidR="00BE55AE">
              <w:rPr>
                <w:noProof/>
                <w:webHidden/>
              </w:rPr>
              <w:tab/>
            </w:r>
            <w:r w:rsidR="00BE55AE">
              <w:rPr>
                <w:noProof/>
                <w:webHidden/>
              </w:rPr>
              <w:fldChar w:fldCharType="begin"/>
            </w:r>
            <w:r w:rsidR="00BE55AE">
              <w:rPr>
                <w:noProof/>
                <w:webHidden/>
              </w:rPr>
              <w:instrText xml:space="preserve"> PAGEREF _Toc477190124 \h </w:instrText>
            </w:r>
            <w:r w:rsidR="00BE55AE">
              <w:rPr>
                <w:noProof/>
                <w:webHidden/>
              </w:rPr>
            </w:r>
            <w:r w:rsidR="00BE55AE">
              <w:rPr>
                <w:noProof/>
                <w:webHidden/>
              </w:rPr>
              <w:fldChar w:fldCharType="separate"/>
            </w:r>
            <w:r w:rsidR="00BB2E54">
              <w:rPr>
                <w:noProof/>
                <w:webHidden/>
              </w:rPr>
              <w:t>6</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143" w:history="1">
            <w:r w:rsidR="00BE55AE" w:rsidRPr="00016C79">
              <w:rPr>
                <w:rStyle w:val="Hyperlink"/>
                <w:noProof/>
              </w:rPr>
              <w:t>Section 1 Background</w:t>
            </w:r>
            <w:r w:rsidR="00BE55AE">
              <w:rPr>
                <w:noProof/>
                <w:webHidden/>
              </w:rPr>
              <w:tab/>
            </w:r>
            <w:r w:rsidR="00BE55AE">
              <w:rPr>
                <w:noProof/>
                <w:webHidden/>
              </w:rPr>
              <w:fldChar w:fldCharType="begin"/>
            </w:r>
            <w:r w:rsidR="00BE55AE">
              <w:rPr>
                <w:noProof/>
                <w:webHidden/>
              </w:rPr>
              <w:instrText xml:space="preserve"> PAGEREF _Toc477190143 \h </w:instrText>
            </w:r>
            <w:r w:rsidR="00BE55AE">
              <w:rPr>
                <w:noProof/>
                <w:webHidden/>
              </w:rPr>
            </w:r>
            <w:r w:rsidR="00BE55AE">
              <w:rPr>
                <w:noProof/>
                <w:webHidden/>
              </w:rPr>
              <w:fldChar w:fldCharType="separate"/>
            </w:r>
            <w:r w:rsidR="00BB2E54">
              <w:rPr>
                <w:noProof/>
                <w:webHidden/>
              </w:rPr>
              <w:t>22</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44" w:history="1">
            <w:r w:rsidR="00BE55AE" w:rsidRPr="00016C79">
              <w:rPr>
                <w:rStyle w:val="Hyperlink"/>
                <w:noProof/>
              </w:rPr>
              <w:t>1.1 The context</w:t>
            </w:r>
            <w:r w:rsidR="00BE55AE">
              <w:rPr>
                <w:noProof/>
                <w:webHidden/>
              </w:rPr>
              <w:tab/>
            </w:r>
            <w:r w:rsidR="00BE55AE">
              <w:rPr>
                <w:noProof/>
                <w:webHidden/>
              </w:rPr>
              <w:fldChar w:fldCharType="begin"/>
            </w:r>
            <w:r w:rsidR="00BE55AE">
              <w:rPr>
                <w:noProof/>
                <w:webHidden/>
              </w:rPr>
              <w:instrText xml:space="preserve"> PAGEREF _Toc477190144 \h </w:instrText>
            </w:r>
            <w:r w:rsidR="00BE55AE">
              <w:rPr>
                <w:noProof/>
                <w:webHidden/>
              </w:rPr>
            </w:r>
            <w:r w:rsidR="00BE55AE">
              <w:rPr>
                <w:noProof/>
                <w:webHidden/>
              </w:rPr>
              <w:fldChar w:fldCharType="separate"/>
            </w:r>
            <w:r w:rsidR="00BB2E54">
              <w:rPr>
                <w:noProof/>
                <w:webHidden/>
              </w:rPr>
              <w:t>22</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45" w:history="1">
            <w:r w:rsidR="00BE55AE" w:rsidRPr="00016C79">
              <w:rPr>
                <w:rStyle w:val="Hyperlink"/>
                <w:rFonts w:eastAsiaTheme="majorEastAsia"/>
                <w:noProof/>
              </w:rPr>
              <w:t>1.2 The Victorian greyhound racing industry</w:t>
            </w:r>
            <w:r w:rsidR="00BE55AE">
              <w:rPr>
                <w:noProof/>
                <w:webHidden/>
              </w:rPr>
              <w:tab/>
            </w:r>
            <w:r w:rsidR="00BE55AE">
              <w:rPr>
                <w:noProof/>
                <w:webHidden/>
              </w:rPr>
              <w:fldChar w:fldCharType="begin"/>
            </w:r>
            <w:r w:rsidR="00BE55AE">
              <w:rPr>
                <w:noProof/>
                <w:webHidden/>
              </w:rPr>
              <w:instrText xml:space="preserve"> PAGEREF _Toc477190145 \h </w:instrText>
            </w:r>
            <w:r w:rsidR="00BE55AE">
              <w:rPr>
                <w:noProof/>
                <w:webHidden/>
              </w:rPr>
            </w:r>
            <w:r w:rsidR="00BE55AE">
              <w:rPr>
                <w:noProof/>
                <w:webHidden/>
              </w:rPr>
              <w:fldChar w:fldCharType="separate"/>
            </w:r>
            <w:r w:rsidR="00BB2E54">
              <w:rPr>
                <w:noProof/>
                <w:webHidden/>
              </w:rPr>
              <w:t>24</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46" w:history="1">
            <w:r w:rsidR="00BE55AE" w:rsidRPr="00016C79">
              <w:rPr>
                <w:rStyle w:val="Hyperlink"/>
                <w:noProof/>
              </w:rPr>
              <w:t>1.2.1 Mating stage</w:t>
            </w:r>
            <w:r w:rsidR="00BE55AE">
              <w:rPr>
                <w:noProof/>
                <w:webHidden/>
              </w:rPr>
              <w:tab/>
            </w:r>
            <w:r w:rsidR="00BE55AE">
              <w:rPr>
                <w:noProof/>
                <w:webHidden/>
              </w:rPr>
              <w:fldChar w:fldCharType="begin"/>
            </w:r>
            <w:r w:rsidR="00BE55AE">
              <w:rPr>
                <w:noProof/>
                <w:webHidden/>
              </w:rPr>
              <w:instrText xml:space="preserve"> PAGEREF _Toc477190146 \h </w:instrText>
            </w:r>
            <w:r w:rsidR="00BE55AE">
              <w:rPr>
                <w:noProof/>
                <w:webHidden/>
              </w:rPr>
            </w:r>
            <w:r w:rsidR="00BE55AE">
              <w:rPr>
                <w:noProof/>
                <w:webHidden/>
              </w:rPr>
              <w:fldChar w:fldCharType="separate"/>
            </w:r>
            <w:r w:rsidR="00BB2E54">
              <w:rPr>
                <w:noProof/>
                <w:webHidden/>
              </w:rPr>
              <w:t>29</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47" w:history="1">
            <w:r w:rsidR="00BE55AE" w:rsidRPr="00016C79">
              <w:rPr>
                <w:rStyle w:val="Hyperlink"/>
                <w:noProof/>
              </w:rPr>
              <w:t>1.2.2 Whelping Stage</w:t>
            </w:r>
            <w:r w:rsidR="00BE55AE">
              <w:rPr>
                <w:noProof/>
                <w:webHidden/>
              </w:rPr>
              <w:tab/>
            </w:r>
            <w:r w:rsidR="00BE55AE">
              <w:rPr>
                <w:noProof/>
                <w:webHidden/>
              </w:rPr>
              <w:fldChar w:fldCharType="begin"/>
            </w:r>
            <w:r w:rsidR="00BE55AE">
              <w:rPr>
                <w:noProof/>
                <w:webHidden/>
              </w:rPr>
              <w:instrText xml:space="preserve"> PAGEREF _Toc477190147 \h </w:instrText>
            </w:r>
            <w:r w:rsidR="00BE55AE">
              <w:rPr>
                <w:noProof/>
                <w:webHidden/>
              </w:rPr>
            </w:r>
            <w:r w:rsidR="00BE55AE">
              <w:rPr>
                <w:noProof/>
                <w:webHidden/>
              </w:rPr>
              <w:fldChar w:fldCharType="separate"/>
            </w:r>
            <w:r w:rsidR="00BB2E54">
              <w:rPr>
                <w:noProof/>
                <w:webHidden/>
              </w:rPr>
              <w:t>29</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48" w:history="1">
            <w:r w:rsidR="00BE55AE" w:rsidRPr="00016C79">
              <w:rPr>
                <w:rStyle w:val="Hyperlink"/>
                <w:noProof/>
              </w:rPr>
              <w:t>1.2.3 Rearing Stage</w:t>
            </w:r>
            <w:r w:rsidR="00BE55AE">
              <w:rPr>
                <w:noProof/>
                <w:webHidden/>
              </w:rPr>
              <w:tab/>
            </w:r>
            <w:r w:rsidR="00BE55AE">
              <w:rPr>
                <w:noProof/>
                <w:webHidden/>
              </w:rPr>
              <w:fldChar w:fldCharType="begin"/>
            </w:r>
            <w:r w:rsidR="00BE55AE">
              <w:rPr>
                <w:noProof/>
                <w:webHidden/>
              </w:rPr>
              <w:instrText xml:space="preserve"> PAGEREF _Toc477190148 \h </w:instrText>
            </w:r>
            <w:r w:rsidR="00BE55AE">
              <w:rPr>
                <w:noProof/>
                <w:webHidden/>
              </w:rPr>
            </w:r>
            <w:r w:rsidR="00BE55AE">
              <w:rPr>
                <w:noProof/>
                <w:webHidden/>
              </w:rPr>
              <w:fldChar w:fldCharType="separate"/>
            </w:r>
            <w:r w:rsidR="00BB2E54">
              <w:rPr>
                <w:noProof/>
                <w:webHidden/>
              </w:rPr>
              <w:t>29</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49" w:history="1">
            <w:r w:rsidR="00BE55AE" w:rsidRPr="00016C79">
              <w:rPr>
                <w:rStyle w:val="Hyperlink"/>
                <w:noProof/>
              </w:rPr>
              <w:t>1.2.4 Breaking-in stage</w:t>
            </w:r>
            <w:r w:rsidR="00BE55AE">
              <w:rPr>
                <w:noProof/>
                <w:webHidden/>
              </w:rPr>
              <w:tab/>
            </w:r>
            <w:r w:rsidR="00BE55AE">
              <w:rPr>
                <w:noProof/>
                <w:webHidden/>
              </w:rPr>
              <w:fldChar w:fldCharType="begin"/>
            </w:r>
            <w:r w:rsidR="00BE55AE">
              <w:rPr>
                <w:noProof/>
                <w:webHidden/>
              </w:rPr>
              <w:instrText xml:space="preserve"> PAGEREF _Toc477190149 \h </w:instrText>
            </w:r>
            <w:r w:rsidR="00BE55AE">
              <w:rPr>
                <w:noProof/>
                <w:webHidden/>
              </w:rPr>
            </w:r>
            <w:r w:rsidR="00BE55AE">
              <w:rPr>
                <w:noProof/>
                <w:webHidden/>
              </w:rPr>
              <w:fldChar w:fldCharType="separate"/>
            </w:r>
            <w:r w:rsidR="00BB2E54">
              <w:rPr>
                <w:noProof/>
                <w:webHidden/>
              </w:rPr>
              <w:t>30</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50" w:history="1">
            <w:r w:rsidR="00BE55AE" w:rsidRPr="00016C79">
              <w:rPr>
                <w:rStyle w:val="Hyperlink"/>
                <w:noProof/>
              </w:rPr>
              <w:t>1.2.5 Training stage</w:t>
            </w:r>
            <w:r w:rsidR="00BE55AE">
              <w:rPr>
                <w:noProof/>
                <w:webHidden/>
              </w:rPr>
              <w:tab/>
            </w:r>
            <w:r w:rsidR="00BE55AE">
              <w:rPr>
                <w:noProof/>
                <w:webHidden/>
              </w:rPr>
              <w:fldChar w:fldCharType="begin"/>
            </w:r>
            <w:r w:rsidR="00BE55AE">
              <w:rPr>
                <w:noProof/>
                <w:webHidden/>
              </w:rPr>
              <w:instrText xml:space="preserve"> PAGEREF _Toc477190150 \h </w:instrText>
            </w:r>
            <w:r w:rsidR="00BE55AE">
              <w:rPr>
                <w:noProof/>
                <w:webHidden/>
              </w:rPr>
            </w:r>
            <w:r w:rsidR="00BE55AE">
              <w:rPr>
                <w:noProof/>
                <w:webHidden/>
              </w:rPr>
              <w:fldChar w:fldCharType="separate"/>
            </w:r>
            <w:r w:rsidR="00BB2E54">
              <w:rPr>
                <w:noProof/>
                <w:webHidden/>
              </w:rPr>
              <w:t>30</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51" w:history="1">
            <w:r w:rsidR="00BE55AE" w:rsidRPr="00016C79">
              <w:rPr>
                <w:rStyle w:val="Hyperlink"/>
                <w:noProof/>
              </w:rPr>
              <w:t>1.2.6 Racing stage</w:t>
            </w:r>
            <w:r w:rsidR="00BE55AE">
              <w:rPr>
                <w:noProof/>
                <w:webHidden/>
              </w:rPr>
              <w:tab/>
            </w:r>
            <w:r w:rsidR="00BE55AE">
              <w:rPr>
                <w:noProof/>
                <w:webHidden/>
              </w:rPr>
              <w:fldChar w:fldCharType="begin"/>
            </w:r>
            <w:r w:rsidR="00BE55AE">
              <w:rPr>
                <w:noProof/>
                <w:webHidden/>
              </w:rPr>
              <w:instrText xml:space="preserve"> PAGEREF _Toc477190151 \h </w:instrText>
            </w:r>
            <w:r w:rsidR="00BE55AE">
              <w:rPr>
                <w:noProof/>
                <w:webHidden/>
              </w:rPr>
            </w:r>
            <w:r w:rsidR="00BE55AE">
              <w:rPr>
                <w:noProof/>
                <w:webHidden/>
              </w:rPr>
              <w:fldChar w:fldCharType="separate"/>
            </w:r>
            <w:r w:rsidR="00BB2E54">
              <w:rPr>
                <w:noProof/>
                <w:webHidden/>
              </w:rPr>
              <w:t>30</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52" w:history="1">
            <w:r w:rsidR="00BE55AE" w:rsidRPr="00016C79">
              <w:rPr>
                <w:rStyle w:val="Hyperlink"/>
                <w:noProof/>
              </w:rPr>
              <w:t>1.2.7 Retirement stage</w:t>
            </w:r>
            <w:r w:rsidR="00BE55AE">
              <w:rPr>
                <w:noProof/>
                <w:webHidden/>
              </w:rPr>
              <w:tab/>
            </w:r>
            <w:r w:rsidR="00BE55AE">
              <w:rPr>
                <w:noProof/>
                <w:webHidden/>
              </w:rPr>
              <w:fldChar w:fldCharType="begin"/>
            </w:r>
            <w:r w:rsidR="00BE55AE">
              <w:rPr>
                <w:noProof/>
                <w:webHidden/>
              </w:rPr>
              <w:instrText xml:space="preserve"> PAGEREF _Toc477190152 \h </w:instrText>
            </w:r>
            <w:r w:rsidR="00BE55AE">
              <w:rPr>
                <w:noProof/>
                <w:webHidden/>
              </w:rPr>
            </w:r>
            <w:r w:rsidR="00BE55AE">
              <w:rPr>
                <w:noProof/>
                <w:webHidden/>
              </w:rPr>
              <w:fldChar w:fldCharType="separate"/>
            </w:r>
            <w:r w:rsidR="00BB2E54">
              <w:rPr>
                <w:noProof/>
                <w:webHidden/>
              </w:rPr>
              <w:t>31</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53" w:history="1">
            <w:r w:rsidR="00BE55AE" w:rsidRPr="00016C79">
              <w:rPr>
                <w:rStyle w:val="Hyperlink"/>
                <w:rFonts w:eastAsiaTheme="majorEastAsia"/>
                <w:noProof/>
              </w:rPr>
              <w:t>1.3 Legislative framework in Victoria</w:t>
            </w:r>
            <w:r w:rsidR="00BE55AE">
              <w:rPr>
                <w:noProof/>
                <w:webHidden/>
              </w:rPr>
              <w:tab/>
            </w:r>
            <w:r w:rsidR="00BE55AE">
              <w:rPr>
                <w:noProof/>
                <w:webHidden/>
              </w:rPr>
              <w:fldChar w:fldCharType="begin"/>
            </w:r>
            <w:r w:rsidR="00BE55AE">
              <w:rPr>
                <w:noProof/>
                <w:webHidden/>
              </w:rPr>
              <w:instrText xml:space="preserve"> PAGEREF _Toc477190153 \h </w:instrText>
            </w:r>
            <w:r w:rsidR="00BE55AE">
              <w:rPr>
                <w:noProof/>
                <w:webHidden/>
              </w:rPr>
            </w:r>
            <w:r w:rsidR="00BE55AE">
              <w:rPr>
                <w:noProof/>
                <w:webHidden/>
              </w:rPr>
              <w:fldChar w:fldCharType="separate"/>
            </w:r>
            <w:r w:rsidR="00BB2E54">
              <w:rPr>
                <w:noProof/>
                <w:webHidden/>
              </w:rPr>
              <w:t>33</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54" w:history="1">
            <w:r w:rsidR="00BE55AE" w:rsidRPr="00016C79">
              <w:rPr>
                <w:rStyle w:val="Hyperlink"/>
                <w:noProof/>
                <w:lang w:val="en-US"/>
              </w:rPr>
              <w:t>1.3.1 General legislative framework</w:t>
            </w:r>
            <w:r w:rsidR="00BE55AE">
              <w:rPr>
                <w:noProof/>
                <w:webHidden/>
              </w:rPr>
              <w:tab/>
            </w:r>
            <w:r w:rsidR="00BE55AE">
              <w:rPr>
                <w:noProof/>
                <w:webHidden/>
              </w:rPr>
              <w:fldChar w:fldCharType="begin"/>
            </w:r>
            <w:r w:rsidR="00BE55AE">
              <w:rPr>
                <w:noProof/>
                <w:webHidden/>
              </w:rPr>
              <w:instrText xml:space="preserve"> PAGEREF _Toc477190154 \h </w:instrText>
            </w:r>
            <w:r w:rsidR="00BE55AE">
              <w:rPr>
                <w:noProof/>
                <w:webHidden/>
              </w:rPr>
            </w:r>
            <w:r w:rsidR="00BE55AE">
              <w:rPr>
                <w:noProof/>
                <w:webHidden/>
              </w:rPr>
              <w:fldChar w:fldCharType="separate"/>
            </w:r>
            <w:r w:rsidR="00BB2E54">
              <w:rPr>
                <w:noProof/>
                <w:webHidden/>
              </w:rPr>
              <w:t>33</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55" w:history="1">
            <w:r w:rsidR="00BE55AE" w:rsidRPr="00016C79">
              <w:rPr>
                <w:rStyle w:val="Hyperlink"/>
                <w:noProof/>
                <w:lang w:val="en-US"/>
              </w:rPr>
              <w:t>1.3.2 The existing code</w:t>
            </w:r>
            <w:r w:rsidR="00BE55AE">
              <w:rPr>
                <w:noProof/>
                <w:webHidden/>
              </w:rPr>
              <w:tab/>
            </w:r>
            <w:r w:rsidR="00BE55AE">
              <w:rPr>
                <w:noProof/>
                <w:webHidden/>
              </w:rPr>
              <w:fldChar w:fldCharType="begin"/>
            </w:r>
            <w:r w:rsidR="00BE55AE">
              <w:rPr>
                <w:noProof/>
                <w:webHidden/>
              </w:rPr>
              <w:instrText xml:space="preserve"> PAGEREF _Toc477190155 \h </w:instrText>
            </w:r>
            <w:r w:rsidR="00BE55AE">
              <w:rPr>
                <w:noProof/>
                <w:webHidden/>
              </w:rPr>
            </w:r>
            <w:r w:rsidR="00BE55AE">
              <w:rPr>
                <w:noProof/>
                <w:webHidden/>
              </w:rPr>
              <w:fldChar w:fldCharType="separate"/>
            </w:r>
            <w:r w:rsidR="00BB2E54">
              <w:rPr>
                <w:noProof/>
                <w:webHidden/>
              </w:rPr>
              <w:t>36</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56" w:history="1">
            <w:r w:rsidR="00BE55AE" w:rsidRPr="00016C79">
              <w:rPr>
                <w:rStyle w:val="Hyperlink"/>
                <w:noProof/>
              </w:rPr>
              <w:t>1.4 Current issues in greyhound racing</w:t>
            </w:r>
            <w:r w:rsidR="00BE55AE">
              <w:rPr>
                <w:noProof/>
                <w:webHidden/>
              </w:rPr>
              <w:tab/>
            </w:r>
            <w:r w:rsidR="00BE55AE">
              <w:rPr>
                <w:noProof/>
                <w:webHidden/>
              </w:rPr>
              <w:fldChar w:fldCharType="begin"/>
            </w:r>
            <w:r w:rsidR="00BE55AE">
              <w:rPr>
                <w:noProof/>
                <w:webHidden/>
              </w:rPr>
              <w:instrText xml:space="preserve"> PAGEREF _Toc477190156 \h </w:instrText>
            </w:r>
            <w:r w:rsidR="00BE55AE">
              <w:rPr>
                <w:noProof/>
                <w:webHidden/>
              </w:rPr>
            </w:r>
            <w:r w:rsidR="00BE55AE">
              <w:rPr>
                <w:noProof/>
                <w:webHidden/>
              </w:rPr>
              <w:fldChar w:fldCharType="separate"/>
            </w:r>
            <w:r w:rsidR="00BB2E54">
              <w:rPr>
                <w:noProof/>
                <w:webHidden/>
              </w:rPr>
              <w:t>37</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57" w:history="1">
            <w:r w:rsidR="00BE55AE" w:rsidRPr="00016C79">
              <w:rPr>
                <w:rStyle w:val="Hyperlink"/>
                <w:noProof/>
                <w:lang w:val="en-US"/>
              </w:rPr>
              <w:t>1.4.1 Social license (including wastage and live baiting)</w:t>
            </w:r>
            <w:r w:rsidR="00BE55AE">
              <w:rPr>
                <w:noProof/>
                <w:webHidden/>
              </w:rPr>
              <w:tab/>
            </w:r>
            <w:r w:rsidR="00BE55AE">
              <w:rPr>
                <w:noProof/>
                <w:webHidden/>
              </w:rPr>
              <w:fldChar w:fldCharType="begin"/>
            </w:r>
            <w:r w:rsidR="00BE55AE">
              <w:rPr>
                <w:noProof/>
                <w:webHidden/>
              </w:rPr>
              <w:instrText xml:space="preserve"> PAGEREF _Toc477190157 \h </w:instrText>
            </w:r>
            <w:r w:rsidR="00BE55AE">
              <w:rPr>
                <w:noProof/>
                <w:webHidden/>
              </w:rPr>
            </w:r>
            <w:r w:rsidR="00BE55AE">
              <w:rPr>
                <w:noProof/>
                <w:webHidden/>
              </w:rPr>
              <w:fldChar w:fldCharType="separate"/>
            </w:r>
            <w:r w:rsidR="00BB2E54">
              <w:rPr>
                <w:noProof/>
                <w:webHidden/>
              </w:rPr>
              <w:t>38</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60" w:history="1">
            <w:r w:rsidR="00BE55AE" w:rsidRPr="00016C79">
              <w:rPr>
                <w:rStyle w:val="Hyperlink"/>
                <w:noProof/>
                <w:lang w:val="en-US"/>
              </w:rPr>
              <w:t>1.4.2 Governance</w:t>
            </w:r>
            <w:r w:rsidR="00BE55AE">
              <w:rPr>
                <w:noProof/>
                <w:webHidden/>
              </w:rPr>
              <w:tab/>
            </w:r>
            <w:r w:rsidR="00BE55AE">
              <w:rPr>
                <w:noProof/>
                <w:webHidden/>
              </w:rPr>
              <w:fldChar w:fldCharType="begin"/>
            </w:r>
            <w:r w:rsidR="00BE55AE">
              <w:rPr>
                <w:noProof/>
                <w:webHidden/>
              </w:rPr>
              <w:instrText xml:space="preserve"> PAGEREF _Toc477190160 \h </w:instrText>
            </w:r>
            <w:r w:rsidR="00BE55AE">
              <w:rPr>
                <w:noProof/>
                <w:webHidden/>
              </w:rPr>
            </w:r>
            <w:r w:rsidR="00BE55AE">
              <w:rPr>
                <w:noProof/>
                <w:webHidden/>
              </w:rPr>
              <w:fldChar w:fldCharType="separate"/>
            </w:r>
            <w:r w:rsidR="00BB2E54">
              <w:rPr>
                <w:noProof/>
                <w:webHidden/>
              </w:rPr>
              <w:t>41</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61" w:history="1">
            <w:r w:rsidR="00BE55AE" w:rsidRPr="00016C79">
              <w:rPr>
                <w:rStyle w:val="Hyperlink"/>
                <w:noProof/>
                <w:lang w:val="en-US"/>
              </w:rPr>
              <w:t>1.4.3 Lack of tracking of dogs</w:t>
            </w:r>
            <w:r w:rsidR="00BE55AE">
              <w:rPr>
                <w:noProof/>
                <w:webHidden/>
              </w:rPr>
              <w:tab/>
            </w:r>
            <w:r w:rsidR="00BE55AE">
              <w:rPr>
                <w:noProof/>
                <w:webHidden/>
              </w:rPr>
              <w:fldChar w:fldCharType="begin"/>
            </w:r>
            <w:r w:rsidR="00BE55AE">
              <w:rPr>
                <w:noProof/>
                <w:webHidden/>
              </w:rPr>
              <w:instrText xml:space="preserve"> PAGEREF _Toc477190161 \h </w:instrText>
            </w:r>
            <w:r w:rsidR="00BE55AE">
              <w:rPr>
                <w:noProof/>
                <w:webHidden/>
              </w:rPr>
            </w:r>
            <w:r w:rsidR="00BE55AE">
              <w:rPr>
                <w:noProof/>
                <w:webHidden/>
              </w:rPr>
              <w:fldChar w:fldCharType="separate"/>
            </w:r>
            <w:r w:rsidR="00BB2E54">
              <w:rPr>
                <w:noProof/>
                <w:webHidden/>
              </w:rPr>
              <w:t>42</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62" w:history="1">
            <w:r w:rsidR="00BE55AE" w:rsidRPr="00016C79">
              <w:rPr>
                <w:rStyle w:val="Hyperlink"/>
                <w:noProof/>
                <w:lang w:val="en-US"/>
              </w:rPr>
              <w:t>1.4.4 Poor welfare of animals (not including live baiting)</w:t>
            </w:r>
            <w:r w:rsidR="00BE55AE">
              <w:rPr>
                <w:noProof/>
                <w:webHidden/>
              </w:rPr>
              <w:tab/>
            </w:r>
            <w:r w:rsidR="00BE55AE">
              <w:rPr>
                <w:noProof/>
                <w:webHidden/>
              </w:rPr>
              <w:fldChar w:fldCharType="begin"/>
            </w:r>
            <w:r w:rsidR="00BE55AE">
              <w:rPr>
                <w:noProof/>
                <w:webHidden/>
              </w:rPr>
              <w:instrText xml:space="preserve"> PAGEREF _Toc477190162 \h </w:instrText>
            </w:r>
            <w:r w:rsidR="00BE55AE">
              <w:rPr>
                <w:noProof/>
                <w:webHidden/>
              </w:rPr>
            </w:r>
            <w:r w:rsidR="00BE55AE">
              <w:rPr>
                <w:noProof/>
                <w:webHidden/>
              </w:rPr>
              <w:fldChar w:fldCharType="separate"/>
            </w:r>
            <w:r w:rsidR="00BB2E54">
              <w:rPr>
                <w:noProof/>
                <w:webHidden/>
              </w:rPr>
              <w:t>42</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63" w:history="1">
            <w:r w:rsidR="00BE55AE" w:rsidRPr="00016C79">
              <w:rPr>
                <w:rStyle w:val="Hyperlink"/>
                <w:noProof/>
                <w:lang w:val="en-US"/>
              </w:rPr>
              <w:t>1.4.5 Lack of lifecycle coverage</w:t>
            </w:r>
            <w:r w:rsidR="00BE55AE">
              <w:rPr>
                <w:noProof/>
                <w:webHidden/>
              </w:rPr>
              <w:tab/>
            </w:r>
            <w:r w:rsidR="00BE55AE">
              <w:rPr>
                <w:noProof/>
                <w:webHidden/>
              </w:rPr>
              <w:fldChar w:fldCharType="begin"/>
            </w:r>
            <w:r w:rsidR="00BE55AE">
              <w:rPr>
                <w:noProof/>
                <w:webHidden/>
              </w:rPr>
              <w:instrText xml:space="preserve"> PAGEREF _Toc477190163 \h </w:instrText>
            </w:r>
            <w:r w:rsidR="00BE55AE">
              <w:rPr>
                <w:noProof/>
                <w:webHidden/>
              </w:rPr>
            </w:r>
            <w:r w:rsidR="00BE55AE">
              <w:rPr>
                <w:noProof/>
                <w:webHidden/>
              </w:rPr>
              <w:fldChar w:fldCharType="separate"/>
            </w:r>
            <w:r w:rsidR="00BB2E54">
              <w:rPr>
                <w:noProof/>
                <w:webHidden/>
              </w:rPr>
              <w:t>43</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64" w:history="1">
            <w:r w:rsidR="00BE55AE" w:rsidRPr="00016C79">
              <w:rPr>
                <w:rStyle w:val="Hyperlink"/>
                <w:noProof/>
                <w:lang w:val="en-US"/>
              </w:rPr>
              <w:t xml:space="preserve">1.4.6 Participant </w:t>
            </w:r>
            <w:r w:rsidR="00BE55AE" w:rsidRPr="00016C79">
              <w:rPr>
                <w:rStyle w:val="Hyperlink"/>
                <w:noProof/>
              </w:rPr>
              <w:t>behaviour</w:t>
            </w:r>
            <w:r w:rsidR="00BE55AE" w:rsidRPr="00016C79">
              <w:rPr>
                <w:rStyle w:val="Hyperlink"/>
                <w:noProof/>
                <w:lang w:val="en-US"/>
              </w:rPr>
              <w:t>/compliance</w:t>
            </w:r>
            <w:r w:rsidR="00BE55AE">
              <w:rPr>
                <w:noProof/>
                <w:webHidden/>
              </w:rPr>
              <w:tab/>
            </w:r>
            <w:r w:rsidR="00BE55AE">
              <w:rPr>
                <w:noProof/>
                <w:webHidden/>
              </w:rPr>
              <w:fldChar w:fldCharType="begin"/>
            </w:r>
            <w:r w:rsidR="00BE55AE">
              <w:rPr>
                <w:noProof/>
                <w:webHidden/>
              </w:rPr>
              <w:instrText xml:space="preserve"> PAGEREF _Toc477190164 \h </w:instrText>
            </w:r>
            <w:r w:rsidR="00BE55AE">
              <w:rPr>
                <w:noProof/>
                <w:webHidden/>
              </w:rPr>
            </w:r>
            <w:r w:rsidR="00BE55AE">
              <w:rPr>
                <w:noProof/>
                <w:webHidden/>
              </w:rPr>
              <w:fldChar w:fldCharType="separate"/>
            </w:r>
            <w:r w:rsidR="00BB2E54">
              <w:rPr>
                <w:noProof/>
                <w:webHidden/>
              </w:rPr>
              <w:t>44</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65" w:history="1">
            <w:r w:rsidR="00BE55AE" w:rsidRPr="00016C79">
              <w:rPr>
                <w:rStyle w:val="Hyperlink"/>
                <w:noProof/>
                <w:lang w:val="en-US"/>
              </w:rPr>
              <w:t xml:space="preserve">1.4.7 Lack of information/education/training </w:t>
            </w:r>
            <w:r w:rsidR="00BE55AE" w:rsidRPr="00016C79">
              <w:rPr>
                <w:rStyle w:val="Hyperlink"/>
                <w:noProof/>
              </w:rPr>
              <w:t>programs</w:t>
            </w:r>
            <w:r w:rsidR="00BE55AE">
              <w:rPr>
                <w:noProof/>
                <w:webHidden/>
              </w:rPr>
              <w:tab/>
            </w:r>
            <w:r w:rsidR="00BE55AE">
              <w:rPr>
                <w:noProof/>
                <w:webHidden/>
              </w:rPr>
              <w:fldChar w:fldCharType="begin"/>
            </w:r>
            <w:r w:rsidR="00BE55AE">
              <w:rPr>
                <w:noProof/>
                <w:webHidden/>
              </w:rPr>
              <w:instrText xml:space="preserve"> PAGEREF _Toc477190165 \h </w:instrText>
            </w:r>
            <w:r w:rsidR="00BE55AE">
              <w:rPr>
                <w:noProof/>
                <w:webHidden/>
              </w:rPr>
            </w:r>
            <w:r w:rsidR="00BE55AE">
              <w:rPr>
                <w:noProof/>
                <w:webHidden/>
              </w:rPr>
              <w:fldChar w:fldCharType="separate"/>
            </w:r>
            <w:r w:rsidR="00BB2E54">
              <w:rPr>
                <w:noProof/>
                <w:webHidden/>
              </w:rPr>
              <w:t>45</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66" w:history="1">
            <w:r w:rsidR="00BE55AE" w:rsidRPr="00016C79">
              <w:rPr>
                <w:rStyle w:val="Hyperlink"/>
                <w:noProof/>
                <w:lang w:val="en-US"/>
              </w:rPr>
              <w:t>1.4.8 Rehoming</w:t>
            </w:r>
            <w:r w:rsidR="00BE55AE">
              <w:rPr>
                <w:noProof/>
                <w:webHidden/>
              </w:rPr>
              <w:tab/>
            </w:r>
            <w:r w:rsidR="00BE55AE">
              <w:rPr>
                <w:noProof/>
                <w:webHidden/>
              </w:rPr>
              <w:fldChar w:fldCharType="begin"/>
            </w:r>
            <w:r w:rsidR="00BE55AE">
              <w:rPr>
                <w:noProof/>
                <w:webHidden/>
              </w:rPr>
              <w:instrText xml:space="preserve"> PAGEREF _Toc477190166 \h </w:instrText>
            </w:r>
            <w:r w:rsidR="00BE55AE">
              <w:rPr>
                <w:noProof/>
                <w:webHidden/>
              </w:rPr>
            </w:r>
            <w:r w:rsidR="00BE55AE">
              <w:rPr>
                <w:noProof/>
                <w:webHidden/>
              </w:rPr>
              <w:fldChar w:fldCharType="separate"/>
            </w:r>
            <w:r w:rsidR="00BB2E54">
              <w:rPr>
                <w:noProof/>
                <w:webHidden/>
              </w:rPr>
              <w:t>46</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67" w:history="1">
            <w:r w:rsidR="00BE55AE" w:rsidRPr="00016C79">
              <w:rPr>
                <w:rStyle w:val="Hyperlink"/>
                <w:rFonts w:eastAsiaTheme="majorEastAsia"/>
                <w:noProof/>
              </w:rPr>
              <w:t>1.5 Scope</w:t>
            </w:r>
            <w:r w:rsidR="00BE55AE">
              <w:rPr>
                <w:noProof/>
                <w:webHidden/>
              </w:rPr>
              <w:tab/>
            </w:r>
            <w:r w:rsidR="00BE55AE">
              <w:rPr>
                <w:noProof/>
                <w:webHidden/>
              </w:rPr>
              <w:fldChar w:fldCharType="begin"/>
            </w:r>
            <w:r w:rsidR="00BE55AE">
              <w:rPr>
                <w:noProof/>
                <w:webHidden/>
              </w:rPr>
              <w:instrText xml:space="preserve"> PAGEREF _Toc477190167 \h </w:instrText>
            </w:r>
            <w:r w:rsidR="00BE55AE">
              <w:rPr>
                <w:noProof/>
                <w:webHidden/>
              </w:rPr>
            </w:r>
            <w:r w:rsidR="00BE55AE">
              <w:rPr>
                <w:noProof/>
                <w:webHidden/>
              </w:rPr>
              <w:fldChar w:fldCharType="separate"/>
            </w:r>
            <w:r w:rsidR="00BB2E54">
              <w:rPr>
                <w:noProof/>
                <w:webHidden/>
              </w:rPr>
              <w:t>47</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68" w:history="1">
            <w:r w:rsidR="00BE55AE" w:rsidRPr="00016C79">
              <w:rPr>
                <w:rStyle w:val="Hyperlink"/>
                <w:rFonts w:eastAsiaTheme="majorEastAsia"/>
                <w:noProof/>
              </w:rPr>
              <w:t>1.6 Need to undertake a Regulatory Impact Statement</w:t>
            </w:r>
            <w:r w:rsidR="00BE55AE">
              <w:rPr>
                <w:noProof/>
                <w:webHidden/>
              </w:rPr>
              <w:tab/>
            </w:r>
            <w:r w:rsidR="00BE55AE">
              <w:rPr>
                <w:noProof/>
                <w:webHidden/>
              </w:rPr>
              <w:fldChar w:fldCharType="begin"/>
            </w:r>
            <w:r w:rsidR="00BE55AE">
              <w:rPr>
                <w:noProof/>
                <w:webHidden/>
              </w:rPr>
              <w:instrText xml:space="preserve"> PAGEREF _Toc477190168 \h </w:instrText>
            </w:r>
            <w:r w:rsidR="00BE55AE">
              <w:rPr>
                <w:noProof/>
                <w:webHidden/>
              </w:rPr>
            </w:r>
            <w:r w:rsidR="00BE55AE">
              <w:rPr>
                <w:noProof/>
                <w:webHidden/>
              </w:rPr>
              <w:fldChar w:fldCharType="separate"/>
            </w:r>
            <w:r w:rsidR="00BB2E54">
              <w:rPr>
                <w:noProof/>
                <w:webHidden/>
              </w:rPr>
              <w:t>50</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69" w:history="1">
            <w:r w:rsidR="00BE55AE" w:rsidRPr="00016C79">
              <w:rPr>
                <w:rStyle w:val="Hyperlink"/>
                <w:rFonts w:eastAsiaTheme="majorEastAsia"/>
                <w:noProof/>
              </w:rPr>
              <w:t>1.7 Consultation</w:t>
            </w:r>
            <w:r w:rsidR="00BE55AE">
              <w:rPr>
                <w:noProof/>
                <w:webHidden/>
              </w:rPr>
              <w:tab/>
            </w:r>
            <w:r w:rsidR="00BE55AE">
              <w:rPr>
                <w:noProof/>
                <w:webHidden/>
              </w:rPr>
              <w:fldChar w:fldCharType="begin"/>
            </w:r>
            <w:r w:rsidR="00BE55AE">
              <w:rPr>
                <w:noProof/>
                <w:webHidden/>
              </w:rPr>
              <w:instrText xml:space="preserve"> PAGEREF _Toc477190169 \h </w:instrText>
            </w:r>
            <w:r w:rsidR="00BE55AE">
              <w:rPr>
                <w:noProof/>
                <w:webHidden/>
              </w:rPr>
            </w:r>
            <w:r w:rsidR="00BE55AE">
              <w:rPr>
                <w:noProof/>
                <w:webHidden/>
              </w:rPr>
              <w:fldChar w:fldCharType="separate"/>
            </w:r>
            <w:r w:rsidR="00BB2E54">
              <w:rPr>
                <w:noProof/>
                <w:webHidden/>
              </w:rPr>
              <w:t>51</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170" w:history="1">
            <w:r w:rsidR="00BE55AE" w:rsidRPr="00016C79">
              <w:rPr>
                <w:rStyle w:val="Hyperlink"/>
                <w:noProof/>
              </w:rPr>
              <w:t>Section 2 Identification and description of residual problems</w:t>
            </w:r>
            <w:r w:rsidR="00BE55AE">
              <w:rPr>
                <w:noProof/>
                <w:webHidden/>
              </w:rPr>
              <w:tab/>
            </w:r>
            <w:r w:rsidR="00BE55AE">
              <w:rPr>
                <w:noProof/>
                <w:webHidden/>
              </w:rPr>
              <w:fldChar w:fldCharType="begin"/>
            </w:r>
            <w:r w:rsidR="00BE55AE">
              <w:rPr>
                <w:noProof/>
                <w:webHidden/>
              </w:rPr>
              <w:instrText xml:space="preserve"> PAGEREF _Toc477190170 \h </w:instrText>
            </w:r>
            <w:r w:rsidR="00BE55AE">
              <w:rPr>
                <w:noProof/>
                <w:webHidden/>
              </w:rPr>
            </w:r>
            <w:r w:rsidR="00BE55AE">
              <w:rPr>
                <w:noProof/>
                <w:webHidden/>
              </w:rPr>
              <w:fldChar w:fldCharType="separate"/>
            </w:r>
            <w:r w:rsidR="00BB2E54">
              <w:rPr>
                <w:noProof/>
                <w:webHidden/>
              </w:rPr>
              <w:t>52</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71" w:history="1">
            <w:r w:rsidR="00BE55AE" w:rsidRPr="00016C79">
              <w:rPr>
                <w:rStyle w:val="Hyperlink"/>
                <w:noProof/>
              </w:rPr>
              <w:t>2.1 Residual problem – risk to animal welfare and quality of life</w:t>
            </w:r>
            <w:r w:rsidR="00BE55AE">
              <w:rPr>
                <w:noProof/>
                <w:webHidden/>
              </w:rPr>
              <w:tab/>
            </w:r>
            <w:r w:rsidR="00BE55AE">
              <w:rPr>
                <w:noProof/>
                <w:webHidden/>
              </w:rPr>
              <w:fldChar w:fldCharType="begin"/>
            </w:r>
            <w:r w:rsidR="00BE55AE">
              <w:rPr>
                <w:noProof/>
                <w:webHidden/>
              </w:rPr>
              <w:instrText xml:space="preserve"> PAGEREF _Toc477190171 \h </w:instrText>
            </w:r>
            <w:r w:rsidR="00BE55AE">
              <w:rPr>
                <w:noProof/>
                <w:webHidden/>
              </w:rPr>
            </w:r>
            <w:r w:rsidR="00BE55AE">
              <w:rPr>
                <w:noProof/>
                <w:webHidden/>
              </w:rPr>
              <w:fldChar w:fldCharType="separate"/>
            </w:r>
            <w:r w:rsidR="00BB2E54">
              <w:rPr>
                <w:noProof/>
                <w:webHidden/>
              </w:rPr>
              <w:t>52</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72" w:history="1">
            <w:r w:rsidR="00BE55AE" w:rsidRPr="00016C79">
              <w:rPr>
                <w:rStyle w:val="Hyperlink"/>
                <w:noProof/>
              </w:rPr>
              <w:t>2.2 Residual problem –Inadequate rehoming potential</w:t>
            </w:r>
            <w:r w:rsidR="00BE55AE">
              <w:rPr>
                <w:noProof/>
                <w:webHidden/>
              </w:rPr>
              <w:tab/>
            </w:r>
            <w:r w:rsidR="00BE55AE">
              <w:rPr>
                <w:noProof/>
                <w:webHidden/>
              </w:rPr>
              <w:fldChar w:fldCharType="begin"/>
            </w:r>
            <w:r w:rsidR="00BE55AE">
              <w:rPr>
                <w:noProof/>
                <w:webHidden/>
              </w:rPr>
              <w:instrText xml:space="preserve"> PAGEREF _Toc477190172 \h </w:instrText>
            </w:r>
            <w:r w:rsidR="00BE55AE">
              <w:rPr>
                <w:noProof/>
                <w:webHidden/>
              </w:rPr>
            </w:r>
            <w:r w:rsidR="00BE55AE">
              <w:rPr>
                <w:noProof/>
                <w:webHidden/>
              </w:rPr>
              <w:fldChar w:fldCharType="separate"/>
            </w:r>
            <w:r w:rsidR="00BB2E54">
              <w:rPr>
                <w:noProof/>
                <w:webHidden/>
              </w:rPr>
              <w:t>56</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73" w:history="1">
            <w:r w:rsidR="00BE55AE" w:rsidRPr="00016C79">
              <w:rPr>
                <w:rStyle w:val="Hyperlink"/>
                <w:noProof/>
              </w:rPr>
              <w:t>2.3 Risk Assessment</w:t>
            </w:r>
            <w:r w:rsidR="00BE55AE">
              <w:rPr>
                <w:noProof/>
                <w:webHidden/>
              </w:rPr>
              <w:tab/>
            </w:r>
            <w:r w:rsidR="00BE55AE">
              <w:rPr>
                <w:noProof/>
                <w:webHidden/>
              </w:rPr>
              <w:fldChar w:fldCharType="begin"/>
            </w:r>
            <w:r w:rsidR="00BE55AE">
              <w:rPr>
                <w:noProof/>
                <w:webHidden/>
              </w:rPr>
              <w:instrText xml:space="preserve"> PAGEREF _Toc477190173 \h </w:instrText>
            </w:r>
            <w:r w:rsidR="00BE55AE">
              <w:rPr>
                <w:noProof/>
                <w:webHidden/>
              </w:rPr>
            </w:r>
            <w:r w:rsidR="00BE55AE">
              <w:rPr>
                <w:noProof/>
                <w:webHidden/>
              </w:rPr>
              <w:fldChar w:fldCharType="separate"/>
            </w:r>
            <w:r w:rsidR="00BB2E54">
              <w:rPr>
                <w:noProof/>
                <w:webHidden/>
              </w:rPr>
              <w:t>57</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74" w:history="1">
            <w:r w:rsidR="00BE55AE" w:rsidRPr="00016C79">
              <w:rPr>
                <w:rStyle w:val="Hyperlink"/>
                <w:noProof/>
              </w:rPr>
              <w:t>2.4 Consequence of the base case</w:t>
            </w:r>
            <w:r w:rsidR="00BE55AE">
              <w:rPr>
                <w:noProof/>
                <w:webHidden/>
              </w:rPr>
              <w:tab/>
            </w:r>
            <w:r w:rsidR="00BE55AE">
              <w:rPr>
                <w:noProof/>
                <w:webHidden/>
              </w:rPr>
              <w:fldChar w:fldCharType="begin"/>
            </w:r>
            <w:r w:rsidR="00BE55AE">
              <w:rPr>
                <w:noProof/>
                <w:webHidden/>
              </w:rPr>
              <w:instrText xml:space="preserve"> PAGEREF _Toc477190174 \h </w:instrText>
            </w:r>
            <w:r w:rsidR="00BE55AE">
              <w:rPr>
                <w:noProof/>
                <w:webHidden/>
              </w:rPr>
            </w:r>
            <w:r w:rsidR="00BE55AE">
              <w:rPr>
                <w:noProof/>
                <w:webHidden/>
              </w:rPr>
              <w:fldChar w:fldCharType="separate"/>
            </w:r>
            <w:r w:rsidR="00BB2E54">
              <w:rPr>
                <w:noProof/>
                <w:webHidden/>
              </w:rPr>
              <w:t>58</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175" w:history="1">
            <w:r w:rsidR="00BE55AE" w:rsidRPr="00016C79">
              <w:rPr>
                <w:rStyle w:val="Hyperlink"/>
                <w:noProof/>
              </w:rPr>
              <w:t>Section 3 Specification of desired policy objectives</w:t>
            </w:r>
            <w:r w:rsidR="00BE55AE">
              <w:rPr>
                <w:noProof/>
                <w:webHidden/>
              </w:rPr>
              <w:tab/>
            </w:r>
            <w:r w:rsidR="00BE55AE">
              <w:rPr>
                <w:noProof/>
                <w:webHidden/>
              </w:rPr>
              <w:fldChar w:fldCharType="begin"/>
            </w:r>
            <w:r w:rsidR="00BE55AE">
              <w:rPr>
                <w:noProof/>
                <w:webHidden/>
              </w:rPr>
              <w:instrText xml:space="preserve"> PAGEREF _Toc477190175 \h </w:instrText>
            </w:r>
            <w:r w:rsidR="00BE55AE">
              <w:rPr>
                <w:noProof/>
                <w:webHidden/>
              </w:rPr>
            </w:r>
            <w:r w:rsidR="00BE55AE">
              <w:rPr>
                <w:noProof/>
                <w:webHidden/>
              </w:rPr>
              <w:fldChar w:fldCharType="separate"/>
            </w:r>
            <w:r w:rsidR="00BB2E54">
              <w:rPr>
                <w:noProof/>
                <w:webHidden/>
              </w:rPr>
              <w:t>60</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76" w:history="1">
            <w:r w:rsidR="00BE55AE" w:rsidRPr="00016C79">
              <w:rPr>
                <w:rStyle w:val="Hyperlink"/>
                <w:noProof/>
              </w:rPr>
              <w:t>3.1 Description of the primary objectives</w:t>
            </w:r>
            <w:r w:rsidR="00BE55AE">
              <w:rPr>
                <w:noProof/>
                <w:webHidden/>
              </w:rPr>
              <w:tab/>
            </w:r>
            <w:r w:rsidR="00BE55AE">
              <w:rPr>
                <w:noProof/>
                <w:webHidden/>
              </w:rPr>
              <w:fldChar w:fldCharType="begin"/>
            </w:r>
            <w:r w:rsidR="00BE55AE">
              <w:rPr>
                <w:noProof/>
                <w:webHidden/>
              </w:rPr>
              <w:instrText xml:space="preserve"> PAGEREF _Toc477190176 \h </w:instrText>
            </w:r>
            <w:r w:rsidR="00BE55AE">
              <w:rPr>
                <w:noProof/>
                <w:webHidden/>
              </w:rPr>
            </w:r>
            <w:r w:rsidR="00BE55AE">
              <w:rPr>
                <w:noProof/>
                <w:webHidden/>
              </w:rPr>
              <w:fldChar w:fldCharType="separate"/>
            </w:r>
            <w:r w:rsidR="00BB2E54">
              <w:rPr>
                <w:noProof/>
                <w:webHidden/>
              </w:rPr>
              <w:t>60</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77" w:history="1">
            <w:r w:rsidR="00BE55AE" w:rsidRPr="00016C79">
              <w:rPr>
                <w:rStyle w:val="Hyperlink"/>
                <w:noProof/>
              </w:rPr>
              <w:t>3.2 Description of Code components</w:t>
            </w:r>
            <w:r w:rsidR="00BE55AE">
              <w:rPr>
                <w:noProof/>
                <w:webHidden/>
              </w:rPr>
              <w:tab/>
            </w:r>
            <w:r w:rsidR="00BE55AE">
              <w:rPr>
                <w:noProof/>
                <w:webHidden/>
              </w:rPr>
              <w:fldChar w:fldCharType="begin"/>
            </w:r>
            <w:r w:rsidR="00BE55AE">
              <w:rPr>
                <w:noProof/>
                <w:webHidden/>
              </w:rPr>
              <w:instrText xml:space="preserve"> PAGEREF _Toc477190177 \h </w:instrText>
            </w:r>
            <w:r w:rsidR="00BE55AE">
              <w:rPr>
                <w:noProof/>
                <w:webHidden/>
              </w:rPr>
            </w:r>
            <w:r w:rsidR="00BE55AE">
              <w:rPr>
                <w:noProof/>
                <w:webHidden/>
              </w:rPr>
              <w:fldChar w:fldCharType="separate"/>
            </w:r>
            <w:r w:rsidR="00BB2E54">
              <w:rPr>
                <w:noProof/>
                <w:webHidden/>
              </w:rPr>
              <w:t>60</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78" w:history="1">
            <w:r w:rsidR="00BE55AE" w:rsidRPr="00016C79">
              <w:rPr>
                <w:rStyle w:val="Hyperlink"/>
                <w:noProof/>
              </w:rPr>
              <w:t>3.3 The GAP Reform</w:t>
            </w:r>
            <w:r w:rsidR="00BE55AE">
              <w:rPr>
                <w:noProof/>
                <w:webHidden/>
              </w:rPr>
              <w:tab/>
            </w:r>
            <w:r w:rsidR="00BE55AE">
              <w:rPr>
                <w:noProof/>
                <w:webHidden/>
              </w:rPr>
              <w:fldChar w:fldCharType="begin"/>
            </w:r>
            <w:r w:rsidR="00BE55AE">
              <w:rPr>
                <w:noProof/>
                <w:webHidden/>
              </w:rPr>
              <w:instrText xml:space="preserve"> PAGEREF _Toc477190178 \h </w:instrText>
            </w:r>
            <w:r w:rsidR="00BE55AE">
              <w:rPr>
                <w:noProof/>
                <w:webHidden/>
              </w:rPr>
            </w:r>
            <w:r w:rsidR="00BE55AE">
              <w:rPr>
                <w:noProof/>
                <w:webHidden/>
              </w:rPr>
              <w:fldChar w:fldCharType="separate"/>
            </w:r>
            <w:r w:rsidR="00BB2E54">
              <w:rPr>
                <w:noProof/>
                <w:webHidden/>
              </w:rPr>
              <w:t>61</w:t>
            </w:r>
            <w:r w:rsidR="00BE55AE">
              <w:rPr>
                <w:noProof/>
                <w:webHidden/>
              </w:rPr>
              <w:fldChar w:fldCharType="end"/>
            </w:r>
          </w:hyperlink>
        </w:p>
        <w:p w:rsidR="00BE55AE" w:rsidRDefault="00BE55AE">
          <w:pPr>
            <w:rPr>
              <w:rStyle w:val="Hyperlink"/>
              <w:rFonts w:asciiTheme="majorHAnsi" w:hAnsiTheme="majorHAnsi"/>
              <w:b/>
              <w:bCs/>
              <w:noProof/>
              <w:sz w:val="24"/>
            </w:rPr>
          </w:pPr>
          <w:r>
            <w:rPr>
              <w:rStyle w:val="Hyperlink"/>
              <w:noProof/>
            </w:rPr>
            <w:br w:type="page"/>
          </w:r>
        </w:p>
        <w:p w:rsidR="00BE55AE" w:rsidRDefault="000E36A1">
          <w:pPr>
            <w:pStyle w:val="TOC1"/>
            <w:rPr>
              <w:rFonts w:asciiTheme="minorHAnsi" w:hAnsiTheme="minorHAnsi" w:cstheme="minorBidi"/>
              <w:b w:val="0"/>
              <w:bCs w:val="0"/>
              <w:noProof/>
              <w:color w:val="auto"/>
              <w:sz w:val="22"/>
              <w:lang w:eastAsia="en-AU"/>
            </w:rPr>
          </w:pPr>
          <w:hyperlink w:anchor="_Toc477190179" w:history="1">
            <w:r w:rsidR="00BE55AE" w:rsidRPr="00016C79">
              <w:rPr>
                <w:rStyle w:val="Hyperlink"/>
                <w:noProof/>
              </w:rPr>
              <w:t>Section 4 Identification of viable options to achieve objectives</w:t>
            </w:r>
            <w:r w:rsidR="00BE55AE">
              <w:rPr>
                <w:noProof/>
                <w:webHidden/>
              </w:rPr>
              <w:tab/>
            </w:r>
            <w:r w:rsidR="00BE55AE">
              <w:rPr>
                <w:noProof/>
                <w:webHidden/>
              </w:rPr>
              <w:fldChar w:fldCharType="begin"/>
            </w:r>
            <w:r w:rsidR="00BE55AE">
              <w:rPr>
                <w:noProof/>
                <w:webHidden/>
              </w:rPr>
              <w:instrText xml:space="preserve"> PAGEREF _Toc477190179 \h </w:instrText>
            </w:r>
            <w:r w:rsidR="00BE55AE">
              <w:rPr>
                <w:noProof/>
                <w:webHidden/>
              </w:rPr>
            </w:r>
            <w:r w:rsidR="00BE55AE">
              <w:rPr>
                <w:noProof/>
                <w:webHidden/>
              </w:rPr>
              <w:fldChar w:fldCharType="separate"/>
            </w:r>
            <w:r w:rsidR="00BB2E54">
              <w:rPr>
                <w:noProof/>
                <w:webHidden/>
              </w:rPr>
              <w:t>63</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80" w:history="1">
            <w:r w:rsidR="00BE55AE" w:rsidRPr="00016C79">
              <w:rPr>
                <w:rStyle w:val="Hyperlink"/>
                <w:noProof/>
              </w:rPr>
              <w:t>4.1 Feasible options</w:t>
            </w:r>
            <w:r w:rsidR="00BE55AE">
              <w:rPr>
                <w:noProof/>
                <w:webHidden/>
              </w:rPr>
              <w:tab/>
            </w:r>
            <w:r w:rsidR="00BE55AE">
              <w:rPr>
                <w:noProof/>
                <w:webHidden/>
              </w:rPr>
              <w:fldChar w:fldCharType="begin"/>
            </w:r>
            <w:r w:rsidR="00BE55AE">
              <w:rPr>
                <w:noProof/>
                <w:webHidden/>
              </w:rPr>
              <w:instrText xml:space="preserve"> PAGEREF _Toc477190180 \h </w:instrText>
            </w:r>
            <w:r w:rsidR="00BE55AE">
              <w:rPr>
                <w:noProof/>
                <w:webHidden/>
              </w:rPr>
            </w:r>
            <w:r w:rsidR="00BE55AE">
              <w:rPr>
                <w:noProof/>
                <w:webHidden/>
              </w:rPr>
              <w:fldChar w:fldCharType="separate"/>
            </w:r>
            <w:r w:rsidR="00BB2E54">
              <w:rPr>
                <w:noProof/>
                <w:webHidden/>
              </w:rPr>
              <w:t>63</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81" w:history="1">
            <w:r w:rsidR="00BE55AE" w:rsidRPr="00016C79">
              <w:rPr>
                <w:rStyle w:val="Hyperlink"/>
                <w:noProof/>
              </w:rPr>
              <w:t>4.1.1 Option 1: Media/information campaign</w:t>
            </w:r>
            <w:r w:rsidR="00BE55AE">
              <w:rPr>
                <w:noProof/>
                <w:webHidden/>
              </w:rPr>
              <w:tab/>
            </w:r>
            <w:r w:rsidR="00BE55AE">
              <w:rPr>
                <w:noProof/>
                <w:webHidden/>
              </w:rPr>
              <w:fldChar w:fldCharType="begin"/>
            </w:r>
            <w:r w:rsidR="00BE55AE">
              <w:rPr>
                <w:noProof/>
                <w:webHidden/>
              </w:rPr>
              <w:instrText xml:space="preserve"> PAGEREF _Toc477190181 \h </w:instrText>
            </w:r>
            <w:r w:rsidR="00BE55AE">
              <w:rPr>
                <w:noProof/>
                <w:webHidden/>
              </w:rPr>
            </w:r>
            <w:r w:rsidR="00BE55AE">
              <w:rPr>
                <w:noProof/>
                <w:webHidden/>
              </w:rPr>
              <w:fldChar w:fldCharType="separate"/>
            </w:r>
            <w:r w:rsidR="00BB2E54">
              <w:rPr>
                <w:noProof/>
                <w:webHidden/>
              </w:rPr>
              <w:t>63</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82" w:history="1">
            <w:r w:rsidR="00BE55AE" w:rsidRPr="00016C79">
              <w:rPr>
                <w:rStyle w:val="Hyperlink"/>
                <w:noProof/>
              </w:rPr>
              <w:t>4.1.2 Option 2: Adoption of local rules</w:t>
            </w:r>
            <w:r w:rsidR="00BE55AE">
              <w:rPr>
                <w:noProof/>
                <w:webHidden/>
              </w:rPr>
              <w:tab/>
            </w:r>
            <w:r w:rsidR="00BE55AE">
              <w:rPr>
                <w:noProof/>
                <w:webHidden/>
              </w:rPr>
              <w:fldChar w:fldCharType="begin"/>
            </w:r>
            <w:r w:rsidR="00BE55AE">
              <w:rPr>
                <w:noProof/>
                <w:webHidden/>
              </w:rPr>
              <w:instrText xml:space="preserve"> PAGEREF _Toc477190182 \h </w:instrText>
            </w:r>
            <w:r w:rsidR="00BE55AE">
              <w:rPr>
                <w:noProof/>
                <w:webHidden/>
              </w:rPr>
            </w:r>
            <w:r w:rsidR="00BE55AE">
              <w:rPr>
                <w:noProof/>
                <w:webHidden/>
              </w:rPr>
              <w:fldChar w:fldCharType="separate"/>
            </w:r>
            <w:r w:rsidR="00BB2E54">
              <w:rPr>
                <w:noProof/>
                <w:webHidden/>
              </w:rPr>
              <w:t>65</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83" w:history="1">
            <w:r w:rsidR="00BE55AE" w:rsidRPr="00016C79">
              <w:rPr>
                <w:rStyle w:val="Hyperlink"/>
                <w:noProof/>
              </w:rPr>
              <w:t>4.1.3 Option 3: The proposed Code with industry enforcement</w:t>
            </w:r>
            <w:r w:rsidR="00BE55AE">
              <w:rPr>
                <w:noProof/>
                <w:webHidden/>
              </w:rPr>
              <w:tab/>
            </w:r>
            <w:r w:rsidR="00BE55AE">
              <w:rPr>
                <w:noProof/>
                <w:webHidden/>
              </w:rPr>
              <w:fldChar w:fldCharType="begin"/>
            </w:r>
            <w:r w:rsidR="00BE55AE">
              <w:rPr>
                <w:noProof/>
                <w:webHidden/>
              </w:rPr>
              <w:instrText xml:space="preserve"> PAGEREF _Toc477190183 \h </w:instrText>
            </w:r>
            <w:r w:rsidR="00BE55AE">
              <w:rPr>
                <w:noProof/>
                <w:webHidden/>
              </w:rPr>
            </w:r>
            <w:r w:rsidR="00BE55AE">
              <w:rPr>
                <w:noProof/>
                <w:webHidden/>
              </w:rPr>
              <w:fldChar w:fldCharType="separate"/>
            </w:r>
            <w:r w:rsidR="00BB2E54">
              <w:rPr>
                <w:noProof/>
                <w:webHidden/>
              </w:rPr>
              <w:t>65</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84" w:history="1">
            <w:r w:rsidR="00BE55AE" w:rsidRPr="00016C79">
              <w:rPr>
                <w:rStyle w:val="Hyperlink"/>
                <w:noProof/>
              </w:rPr>
              <w:t>4.1.4 Option 4: The proposed Code with local council enforcement</w:t>
            </w:r>
            <w:r w:rsidR="00BE55AE">
              <w:rPr>
                <w:noProof/>
                <w:webHidden/>
              </w:rPr>
              <w:tab/>
            </w:r>
            <w:r w:rsidR="00BE55AE">
              <w:rPr>
                <w:noProof/>
                <w:webHidden/>
              </w:rPr>
              <w:fldChar w:fldCharType="begin"/>
            </w:r>
            <w:r w:rsidR="00BE55AE">
              <w:rPr>
                <w:noProof/>
                <w:webHidden/>
              </w:rPr>
              <w:instrText xml:space="preserve"> PAGEREF _Toc477190184 \h </w:instrText>
            </w:r>
            <w:r w:rsidR="00BE55AE">
              <w:rPr>
                <w:noProof/>
                <w:webHidden/>
              </w:rPr>
            </w:r>
            <w:r w:rsidR="00BE55AE">
              <w:rPr>
                <w:noProof/>
                <w:webHidden/>
              </w:rPr>
              <w:fldChar w:fldCharType="separate"/>
            </w:r>
            <w:r w:rsidR="00BB2E54">
              <w:rPr>
                <w:noProof/>
                <w:webHidden/>
              </w:rPr>
              <w:t>67</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85" w:history="1">
            <w:r w:rsidR="00BE55AE" w:rsidRPr="00016C79">
              <w:rPr>
                <w:rStyle w:val="Hyperlink"/>
                <w:noProof/>
              </w:rPr>
              <w:t xml:space="preserve">4.1.5 Option 5: The proposed Code with industry enforcement and no </w:t>
            </w:r>
            <w:r w:rsidR="00BE55AE">
              <w:rPr>
                <w:rStyle w:val="Hyperlink"/>
                <w:noProof/>
              </w:rPr>
              <w:br/>
            </w:r>
            <w:r w:rsidR="00BE55AE" w:rsidRPr="00016C79">
              <w:rPr>
                <w:rStyle w:val="Hyperlink"/>
                <w:noProof/>
              </w:rPr>
              <w:t>additional health checks</w:t>
            </w:r>
            <w:r w:rsidR="00BE55AE">
              <w:rPr>
                <w:noProof/>
                <w:webHidden/>
              </w:rPr>
              <w:tab/>
            </w:r>
            <w:r w:rsidR="00BE55AE">
              <w:rPr>
                <w:noProof/>
                <w:webHidden/>
              </w:rPr>
              <w:fldChar w:fldCharType="begin"/>
            </w:r>
            <w:r w:rsidR="00BE55AE">
              <w:rPr>
                <w:noProof/>
                <w:webHidden/>
              </w:rPr>
              <w:instrText xml:space="preserve"> PAGEREF _Toc477190185 \h </w:instrText>
            </w:r>
            <w:r w:rsidR="00BE55AE">
              <w:rPr>
                <w:noProof/>
                <w:webHidden/>
              </w:rPr>
            </w:r>
            <w:r w:rsidR="00BE55AE">
              <w:rPr>
                <w:noProof/>
                <w:webHidden/>
              </w:rPr>
              <w:fldChar w:fldCharType="separate"/>
            </w:r>
            <w:r w:rsidR="00BB2E54">
              <w:rPr>
                <w:noProof/>
                <w:webHidden/>
              </w:rPr>
              <w:t>68</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86" w:history="1">
            <w:r w:rsidR="00BE55AE" w:rsidRPr="00016C79">
              <w:rPr>
                <w:rStyle w:val="Hyperlink"/>
                <w:noProof/>
              </w:rPr>
              <w:t xml:space="preserve">4.1.6 Option 6: The proposed Code with industry enforcement and </w:t>
            </w:r>
            <w:r w:rsidR="00BE55AE">
              <w:rPr>
                <w:rStyle w:val="Hyperlink"/>
                <w:noProof/>
              </w:rPr>
              <w:br/>
            </w:r>
            <w:r w:rsidR="00BE55AE" w:rsidRPr="00016C79">
              <w:rPr>
                <w:rStyle w:val="Hyperlink"/>
                <w:noProof/>
              </w:rPr>
              <w:t>reduced rearing requirements for dogs 16 weeks to 18 months</w:t>
            </w:r>
            <w:r w:rsidR="00BE55AE">
              <w:rPr>
                <w:noProof/>
                <w:webHidden/>
              </w:rPr>
              <w:tab/>
            </w:r>
            <w:r w:rsidR="00BE55AE">
              <w:rPr>
                <w:noProof/>
                <w:webHidden/>
              </w:rPr>
              <w:fldChar w:fldCharType="begin"/>
            </w:r>
            <w:r w:rsidR="00BE55AE">
              <w:rPr>
                <w:noProof/>
                <w:webHidden/>
              </w:rPr>
              <w:instrText xml:space="preserve"> PAGEREF _Toc477190186 \h </w:instrText>
            </w:r>
            <w:r w:rsidR="00BE55AE">
              <w:rPr>
                <w:noProof/>
                <w:webHidden/>
              </w:rPr>
            </w:r>
            <w:r w:rsidR="00BE55AE">
              <w:rPr>
                <w:noProof/>
                <w:webHidden/>
              </w:rPr>
              <w:fldChar w:fldCharType="separate"/>
            </w:r>
            <w:r w:rsidR="00BB2E54">
              <w:rPr>
                <w:noProof/>
                <w:webHidden/>
              </w:rPr>
              <w:t>69</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87" w:history="1">
            <w:r w:rsidR="00BE55AE" w:rsidRPr="00016C79">
              <w:rPr>
                <w:rStyle w:val="Hyperlink"/>
                <w:noProof/>
              </w:rPr>
              <w:t>4.2 Options not considered in this RIS</w:t>
            </w:r>
            <w:r w:rsidR="00BE55AE">
              <w:rPr>
                <w:noProof/>
                <w:webHidden/>
              </w:rPr>
              <w:tab/>
            </w:r>
            <w:r w:rsidR="00BE55AE">
              <w:rPr>
                <w:noProof/>
                <w:webHidden/>
              </w:rPr>
              <w:fldChar w:fldCharType="begin"/>
            </w:r>
            <w:r w:rsidR="00BE55AE">
              <w:rPr>
                <w:noProof/>
                <w:webHidden/>
              </w:rPr>
              <w:instrText xml:space="preserve"> PAGEREF _Toc477190187 \h </w:instrText>
            </w:r>
            <w:r w:rsidR="00BE55AE">
              <w:rPr>
                <w:noProof/>
                <w:webHidden/>
              </w:rPr>
            </w:r>
            <w:r w:rsidR="00BE55AE">
              <w:rPr>
                <w:noProof/>
                <w:webHidden/>
              </w:rPr>
              <w:fldChar w:fldCharType="separate"/>
            </w:r>
            <w:r w:rsidR="00BB2E54">
              <w:rPr>
                <w:noProof/>
                <w:webHidden/>
              </w:rPr>
              <w:t>69</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88" w:history="1">
            <w:r w:rsidR="00BE55AE" w:rsidRPr="00016C79">
              <w:rPr>
                <w:rStyle w:val="Hyperlink"/>
                <w:noProof/>
                <w:spacing w:val="-8"/>
              </w:rPr>
              <w:t xml:space="preserve">4.2.1 Less prescriptive standards for participants with good greyhound </w:t>
            </w:r>
            <w:r w:rsidR="00BE55AE">
              <w:rPr>
                <w:rStyle w:val="Hyperlink"/>
                <w:noProof/>
                <w:spacing w:val="-8"/>
              </w:rPr>
              <w:br/>
            </w:r>
            <w:r w:rsidR="00BE55AE" w:rsidRPr="00016C79">
              <w:rPr>
                <w:rStyle w:val="Hyperlink"/>
                <w:noProof/>
                <w:spacing w:val="-8"/>
              </w:rPr>
              <w:t>welfare track record</w:t>
            </w:r>
            <w:r w:rsidR="00BE55AE">
              <w:rPr>
                <w:noProof/>
                <w:webHidden/>
              </w:rPr>
              <w:tab/>
            </w:r>
            <w:r w:rsidR="00BE55AE">
              <w:rPr>
                <w:noProof/>
                <w:webHidden/>
              </w:rPr>
              <w:fldChar w:fldCharType="begin"/>
            </w:r>
            <w:r w:rsidR="00BE55AE">
              <w:rPr>
                <w:noProof/>
                <w:webHidden/>
              </w:rPr>
              <w:instrText xml:space="preserve"> PAGEREF _Toc477190188 \h </w:instrText>
            </w:r>
            <w:r w:rsidR="00BE55AE">
              <w:rPr>
                <w:noProof/>
                <w:webHidden/>
              </w:rPr>
            </w:r>
            <w:r w:rsidR="00BE55AE">
              <w:rPr>
                <w:noProof/>
                <w:webHidden/>
              </w:rPr>
              <w:fldChar w:fldCharType="separate"/>
            </w:r>
            <w:r w:rsidR="00BB2E54">
              <w:rPr>
                <w:noProof/>
                <w:webHidden/>
              </w:rPr>
              <w:t>69</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89" w:history="1">
            <w:r w:rsidR="00BE55AE" w:rsidRPr="00016C79">
              <w:rPr>
                <w:rStyle w:val="Hyperlink"/>
                <w:noProof/>
              </w:rPr>
              <w:t>4.2.2 Alternative staff ratios</w:t>
            </w:r>
            <w:r w:rsidR="00BE55AE">
              <w:rPr>
                <w:noProof/>
                <w:webHidden/>
              </w:rPr>
              <w:tab/>
            </w:r>
            <w:r w:rsidR="00BE55AE">
              <w:rPr>
                <w:noProof/>
                <w:webHidden/>
              </w:rPr>
              <w:fldChar w:fldCharType="begin"/>
            </w:r>
            <w:r w:rsidR="00BE55AE">
              <w:rPr>
                <w:noProof/>
                <w:webHidden/>
              </w:rPr>
              <w:instrText xml:space="preserve"> PAGEREF _Toc477190189 \h </w:instrText>
            </w:r>
            <w:r w:rsidR="00BE55AE">
              <w:rPr>
                <w:noProof/>
                <w:webHidden/>
              </w:rPr>
            </w:r>
            <w:r w:rsidR="00BE55AE">
              <w:rPr>
                <w:noProof/>
                <w:webHidden/>
              </w:rPr>
              <w:fldChar w:fldCharType="separate"/>
            </w:r>
            <w:r w:rsidR="00BB2E54">
              <w:rPr>
                <w:noProof/>
                <w:webHidden/>
              </w:rPr>
              <w:t>70</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90" w:history="1">
            <w:r w:rsidR="00BE55AE" w:rsidRPr="00016C79">
              <w:rPr>
                <w:rStyle w:val="Hyperlink"/>
                <w:noProof/>
              </w:rPr>
              <w:t>4.2.3 Alternative to GAP reform</w:t>
            </w:r>
            <w:r w:rsidR="00BE55AE">
              <w:rPr>
                <w:noProof/>
                <w:webHidden/>
              </w:rPr>
              <w:tab/>
            </w:r>
            <w:r w:rsidR="00BE55AE">
              <w:rPr>
                <w:noProof/>
                <w:webHidden/>
              </w:rPr>
              <w:fldChar w:fldCharType="begin"/>
            </w:r>
            <w:r w:rsidR="00BE55AE">
              <w:rPr>
                <w:noProof/>
                <w:webHidden/>
              </w:rPr>
              <w:instrText xml:space="preserve"> PAGEREF _Toc477190190 \h </w:instrText>
            </w:r>
            <w:r w:rsidR="00BE55AE">
              <w:rPr>
                <w:noProof/>
                <w:webHidden/>
              </w:rPr>
            </w:r>
            <w:r w:rsidR="00BE55AE">
              <w:rPr>
                <w:noProof/>
                <w:webHidden/>
              </w:rPr>
              <w:fldChar w:fldCharType="separate"/>
            </w:r>
            <w:r w:rsidR="00BB2E54">
              <w:rPr>
                <w:noProof/>
                <w:webHidden/>
              </w:rPr>
              <w:t>70</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91" w:history="1">
            <w:r w:rsidR="00BE55AE" w:rsidRPr="00016C79">
              <w:rPr>
                <w:rStyle w:val="Hyperlink"/>
                <w:noProof/>
              </w:rPr>
              <w:t>4.2.4 Perimeter fencing</w:t>
            </w:r>
            <w:r w:rsidR="00BE55AE">
              <w:rPr>
                <w:noProof/>
                <w:webHidden/>
              </w:rPr>
              <w:tab/>
            </w:r>
            <w:r w:rsidR="00BE55AE">
              <w:rPr>
                <w:noProof/>
                <w:webHidden/>
              </w:rPr>
              <w:fldChar w:fldCharType="begin"/>
            </w:r>
            <w:r w:rsidR="00BE55AE">
              <w:rPr>
                <w:noProof/>
                <w:webHidden/>
              </w:rPr>
              <w:instrText xml:space="preserve"> PAGEREF _Toc477190191 \h </w:instrText>
            </w:r>
            <w:r w:rsidR="00BE55AE">
              <w:rPr>
                <w:noProof/>
                <w:webHidden/>
              </w:rPr>
            </w:r>
            <w:r w:rsidR="00BE55AE">
              <w:rPr>
                <w:noProof/>
                <w:webHidden/>
              </w:rPr>
              <w:fldChar w:fldCharType="separate"/>
            </w:r>
            <w:r w:rsidR="00BB2E54">
              <w:rPr>
                <w:noProof/>
                <w:webHidden/>
              </w:rPr>
              <w:t>71</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92" w:history="1">
            <w:r w:rsidR="00BE55AE" w:rsidRPr="00016C79">
              <w:rPr>
                <w:rStyle w:val="Hyperlink"/>
                <w:noProof/>
              </w:rPr>
              <w:t>4.2.5 Kennels</w:t>
            </w:r>
            <w:r w:rsidR="00BE55AE">
              <w:rPr>
                <w:noProof/>
                <w:webHidden/>
              </w:rPr>
              <w:tab/>
            </w:r>
            <w:r w:rsidR="00BE55AE">
              <w:rPr>
                <w:noProof/>
                <w:webHidden/>
              </w:rPr>
              <w:fldChar w:fldCharType="begin"/>
            </w:r>
            <w:r w:rsidR="00BE55AE">
              <w:rPr>
                <w:noProof/>
                <w:webHidden/>
              </w:rPr>
              <w:instrText xml:space="preserve"> PAGEREF _Toc477190192 \h </w:instrText>
            </w:r>
            <w:r w:rsidR="00BE55AE">
              <w:rPr>
                <w:noProof/>
                <w:webHidden/>
              </w:rPr>
            </w:r>
            <w:r w:rsidR="00BE55AE">
              <w:rPr>
                <w:noProof/>
                <w:webHidden/>
              </w:rPr>
              <w:fldChar w:fldCharType="separate"/>
            </w:r>
            <w:r w:rsidR="00BB2E54">
              <w:rPr>
                <w:noProof/>
                <w:webHidden/>
              </w:rPr>
              <w:t>71</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193" w:history="1">
            <w:r w:rsidR="00BE55AE" w:rsidRPr="00016C79">
              <w:rPr>
                <w:rStyle w:val="Hyperlink"/>
                <w:noProof/>
              </w:rPr>
              <w:t>Section 5 Costs and benefits of options 1 to 6</w:t>
            </w:r>
            <w:r w:rsidR="00BE55AE">
              <w:rPr>
                <w:noProof/>
                <w:webHidden/>
              </w:rPr>
              <w:tab/>
            </w:r>
            <w:r w:rsidR="00BE55AE">
              <w:rPr>
                <w:noProof/>
                <w:webHidden/>
              </w:rPr>
              <w:fldChar w:fldCharType="begin"/>
            </w:r>
            <w:r w:rsidR="00BE55AE">
              <w:rPr>
                <w:noProof/>
                <w:webHidden/>
              </w:rPr>
              <w:instrText xml:space="preserve"> PAGEREF _Toc477190193 \h </w:instrText>
            </w:r>
            <w:r w:rsidR="00BE55AE">
              <w:rPr>
                <w:noProof/>
                <w:webHidden/>
              </w:rPr>
            </w:r>
            <w:r w:rsidR="00BE55AE">
              <w:rPr>
                <w:noProof/>
                <w:webHidden/>
              </w:rPr>
              <w:fldChar w:fldCharType="separate"/>
            </w:r>
            <w:r w:rsidR="00BB2E54">
              <w:rPr>
                <w:noProof/>
                <w:webHidden/>
              </w:rPr>
              <w:t>72</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94" w:history="1">
            <w:r w:rsidR="00BE55AE" w:rsidRPr="00016C79">
              <w:rPr>
                <w:rStyle w:val="Hyperlink"/>
                <w:noProof/>
                <w:lang w:eastAsia="en-AU"/>
              </w:rPr>
              <w:t>5.1 Introduction and cost benefit approach</w:t>
            </w:r>
            <w:r w:rsidR="00BE55AE">
              <w:rPr>
                <w:noProof/>
                <w:webHidden/>
              </w:rPr>
              <w:tab/>
            </w:r>
            <w:r w:rsidR="00BE55AE">
              <w:rPr>
                <w:noProof/>
                <w:webHidden/>
              </w:rPr>
              <w:fldChar w:fldCharType="begin"/>
            </w:r>
            <w:r w:rsidR="00BE55AE">
              <w:rPr>
                <w:noProof/>
                <w:webHidden/>
              </w:rPr>
              <w:instrText xml:space="preserve"> PAGEREF _Toc477190194 \h </w:instrText>
            </w:r>
            <w:r w:rsidR="00BE55AE">
              <w:rPr>
                <w:noProof/>
                <w:webHidden/>
              </w:rPr>
            </w:r>
            <w:r w:rsidR="00BE55AE">
              <w:rPr>
                <w:noProof/>
                <w:webHidden/>
              </w:rPr>
              <w:fldChar w:fldCharType="separate"/>
            </w:r>
            <w:r w:rsidR="00BB2E54">
              <w:rPr>
                <w:noProof/>
                <w:webHidden/>
              </w:rPr>
              <w:t>72</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195" w:history="1">
            <w:r w:rsidR="00BE55AE" w:rsidRPr="00016C79">
              <w:rPr>
                <w:rStyle w:val="Hyperlink"/>
                <w:noProof/>
              </w:rPr>
              <w:t>5.2 Evaluation of Options 1 to 6</w:t>
            </w:r>
            <w:r w:rsidR="00BE55AE">
              <w:rPr>
                <w:noProof/>
                <w:webHidden/>
              </w:rPr>
              <w:tab/>
            </w:r>
            <w:r w:rsidR="00BE55AE">
              <w:rPr>
                <w:noProof/>
                <w:webHidden/>
              </w:rPr>
              <w:fldChar w:fldCharType="begin"/>
            </w:r>
            <w:r w:rsidR="00BE55AE">
              <w:rPr>
                <w:noProof/>
                <w:webHidden/>
              </w:rPr>
              <w:instrText xml:space="preserve"> PAGEREF _Toc477190195 \h </w:instrText>
            </w:r>
            <w:r w:rsidR="00BE55AE">
              <w:rPr>
                <w:noProof/>
                <w:webHidden/>
              </w:rPr>
            </w:r>
            <w:r w:rsidR="00BE55AE">
              <w:rPr>
                <w:noProof/>
                <w:webHidden/>
              </w:rPr>
              <w:fldChar w:fldCharType="separate"/>
            </w:r>
            <w:r w:rsidR="00BB2E54">
              <w:rPr>
                <w:noProof/>
                <w:webHidden/>
              </w:rPr>
              <w:t>73</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96" w:history="1">
            <w:r w:rsidR="00BE55AE" w:rsidRPr="00016C79">
              <w:rPr>
                <w:rStyle w:val="Hyperlink"/>
                <w:noProof/>
              </w:rPr>
              <w:t>5.2.1 Animal welfare criterion – analysis of options 1 to 6</w:t>
            </w:r>
            <w:r w:rsidR="00BE55AE">
              <w:rPr>
                <w:noProof/>
                <w:webHidden/>
              </w:rPr>
              <w:tab/>
            </w:r>
            <w:r w:rsidR="00BE55AE">
              <w:rPr>
                <w:noProof/>
                <w:webHidden/>
              </w:rPr>
              <w:fldChar w:fldCharType="begin"/>
            </w:r>
            <w:r w:rsidR="00BE55AE">
              <w:rPr>
                <w:noProof/>
                <w:webHidden/>
              </w:rPr>
              <w:instrText xml:space="preserve"> PAGEREF _Toc477190196 \h </w:instrText>
            </w:r>
            <w:r w:rsidR="00BE55AE">
              <w:rPr>
                <w:noProof/>
                <w:webHidden/>
              </w:rPr>
            </w:r>
            <w:r w:rsidR="00BE55AE">
              <w:rPr>
                <w:noProof/>
                <w:webHidden/>
              </w:rPr>
              <w:fldChar w:fldCharType="separate"/>
            </w:r>
            <w:r w:rsidR="00BB2E54">
              <w:rPr>
                <w:noProof/>
                <w:webHidden/>
              </w:rPr>
              <w:t>73</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97" w:history="1">
            <w:r w:rsidR="00BE55AE" w:rsidRPr="00016C79">
              <w:rPr>
                <w:rStyle w:val="Hyperlink"/>
                <w:noProof/>
              </w:rPr>
              <w:t>5.2.2 Rehoming potential criterion – analysis of options 1 to 6</w:t>
            </w:r>
            <w:r w:rsidR="00BE55AE">
              <w:rPr>
                <w:noProof/>
                <w:webHidden/>
              </w:rPr>
              <w:tab/>
            </w:r>
            <w:r w:rsidR="00BE55AE">
              <w:rPr>
                <w:noProof/>
                <w:webHidden/>
              </w:rPr>
              <w:fldChar w:fldCharType="begin"/>
            </w:r>
            <w:r w:rsidR="00BE55AE">
              <w:rPr>
                <w:noProof/>
                <w:webHidden/>
              </w:rPr>
              <w:instrText xml:space="preserve"> PAGEREF _Toc477190197 \h </w:instrText>
            </w:r>
            <w:r w:rsidR="00BE55AE">
              <w:rPr>
                <w:noProof/>
                <w:webHidden/>
              </w:rPr>
            </w:r>
            <w:r w:rsidR="00BE55AE">
              <w:rPr>
                <w:noProof/>
                <w:webHidden/>
              </w:rPr>
              <w:fldChar w:fldCharType="separate"/>
            </w:r>
            <w:r w:rsidR="00BB2E54">
              <w:rPr>
                <w:noProof/>
                <w:webHidden/>
              </w:rPr>
              <w:t>74</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198" w:history="1">
            <w:r w:rsidR="00BE55AE" w:rsidRPr="00016C79">
              <w:rPr>
                <w:rStyle w:val="Hyperlink"/>
                <w:noProof/>
              </w:rPr>
              <w:t xml:space="preserve">5.2.3 Net compliance cost to industry and government – analysis of </w:t>
            </w:r>
            <w:r w:rsidR="00BE55AE">
              <w:rPr>
                <w:rStyle w:val="Hyperlink"/>
                <w:noProof/>
              </w:rPr>
              <w:br/>
            </w:r>
            <w:r w:rsidR="00BE55AE" w:rsidRPr="00016C79">
              <w:rPr>
                <w:rStyle w:val="Hyperlink"/>
                <w:noProof/>
              </w:rPr>
              <w:t>options 1 to 6</w:t>
            </w:r>
            <w:r w:rsidR="00BE55AE">
              <w:rPr>
                <w:noProof/>
                <w:webHidden/>
              </w:rPr>
              <w:tab/>
            </w:r>
            <w:r w:rsidR="00BE55AE">
              <w:rPr>
                <w:noProof/>
                <w:webHidden/>
              </w:rPr>
              <w:fldChar w:fldCharType="begin"/>
            </w:r>
            <w:r w:rsidR="00BE55AE">
              <w:rPr>
                <w:noProof/>
                <w:webHidden/>
              </w:rPr>
              <w:instrText xml:space="preserve"> PAGEREF _Toc477190198 \h </w:instrText>
            </w:r>
            <w:r w:rsidR="00BE55AE">
              <w:rPr>
                <w:noProof/>
                <w:webHidden/>
              </w:rPr>
            </w:r>
            <w:r w:rsidR="00BE55AE">
              <w:rPr>
                <w:noProof/>
                <w:webHidden/>
              </w:rPr>
              <w:fldChar w:fldCharType="separate"/>
            </w:r>
            <w:r w:rsidR="00BB2E54">
              <w:rPr>
                <w:noProof/>
                <w:webHidden/>
              </w:rPr>
              <w:t>75</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05" w:history="1">
            <w:r w:rsidR="00BE55AE" w:rsidRPr="00016C79">
              <w:rPr>
                <w:rStyle w:val="Hyperlink"/>
                <w:noProof/>
              </w:rPr>
              <w:t>5.2.4 Multi-Criteria Analysis</w:t>
            </w:r>
            <w:r w:rsidR="00BE55AE">
              <w:rPr>
                <w:noProof/>
                <w:webHidden/>
              </w:rPr>
              <w:tab/>
            </w:r>
            <w:r w:rsidR="00BE55AE">
              <w:rPr>
                <w:noProof/>
                <w:webHidden/>
              </w:rPr>
              <w:fldChar w:fldCharType="begin"/>
            </w:r>
            <w:r w:rsidR="00BE55AE">
              <w:rPr>
                <w:noProof/>
                <w:webHidden/>
              </w:rPr>
              <w:instrText xml:space="preserve"> PAGEREF _Toc477190205 \h </w:instrText>
            </w:r>
            <w:r w:rsidR="00BE55AE">
              <w:rPr>
                <w:noProof/>
                <w:webHidden/>
              </w:rPr>
            </w:r>
            <w:r w:rsidR="00BE55AE">
              <w:rPr>
                <w:noProof/>
                <w:webHidden/>
              </w:rPr>
              <w:fldChar w:fldCharType="separate"/>
            </w:r>
            <w:r w:rsidR="00BB2E54">
              <w:rPr>
                <w:noProof/>
                <w:webHidden/>
              </w:rPr>
              <w:t>82</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06" w:history="1">
            <w:r w:rsidR="00BE55AE" w:rsidRPr="00016C79">
              <w:rPr>
                <w:rStyle w:val="Hyperlink"/>
                <w:noProof/>
              </w:rPr>
              <w:t>5.2.5 Sensitivity Analysis</w:t>
            </w:r>
            <w:r w:rsidR="00BE55AE">
              <w:rPr>
                <w:noProof/>
                <w:webHidden/>
              </w:rPr>
              <w:tab/>
            </w:r>
            <w:r w:rsidR="00BE55AE">
              <w:rPr>
                <w:noProof/>
                <w:webHidden/>
              </w:rPr>
              <w:fldChar w:fldCharType="begin"/>
            </w:r>
            <w:r w:rsidR="00BE55AE">
              <w:rPr>
                <w:noProof/>
                <w:webHidden/>
              </w:rPr>
              <w:instrText xml:space="preserve"> PAGEREF _Toc477190206 \h </w:instrText>
            </w:r>
            <w:r w:rsidR="00BE55AE">
              <w:rPr>
                <w:noProof/>
                <w:webHidden/>
              </w:rPr>
            </w:r>
            <w:r w:rsidR="00BE55AE">
              <w:rPr>
                <w:noProof/>
                <w:webHidden/>
              </w:rPr>
              <w:fldChar w:fldCharType="separate"/>
            </w:r>
            <w:r w:rsidR="00BB2E54">
              <w:rPr>
                <w:noProof/>
                <w:webHidden/>
              </w:rPr>
              <w:t>83</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07" w:history="1">
            <w:r w:rsidR="00BE55AE" w:rsidRPr="00016C79">
              <w:rPr>
                <w:rStyle w:val="Hyperlink"/>
                <w:noProof/>
              </w:rPr>
              <w:t>Section 6 Impact on small business</w:t>
            </w:r>
            <w:r w:rsidR="00BE55AE">
              <w:rPr>
                <w:noProof/>
                <w:webHidden/>
              </w:rPr>
              <w:tab/>
            </w:r>
            <w:r w:rsidR="00BE55AE">
              <w:rPr>
                <w:noProof/>
                <w:webHidden/>
              </w:rPr>
              <w:fldChar w:fldCharType="begin"/>
            </w:r>
            <w:r w:rsidR="00BE55AE">
              <w:rPr>
                <w:noProof/>
                <w:webHidden/>
              </w:rPr>
              <w:instrText xml:space="preserve"> PAGEREF _Toc477190207 \h </w:instrText>
            </w:r>
            <w:r w:rsidR="00BE55AE">
              <w:rPr>
                <w:noProof/>
                <w:webHidden/>
              </w:rPr>
            </w:r>
            <w:r w:rsidR="00BE55AE">
              <w:rPr>
                <w:noProof/>
                <w:webHidden/>
              </w:rPr>
              <w:fldChar w:fldCharType="separate"/>
            </w:r>
            <w:r w:rsidR="00BB2E54">
              <w:rPr>
                <w:noProof/>
                <w:webHidden/>
              </w:rPr>
              <w:t>84</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08" w:history="1">
            <w:r w:rsidR="00BE55AE" w:rsidRPr="00016C79">
              <w:rPr>
                <w:rStyle w:val="Hyperlink"/>
                <w:noProof/>
              </w:rPr>
              <w:t>Section 7 Competition assessment</w:t>
            </w:r>
            <w:r w:rsidR="00BE55AE">
              <w:rPr>
                <w:noProof/>
                <w:webHidden/>
              </w:rPr>
              <w:tab/>
            </w:r>
            <w:r w:rsidR="00BE55AE">
              <w:rPr>
                <w:noProof/>
                <w:webHidden/>
              </w:rPr>
              <w:fldChar w:fldCharType="begin"/>
            </w:r>
            <w:r w:rsidR="00BE55AE">
              <w:rPr>
                <w:noProof/>
                <w:webHidden/>
              </w:rPr>
              <w:instrText xml:space="preserve"> PAGEREF _Toc477190208 \h </w:instrText>
            </w:r>
            <w:r w:rsidR="00BE55AE">
              <w:rPr>
                <w:noProof/>
                <w:webHidden/>
              </w:rPr>
            </w:r>
            <w:r w:rsidR="00BE55AE">
              <w:rPr>
                <w:noProof/>
                <w:webHidden/>
              </w:rPr>
              <w:fldChar w:fldCharType="separate"/>
            </w:r>
            <w:r w:rsidR="00BB2E54">
              <w:rPr>
                <w:noProof/>
                <w:webHidden/>
              </w:rPr>
              <w:t>86</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09" w:history="1">
            <w:r w:rsidR="00BE55AE" w:rsidRPr="00016C79">
              <w:rPr>
                <w:rStyle w:val="Hyperlink"/>
                <w:noProof/>
              </w:rPr>
              <w:t xml:space="preserve">Section 8 Identification of the preferred option and </w:t>
            </w:r>
            <w:r w:rsidR="00BE55AE">
              <w:rPr>
                <w:rStyle w:val="Hyperlink"/>
                <w:noProof/>
              </w:rPr>
              <w:br/>
            </w:r>
            <w:r w:rsidR="00BE55AE" w:rsidRPr="00016C79">
              <w:rPr>
                <w:rStyle w:val="Hyperlink"/>
                <w:noProof/>
              </w:rPr>
              <w:t>description of its effect</w:t>
            </w:r>
            <w:r w:rsidR="00BE55AE">
              <w:rPr>
                <w:noProof/>
                <w:webHidden/>
              </w:rPr>
              <w:tab/>
            </w:r>
            <w:r w:rsidR="00BE55AE">
              <w:rPr>
                <w:noProof/>
                <w:webHidden/>
              </w:rPr>
              <w:fldChar w:fldCharType="begin"/>
            </w:r>
            <w:r w:rsidR="00BE55AE">
              <w:rPr>
                <w:noProof/>
                <w:webHidden/>
              </w:rPr>
              <w:instrText xml:space="preserve"> PAGEREF _Toc477190209 \h </w:instrText>
            </w:r>
            <w:r w:rsidR="00BE55AE">
              <w:rPr>
                <w:noProof/>
                <w:webHidden/>
              </w:rPr>
            </w:r>
            <w:r w:rsidR="00BE55AE">
              <w:rPr>
                <w:noProof/>
                <w:webHidden/>
              </w:rPr>
              <w:fldChar w:fldCharType="separate"/>
            </w:r>
            <w:r w:rsidR="00BB2E54">
              <w:rPr>
                <w:noProof/>
                <w:webHidden/>
              </w:rPr>
              <w:t>87</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10" w:history="1">
            <w:r w:rsidR="00BE55AE" w:rsidRPr="00016C79">
              <w:rPr>
                <w:rStyle w:val="Hyperlink"/>
                <w:noProof/>
              </w:rPr>
              <w:t>Section 9 Implementation plan for the preferred option</w:t>
            </w:r>
            <w:r w:rsidR="00BE55AE">
              <w:rPr>
                <w:noProof/>
                <w:webHidden/>
              </w:rPr>
              <w:tab/>
            </w:r>
            <w:r w:rsidR="00BE55AE">
              <w:rPr>
                <w:noProof/>
                <w:webHidden/>
              </w:rPr>
              <w:fldChar w:fldCharType="begin"/>
            </w:r>
            <w:r w:rsidR="00BE55AE">
              <w:rPr>
                <w:noProof/>
                <w:webHidden/>
              </w:rPr>
              <w:instrText xml:space="preserve"> PAGEREF _Toc477190210 \h </w:instrText>
            </w:r>
            <w:r w:rsidR="00BE55AE">
              <w:rPr>
                <w:noProof/>
                <w:webHidden/>
              </w:rPr>
            </w:r>
            <w:r w:rsidR="00BE55AE">
              <w:rPr>
                <w:noProof/>
                <w:webHidden/>
              </w:rPr>
              <w:fldChar w:fldCharType="separate"/>
            </w:r>
            <w:r w:rsidR="00BB2E54">
              <w:rPr>
                <w:noProof/>
                <w:webHidden/>
              </w:rPr>
              <w:t>88</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11" w:history="1">
            <w:r w:rsidR="00BE55AE" w:rsidRPr="00016C79">
              <w:rPr>
                <w:rStyle w:val="Hyperlink"/>
                <w:noProof/>
              </w:rPr>
              <w:t>Section 10 Evaluation strategy</w:t>
            </w:r>
            <w:r w:rsidR="00BE55AE">
              <w:rPr>
                <w:noProof/>
                <w:webHidden/>
              </w:rPr>
              <w:tab/>
            </w:r>
            <w:r w:rsidR="00BE55AE">
              <w:rPr>
                <w:noProof/>
                <w:webHidden/>
              </w:rPr>
              <w:fldChar w:fldCharType="begin"/>
            </w:r>
            <w:r w:rsidR="00BE55AE">
              <w:rPr>
                <w:noProof/>
                <w:webHidden/>
              </w:rPr>
              <w:instrText xml:space="preserve"> PAGEREF _Toc477190211 \h </w:instrText>
            </w:r>
            <w:r w:rsidR="00BE55AE">
              <w:rPr>
                <w:noProof/>
                <w:webHidden/>
              </w:rPr>
            </w:r>
            <w:r w:rsidR="00BE55AE">
              <w:rPr>
                <w:noProof/>
                <w:webHidden/>
              </w:rPr>
              <w:fldChar w:fldCharType="separate"/>
            </w:r>
            <w:r w:rsidR="00BB2E54">
              <w:rPr>
                <w:noProof/>
                <w:webHidden/>
              </w:rPr>
              <w:t>90</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12" w:history="1">
            <w:r w:rsidR="00BE55AE" w:rsidRPr="00016C79">
              <w:rPr>
                <w:rStyle w:val="Hyperlink"/>
                <w:noProof/>
              </w:rPr>
              <w:t>Section 11 Consultation undertaken</w:t>
            </w:r>
            <w:r w:rsidR="00BE55AE">
              <w:rPr>
                <w:noProof/>
                <w:webHidden/>
              </w:rPr>
              <w:tab/>
            </w:r>
            <w:r w:rsidR="00BE55AE">
              <w:rPr>
                <w:noProof/>
                <w:webHidden/>
              </w:rPr>
              <w:fldChar w:fldCharType="begin"/>
            </w:r>
            <w:r w:rsidR="00BE55AE">
              <w:rPr>
                <w:noProof/>
                <w:webHidden/>
              </w:rPr>
              <w:instrText xml:space="preserve"> PAGEREF _Toc477190212 \h </w:instrText>
            </w:r>
            <w:r w:rsidR="00BE55AE">
              <w:rPr>
                <w:noProof/>
                <w:webHidden/>
              </w:rPr>
            </w:r>
            <w:r w:rsidR="00BE55AE">
              <w:rPr>
                <w:noProof/>
                <w:webHidden/>
              </w:rPr>
              <w:fldChar w:fldCharType="separate"/>
            </w:r>
            <w:r w:rsidR="00BB2E54">
              <w:rPr>
                <w:noProof/>
                <w:webHidden/>
              </w:rPr>
              <w:t>91</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13" w:history="1">
            <w:r w:rsidR="00BE55AE" w:rsidRPr="00016C79">
              <w:rPr>
                <w:rStyle w:val="Hyperlink"/>
                <w:noProof/>
              </w:rPr>
              <w:t>Glossary of Terms</w:t>
            </w:r>
            <w:r w:rsidR="00BE55AE">
              <w:rPr>
                <w:noProof/>
                <w:webHidden/>
              </w:rPr>
              <w:tab/>
            </w:r>
            <w:r w:rsidR="00BE55AE">
              <w:rPr>
                <w:noProof/>
                <w:webHidden/>
              </w:rPr>
              <w:fldChar w:fldCharType="begin"/>
            </w:r>
            <w:r w:rsidR="00BE55AE">
              <w:rPr>
                <w:noProof/>
                <w:webHidden/>
              </w:rPr>
              <w:instrText xml:space="preserve"> PAGEREF _Toc477190213 \h </w:instrText>
            </w:r>
            <w:r w:rsidR="00BE55AE">
              <w:rPr>
                <w:noProof/>
                <w:webHidden/>
              </w:rPr>
            </w:r>
            <w:r w:rsidR="00BE55AE">
              <w:rPr>
                <w:noProof/>
                <w:webHidden/>
              </w:rPr>
              <w:fldChar w:fldCharType="separate"/>
            </w:r>
            <w:r w:rsidR="00BB2E54">
              <w:rPr>
                <w:noProof/>
                <w:webHidden/>
              </w:rPr>
              <w:t>92</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14" w:history="1">
            <w:r w:rsidR="00BE55AE" w:rsidRPr="00016C79">
              <w:rPr>
                <w:rStyle w:val="Hyperlink"/>
                <w:noProof/>
              </w:rPr>
              <w:t>Bibliography of References</w:t>
            </w:r>
            <w:r w:rsidR="00BE55AE">
              <w:rPr>
                <w:noProof/>
                <w:webHidden/>
              </w:rPr>
              <w:tab/>
            </w:r>
            <w:r w:rsidR="00BE55AE">
              <w:rPr>
                <w:noProof/>
                <w:webHidden/>
              </w:rPr>
              <w:fldChar w:fldCharType="begin"/>
            </w:r>
            <w:r w:rsidR="00BE55AE">
              <w:rPr>
                <w:noProof/>
                <w:webHidden/>
              </w:rPr>
              <w:instrText xml:space="preserve"> PAGEREF _Toc477190214 \h </w:instrText>
            </w:r>
            <w:r w:rsidR="00BE55AE">
              <w:rPr>
                <w:noProof/>
                <w:webHidden/>
              </w:rPr>
            </w:r>
            <w:r w:rsidR="00BE55AE">
              <w:rPr>
                <w:noProof/>
                <w:webHidden/>
              </w:rPr>
              <w:fldChar w:fldCharType="separate"/>
            </w:r>
            <w:r w:rsidR="00BB2E54">
              <w:rPr>
                <w:noProof/>
                <w:webHidden/>
              </w:rPr>
              <w:t>93</w:t>
            </w:r>
            <w:r w:rsidR="00BE55AE">
              <w:rPr>
                <w:noProof/>
                <w:webHidden/>
              </w:rPr>
              <w:fldChar w:fldCharType="end"/>
            </w:r>
          </w:hyperlink>
        </w:p>
        <w:p w:rsidR="00BE55AE" w:rsidRDefault="00BE55AE">
          <w:pPr>
            <w:rPr>
              <w:rStyle w:val="Hyperlink"/>
              <w:rFonts w:asciiTheme="majorHAnsi" w:hAnsiTheme="majorHAnsi"/>
              <w:b/>
              <w:bCs/>
              <w:noProof/>
              <w:sz w:val="24"/>
            </w:rPr>
          </w:pPr>
          <w:r>
            <w:rPr>
              <w:rStyle w:val="Hyperlink"/>
              <w:noProof/>
            </w:rPr>
            <w:br w:type="page"/>
          </w:r>
        </w:p>
        <w:p w:rsidR="00BE55AE" w:rsidRDefault="000E36A1">
          <w:pPr>
            <w:pStyle w:val="TOC1"/>
            <w:rPr>
              <w:rFonts w:asciiTheme="minorHAnsi" w:hAnsiTheme="minorHAnsi" w:cstheme="minorBidi"/>
              <w:b w:val="0"/>
              <w:bCs w:val="0"/>
              <w:noProof/>
              <w:color w:val="auto"/>
              <w:sz w:val="22"/>
              <w:lang w:eastAsia="en-AU"/>
            </w:rPr>
          </w:pPr>
          <w:hyperlink w:anchor="_Toc477190215" w:history="1">
            <w:r w:rsidR="00BE55AE" w:rsidRPr="00016C79">
              <w:rPr>
                <w:rStyle w:val="Hyperlink"/>
                <w:noProof/>
              </w:rPr>
              <w:t>Appendices</w:t>
            </w:r>
            <w:r w:rsidR="00BE55AE">
              <w:rPr>
                <w:noProof/>
                <w:webHidden/>
              </w:rPr>
              <w:tab/>
            </w:r>
            <w:r w:rsidR="00BE55AE">
              <w:rPr>
                <w:noProof/>
                <w:webHidden/>
              </w:rPr>
              <w:fldChar w:fldCharType="begin"/>
            </w:r>
            <w:r w:rsidR="00BE55AE">
              <w:rPr>
                <w:noProof/>
                <w:webHidden/>
              </w:rPr>
              <w:instrText xml:space="preserve"> PAGEREF _Toc477190215 \h </w:instrText>
            </w:r>
            <w:r w:rsidR="00BE55AE">
              <w:rPr>
                <w:noProof/>
                <w:webHidden/>
              </w:rPr>
            </w:r>
            <w:r w:rsidR="00BE55AE">
              <w:rPr>
                <w:noProof/>
                <w:webHidden/>
              </w:rPr>
              <w:fldChar w:fldCharType="separate"/>
            </w:r>
            <w:r w:rsidR="00BB2E54">
              <w:rPr>
                <w:noProof/>
                <w:webHidden/>
              </w:rPr>
              <w:t>96</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16" w:history="1">
            <w:r w:rsidR="00BE55AE" w:rsidRPr="00016C79">
              <w:rPr>
                <w:rStyle w:val="Hyperlink"/>
                <w:noProof/>
              </w:rPr>
              <w:t>Appendix 1: Legislative framework</w:t>
            </w:r>
            <w:r w:rsidR="00BE55AE">
              <w:rPr>
                <w:noProof/>
                <w:webHidden/>
              </w:rPr>
              <w:tab/>
            </w:r>
            <w:r w:rsidR="00BE55AE">
              <w:rPr>
                <w:noProof/>
                <w:webHidden/>
              </w:rPr>
              <w:fldChar w:fldCharType="begin"/>
            </w:r>
            <w:r w:rsidR="00BE55AE">
              <w:rPr>
                <w:noProof/>
                <w:webHidden/>
              </w:rPr>
              <w:instrText xml:space="preserve"> PAGEREF _Toc477190216 \h </w:instrText>
            </w:r>
            <w:r w:rsidR="00BE55AE">
              <w:rPr>
                <w:noProof/>
                <w:webHidden/>
              </w:rPr>
            </w:r>
            <w:r w:rsidR="00BE55AE">
              <w:rPr>
                <w:noProof/>
                <w:webHidden/>
              </w:rPr>
              <w:fldChar w:fldCharType="separate"/>
            </w:r>
            <w:r w:rsidR="00BB2E54">
              <w:rPr>
                <w:noProof/>
                <w:webHidden/>
              </w:rPr>
              <w:t>97</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17" w:history="1">
            <w:r w:rsidR="00BE55AE" w:rsidRPr="00016C79">
              <w:rPr>
                <w:rStyle w:val="Hyperlink"/>
                <w:noProof/>
              </w:rPr>
              <w:t>A1.1 Prevention of Cruelty to Animals Act 1986 (POCTAA)</w:t>
            </w:r>
            <w:r w:rsidR="00BE55AE">
              <w:rPr>
                <w:noProof/>
                <w:webHidden/>
              </w:rPr>
              <w:tab/>
            </w:r>
            <w:r w:rsidR="00BE55AE">
              <w:rPr>
                <w:noProof/>
                <w:webHidden/>
              </w:rPr>
              <w:fldChar w:fldCharType="begin"/>
            </w:r>
            <w:r w:rsidR="00BE55AE">
              <w:rPr>
                <w:noProof/>
                <w:webHidden/>
              </w:rPr>
              <w:instrText xml:space="preserve"> PAGEREF _Toc477190217 \h </w:instrText>
            </w:r>
            <w:r w:rsidR="00BE55AE">
              <w:rPr>
                <w:noProof/>
                <w:webHidden/>
              </w:rPr>
            </w:r>
            <w:r w:rsidR="00BE55AE">
              <w:rPr>
                <w:noProof/>
                <w:webHidden/>
              </w:rPr>
              <w:fldChar w:fldCharType="separate"/>
            </w:r>
            <w:r w:rsidR="00BB2E54">
              <w:rPr>
                <w:noProof/>
                <w:webHidden/>
              </w:rPr>
              <w:t>97</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18" w:history="1">
            <w:r w:rsidR="00BE55AE" w:rsidRPr="00016C79">
              <w:rPr>
                <w:rStyle w:val="Hyperlink"/>
                <w:noProof/>
              </w:rPr>
              <w:t>A1.2 Domestic Animals Act 1994 (DAA)</w:t>
            </w:r>
            <w:r w:rsidR="00BE55AE">
              <w:rPr>
                <w:noProof/>
                <w:webHidden/>
              </w:rPr>
              <w:tab/>
            </w:r>
            <w:r w:rsidR="00BE55AE">
              <w:rPr>
                <w:noProof/>
                <w:webHidden/>
              </w:rPr>
              <w:fldChar w:fldCharType="begin"/>
            </w:r>
            <w:r w:rsidR="00BE55AE">
              <w:rPr>
                <w:noProof/>
                <w:webHidden/>
              </w:rPr>
              <w:instrText xml:space="preserve"> PAGEREF _Toc477190218 \h </w:instrText>
            </w:r>
            <w:r w:rsidR="00BE55AE">
              <w:rPr>
                <w:noProof/>
                <w:webHidden/>
              </w:rPr>
            </w:r>
            <w:r w:rsidR="00BE55AE">
              <w:rPr>
                <w:noProof/>
                <w:webHidden/>
              </w:rPr>
              <w:fldChar w:fldCharType="separate"/>
            </w:r>
            <w:r w:rsidR="00BB2E54">
              <w:rPr>
                <w:noProof/>
                <w:webHidden/>
              </w:rPr>
              <w:t>97</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19" w:history="1">
            <w:r w:rsidR="00BE55AE" w:rsidRPr="00016C79">
              <w:rPr>
                <w:rStyle w:val="Hyperlink"/>
                <w:noProof/>
              </w:rPr>
              <w:t>A1.3 Racing Act 1958</w:t>
            </w:r>
            <w:r w:rsidR="00BE55AE">
              <w:rPr>
                <w:noProof/>
                <w:webHidden/>
              </w:rPr>
              <w:tab/>
            </w:r>
            <w:r w:rsidR="00BE55AE">
              <w:rPr>
                <w:noProof/>
                <w:webHidden/>
              </w:rPr>
              <w:fldChar w:fldCharType="begin"/>
            </w:r>
            <w:r w:rsidR="00BE55AE">
              <w:rPr>
                <w:noProof/>
                <w:webHidden/>
              </w:rPr>
              <w:instrText xml:space="preserve"> PAGEREF _Toc477190219 \h </w:instrText>
            </w:r>
            <w:r w:rsidR="00BE55AE">
              <w:rPr>
                <w:noProof/>
                <w:webHidden/>
              </w:rPr>
            </w:r>
            <w:r w:rsidR="00BE55AE">
              <w:rPr>
                <w:noProof/>
                <w:webHidden/>
              </w:rPr>
              <w:fldChar w:fldCharType="separate"/>
            </w:r>
            <w:r w:rsidR="00BB2E54">
              <w:rPr>
                <w:noProof/>
                <w:webHidden/>
              </w:rPr>
              <w:t>98</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20" w:history="1">
            <w:r w:rsidR="00BE55AE" w:rsidRPr="00016C79">
              <w:rPr>
                <w:rStyle w:val="Hyperlink"/>
                <w:noProof/>
              </w:rPr>
              <w:t>A1.4 Greyhound Racing Victoria (GRV) - Local Rules</w:t>
            </w:r>
            <w:r w:rsidR="00BE55AE">
              <w:rPr>
                <w:noProof/>
                <w:webHidden/>
              </w:rPr>
              <w:tab/>
            </w:r>
            <w:r w:rsidR="00BE55AE">
              <w:rPr>
                <w:noProof/>
                <w:webHidden/>
              </w:rPr>
              <w:fldChar w:fldCharType="begin"/>
            </w:r>
            <w:r w:rsidR="00BE55AE">
              <w:rPr>
                <w:noProof/>
                <w:webHidden/>
              </w:rPr>
              <w:instrText xml:space="preserve"> PAGEREF _Toc477190220 \h </w:instrText>
            </w:r>
            <w:r w:rsidR="00BE55AE">
              <w:rPr>
                <w:noProof/>
                <w:webHidden/>
              </w:rPr>
            </w:r>
            <w:r w:rsidR="00BE55AE">
              <w:rPr>
                <w:noProof/>
                <w:webHidden/>
              </w:rPr>
              <w:fldChar w:fldCharType="separate"/>
            </w:r>
            <w:r w:rsidR="00BB2E54">
              <w:rPr>
                <w:noProof/>
                <w:webHidden/>
              </w:rPr>
              <w:t>98</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21" w:history="1">
            <w:r w:rsidR="00BE55AE" w:rsidRPr="00016C79">
              <w:rPr>
                <w:rStyle w:val="Hyperlink"/>
                <w:noProof/>
              </w:rPr>
              <w:t>A1.5 Greyhounds Australasia, Greyhound Australasia Rules</w:t>
            </w:r>
            <w:r w:rsidR="00BE55AE">
              <w:rPr>
                <w:noProof/>
                <w:webHidden/>
              </w:rPr>
              <w:tab/>
            </w:r>
            <w:r w:rsidR="00BE55AE">
              <w:rPr>
                <w:noProof/>
                <w:webHidden/>
              </w:rPr>
              <w:fldChar w:fldCharType="begin"/>
            </w:r>
            <w:r w:rsidR="00BE55AE">
              <w:rPr>
                <w:noProof/>
                <w:webHidden/>
              </w:rPr>
              <w:instrText xml:space="preserve"> PAGEREF _Toc477190221 \h </w:instrText>
            </w:r>
            <w:r w:rsidR="00BE55AE">
              <w:rPr>
                <w:noProof/>
                <w:webHidden/>
              </w:rPr>
            </w:r>
            <w:r w:rsidR="00BE55AE">
              <w:rPr>
                <w:noProof/>
                <w:webHidden/>
              </w:rPr>
              <w:fldChar w:fldCharType="separate"/>
            </w:r>
            <w:r w:rsidR="00BB2E54">
              <w:rPr>
                <w:noProof/>
                <w:webHidden/>
              </w:rPr>
              <w:t>99</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22" w:history="1">
            <w:r w:rsidR="00BE55AE" w:rsidRPr="00016C79">
              <w:rPr>
                <w:rStyle w:val="Hyperlink"/>
                <w:noProof/>
              </w:rPr>
              <w:t>A1.6 Code of Practice for the Operation of Greyhound Establishments</w:t>
            </w:r>
            <w:r w:rsidR="00BE55AE">
              <w:rPr>
                <w:noProof/>
                <w:webHidden/>
              </w:rPr>
              <w:tab/>
            </w:r>
            <w:r w:rsidR="00BE55AE">
              <w:rPr>
                <w:noProof/>
                <w:webHidden/>
              </w:rPr>
              <w:fldChar w:fldCharType="begin"/>
            </w:r>
            <w:r w:rsidR="00BE55AE">
              <w:rPr>
                <w:noProof/>
                <w:webHidden/>
              </w:rPr>
              <w:instrText xml:space="preserve"> PAGEREF _Toc477190222 \h </w:instrText>
            </w:r>
            <w:r w:rsidR="00BE55AE">
              <w:rPr>
                <w:noProof/>
                <w:webHidden/>
              </w:rPr>
            </w:r>
            <w:r w:rsidR="00BE55AE">
              <w:rPr>
                <w:noProof/>
                <w:webHidden/>
              </w:rPr>
              <w:fldChar w:fldCharType="separate"/>
            </w:r>
            <w:r w:rsidR="00BB2E54">
              <w:rPr>
                <w:noProof/>
                <w:webHidden/>
              </w:rPr>
              <w:t>99</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23" w:history="1">
            <w:r w:rsidR="00BE55AE" w:rsidRPr="00016C79">
              <w:rPr>
                <w:rStyle w:val="Hyperlink"/>
                <w:noProof/>
              </w:rPr>
              <w:t>Appendix 2: Lack of content and coverage of current Code</w:t>
            </w:r>
            <w:r w:rsidR="00BE55AE">
              <w:rPr>
                <w:noProof/>
                <w:webHidden/>
              </w:rPr>
              <w:tab/>
            </w:r>
            <w:r w:rsidR="00BE55AE">
              <w:rPr>
                <w:noProof/>
                <w:webHidden/>
              </w:rPr>
              <w:fldChar w:fldCharType="begin"/>
            </w:r>
            <w:r w:rsidR="00BE55AE">
              <w:rPr>
                <w:noProof/>
                <w:webHidden/>
              </w:rPr>
              <w:instrText xml:space="preserve"> PAGEREF _Toc477190223 \h </w:instrText>
            </w:r>
            <w:r w:rsidR="00BE55AE">
              <w:rPr>
                <w:noProof/>
                <w:webHidden/>
              </w:rPr>
            </w:r>
            <w:r w:rsidR="00BE55AE">
              <w:rPr>
                <w:noProof/>
                <w:webHidden/>
              </w:rPr>
              <w:fldChar w:fldCharType="separate"/>
            </w:r>
            <w:r w:rsidR="00BB2E54">
              <w:rPr>
                <w:noProof/>
                <w:webHidden/>
              </w:rPr>
              <w:t>101</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24" w:history="1">
            <w:r w:rsidR="00BE55AE" w:rsidRPr="00016C79">
              <w:rPr>
                <w:rStyle w:val="Hyperlink"/>
                <w:noProof/>
              </w:rPr>
              <w:t>Appendix 3:</w:t>
            </w:r>
            <w:r w:rsidR="007B521C">
              <w:rPr>
                <w:rStyle w:val="Hyperlink"/>
                <w:noProof/>
              </w:rPr>
              <w:t xml:space="preserve"> </w:t>
            </w:r>
            <w:r w:rsidR="00BE55AE" w:rsidRPr="00016C79">
              <w:rPr>
                <w:rStyle w:val="Hyperlink"/>
                <w:noProof/>
              </w:rPr>
              <w:t>Salaries and charge out rates used for estimating time costs</w:t>
            </w:r>
            <w:r w:rsidR="00BE55AE">
              <w:rPr>
                <w:noProof/>
                <w:webHidden/>
              </w:rPr>
              <w:tab/>
            </w:r>
            <w:r w:rsidR="00BE55AE">
              <w:rPr>
                <w:noProof/>
                <w:webHidden/>
              </w:rPr>
              <w:fldChar w:fldCharType="begin"/>
            </w:r>
            <w:r w:rsidR="00BE55AE">
              <w:rPr>
                <w:noProof/>
                <w:webHidden/>
              </w:rPr>
              <w:instrText xml:space="preserve"> PAGEREF _Toc477190224 \h </w:instrText>
            </w:r>
            <w:r w:rsidR="00BE55AE">
              <w:rPr>
                <w:noProof/>
                <w:webHidden/>
              </w:rPr>
            </w:r>
            <w:r w:rsidR="00BE55AE">
              <w:rPr>
                <w:noProof/>
                <w:webHidden/>
              </w:rPr>
              <w:fldChar w:fldCharType="separate"/>
            </w:r>
            <w:r w:rsidR="00BB2E54">
              <w:rPr>
                <w:noProof/>
                <w:webHidden/>
              </w:rPr>
              <w:t>102</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25" w:history="1">
            <w:r w:rsidR="00BE55AE" w:rsidRPr="00016C79">
              <w:rPr>
                <w:rStyle w:val="Hyperlink"/>
                <w:noProof/>
              </w:rPr>
              <w:t>Appendix 4:</w:t>
            </w:r>
            <w:r w:rsidR="007B521C">
              <w:rPr>
                <w:rStyle w:val="Hyperlink"/>
                <w:noProof/>
              </w:rPr>
              <w:t xml:space="preserve"> </w:t>
            </w:r>
            <w:r w:rsidR="00BE55AE" w:rsidRPr="00016C79">
              <w:rPr>
                <w:rStyle w:val="Hyperlink"/>
                <w:noProof/>
              </w:rPr>
              <w:t xml:space="preserve">Estimation of quantifiable costs and dogs </w:t>
            </w:r>
            <w:r w:rsidR="00BE55AE">
              <w:rPr>
                <w:rStyle w:val="Hyperlink"/>
                <w:noProof/>
              </w:rPr>
              <w:br/>
            </w:r>
            <w:r w:rsidR="00BE55AE" w:rsidRPr="00016C79">
              <w:rPr>
                <w:rStyle w:val="Hyperlink"/>
                <w:noProof/>
              </w:rPr>
              <w:t>affected under Options 1 to 6</w:t>
            </w:r>
            <w:r w:rsidR="00BE55AE">
              <w:rPr>
                <w:noProof/>
                <w:webHidden/>
              </w:rPr>
              <w:tab/>
            </w:r>
            <w:r w:rsidR="00BE55AE">
              <w:rPr>
                <w:noProof/>
                <w:webHidden/>
              </w:rPr>
              <w:fldChar w:fldCharType="begin"/>
            </w:r>
            <w:r w:rsidR="00BE55AE">
              <w:rPr>
                <w:noProof/>
                <w:webHidden/>
              </w:rPr>
              <w:instrText xml:space="preserve"> PAGEREF _Toc477190225 \h </w:instrText>
            </w:r>
            <w:r w:rsidR="00BE55AE">
              <w:rPr>
                <w:noProof/>
                <w:webHidden/>
              </w:rPr>
            </w:r>
            <w:r w:rsidR="00BE55AE">
              <w:rPr>
                <w:noProof/>
                <w:webHidden/>
              </w:rPr>
              <w:fldChar w:fldCharType="separate"/>
            </w:r>
            <w:r w:rsidR="00BB2E54">
              <w:rPr>
                <w:noProof/>
                <w:webHidden/>
              </w:rPr>
              <w:t>103</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26" w:history="1">
            <w:r w:rsidR="00BE55AE" w:rsidRPr="00016C79">
              <w:rPr>
                <w:rStyle w:val="Hyperlink"/>
                <w:noProof/>
              </w:rPr>
              <w:t>A4.1 Introduction</w:t>
            </w:r>
            <w:r w:rsidR="00BE55AE">
              <w:rPr>
                <w:noProof/>
                <w:webHidden/>
              </w:rPr>
              <w:tab/>
            </w:r>
            <w:r w:rsidR="00BE55AE">
              <w:rPr>
                <w:noProof/>
                <w:webHidden/>
              </w:rPr>
              <w:fldChar w:fldCharType="begin"/>
            </w:r>
            <w:r w:rsidR="00BE55AE">
              <w:rPr>
                <w:noProof/>
                <w:webHidden/>
              </w:rPr>
              <w:instrText xml:space="preserve"> PAGEREF _Toc477190226 \h </w:instrText>
            </w:r>
            <w:r w:rsidR="00BE55AE">
              <w:rPr>
                <w:noProof/>
                <w:webHidden/>
              </w:rPr>
            </w:r>
            <w:r w:rsidR="00BE55AE">
              <w:rPr>
                <w:noProof/>
                <w:webHidden/>
              </w:rPr>
              <w:fldChar w:fldCharType="separate"/>
            </w:r>
            <w:r w:rsidR="00BB2E54">
              <w:rPr>
                <w:noProof/>
                <w:webHidden/>
              </w:rPr>
              <w:t>103</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27" w:history="1">
            <w:r w:rsidR="00BE55AE" w:rsidRPr="00016C79">
              <w:rPr>
                <w:rStyle w:val="Hyperlink"/>
                <w:noProof/>
              </w:rPr>
              <w:t xml:space="preserve">A4.1 Description of options and compliance rates and expected changes </w:t>
            </w:r>
            <w:r w:rsidR="00BE55AE">
              <w:rPr>
                <w:rStyle w:val="Hyperlink"/>
                <w:noProof/>
              </w:rPr>
              <w:br/>
            </w:r>
            <w:r w:rsidR="00BE55AE" w:rsidRPr="00016C79">
              <w:rPr>
                <w:rStyle w:val="Hyperlink"/>
                <w:noProof/>
              </w:rPr>
              <w:t>in behaviour under each option</w:t>
            </w:r>
            <w:r w:rsidR="00BE55AE">
              <w:rPr>
                <w:noProof/>
                <w:webHidden/>
              </w:rPr>
              <w:tab/>
            </w:r>
            <w:r w:rsidR="00BE55AE">
              <w:rPr>
                <w:noProof/>
                <w:webHidden/>
              </w:rPr>
              <w:fldChar w:fldCharType="begin"/>
            </w:r>
            <w:r w:rsidR="00BE55AE">
              <w:rPr>
                <w:noProof/>
                <w:webHidden/>
              </w:rPr>
              <w:instrText xml:space="preserve"> PAGEREF _Toc477190227 \h </w:instrText>
            </w:r>
            <w:r w:rsidR="00BE55AE">
              <w:rPr>
                <w:noProof/>
                <w:webHidden/>
              </w:rPr>
            </w:r>
            <w:r w:rsidR="00BE55AE">
              <w:rPr>
                <w:noProof/>
                <w:webHidden/>
              </w:rPr>
              <w:fldChar w:fldCharType="separate"/>
            </w:r>
            <w:r w:rsidR="00BB2E54">
              <w:rPr>
                <w:noProof/>
                <w:webHidden/>
              </w:rPr>
              <w:t>103</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28" w:history="1">
            <w:r w:rsidR="00BE55AE" w:rsidRPr="00016C79">
              <w:rPr>
                <w:rStyle w:val="Hyperlink"/>
                <w:noProof/>
              </w:rPr>
              <w:t xml:space="preserve">A4.2 – Estimation of unique cost item – Media/information campaign </w:t>
            </w:r>
            <w:r w:rsidR="00BE55AE">
              <w:rPr>
                <w:rStyle w:val="Hyperlink"/>
                <w:noProof/>
              </w:rPr>
              <w:br/>
            </w:r>
            <w:r w:rsidR="00BE55AE" w:rsidRPr="00016C79">
              <w:rPr>
                <w:rStyle w:val="Hyperlink"/>
                <w:noProof/>
              </w:rPr>
              <w:t>(related to Option 1 only)</w:t>
            </w:r>
            <w:r w:rsidR="00BE55AE">
              <w:rPr>
                <w:noProof/>
                <w:webHidden/>
              </w:rPr>
              <w:tab/>
            </w:r>
            <w:r w:rsidR="00BE55AE">
              <w:rPr>
                <w:noProof/>
                <w:webHidden/>
              </w:rPr>
              <w:fldChar w:fldCharType="begin"/>
            </w:r>
            <w:r w:rsidR="00BE55AE">
              <w:rPr>
                <w:noProof/>
                <w:webHidden/>
              </w:rPr>
              <w:instrText xml:space="preserve"> PAGEREF _Toc477190228 \h </w:instrText>
            </w:r>
            <w:r w:rsidR="00BE55AE">
              <w:rPr>
                <w:noProof/>
                <w:webHidden/>
              </w:rPr>
            </w:r>
            <w:r w:rsidR="00BE55AE">
              <w:rPr>
                <w:noProof/>
                <w:webHidden/>
              </w:rPr>
              <w:fldChar w:fldCharType="separate"/>
            </w:r>
            <w:r w:rsidR="00BB2E54">
              <w:rPr>
                <w:noProof/>
                <w:webHidden/>
              </w:rPr>
              <w:t>106</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29" w:history="1">
            <w:r w:rsidR="00BE55AE" w:rsidRPr="00016C79">
              <w:rPr>
                <w:rStyle w:val="Hyperlink"/>
                <w:noProof/>
              </w:rPr>
              <w:t xml:space="preserve">A4.3 – Estimation of unique cost item – Enforcement training for </w:t>
            </w:r>
            <w:r w:rsidR="00BE55AE">
              <w:rPr>
                <w:rStyle w:val="Hyperlink"/>
                <w:noProof/>
              </w:rPr>
              <w:br/>
            </w:r>
            <w:r w:rsidR="00BE55AE" w:rsidRPr="00016C79">
              <w:rPr>
                <w:rStyle w:val="Hyperlink"/>
                <w:noProof/>
              </w:rPr>
              <w:t>local government (related to Option 4 only)</w:t>
            </w:r>
            <w:r w:rsidR="00BE55AE">
              <w:rPr>
                <w:noProof/>
                <w:webHidden/>
              </w:rPr>
              <w:tab/>
            </w:r>
            <w:r w:rsidR="00BE55AE">
              <w:rPr>
                <w:noProof/>
                <w:webHidden/>
              </w:rPr>
              <w:fldChar w:fldCharType="begin"/>
            </w:r>
            <w:r w:rsidR="00BE55AE">
              <w:rPr>
                <w:noProof/>
                <w:webHidden/>
              </w:rPr>
              <w:instrText xml:space="preserve"> PAGEREF _Toc477190229 \h </w:instrText>
            </w:r>
            <w:r w:rsidR="00BE55AE">
              <w:rPr>
                <w:noProof/>
                <w:webHidden/>
              </w:rPr>
            </w:r>
            <w:r w:rsidR="00BE55AE">
              <w:rPr>
                <w:noProof/>
                <w:webHidden/>
              </w:rPr>
              <w:fldChar w:fldCharType="separate"/>
            </w:r>
            <w:r w:rsidR="00BB2E54">
              <w:rPr>
                <w:noProof/>
                <w:webHidden/>
              </w:rPr>
              <w:t>106</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30" w:history="1">
            <w:r w:rsidR="00BE55AE" w:rsidRPr="00016C79">
              <w:rPr>
                <w:rStyle w:val="Hyperlink"/>
                <w:noProof/>
              </w:rPr>
              <w:t xml:space="preserve">A4.3 – Estimation of costs and dogs affected by proposed standard 3.1 </w:t>
            </w:r>
            <w:r w:rsidR="00BE55AE">
              <w:rPr>
                <w:rStyle w:val="Hyperlink"/>
                <w:noProof/>
              </w:rPr>
              <w:br/>
            </w:r>
            <w:r w:rsidR="00BE55AE" w:rsidRPr="00016C79">
              <w:rPr>
                <w:rStyle w:val="Hyperlink"/>
                <w:noProof/>
              </w:rPr>
              <w:t>(Staff Ratio 1:25) – Options 1 to 6</w:t>
            </w:r>
            <w:r w:rsidR="00BE55AE">
              <w:rPr>
                <w:noProof/>
                <w:webHidden/>
              </w:rPr>
              <w:tab/>
            </w:r>
            <w:r w:rsidR="00BE55AE">
              <w:rPr>
                <w:noProof/>
                <w:webHidden/>
              </w:rPr>
              <w:fldChar w:fldCharType="begin"/>
            </w:r>
            <w:r w:rsidR="00BE55AE">
              <w:rPr>
                <w:noProof/>
                <w:webHidden/>
              </w:rPr>
              <w:instrText xml:space="preserve"> PAGEREF _Toc477190230 \h </w:instrText>
            </w:r>
            <w:r w:rsidR="00BE55AE">
              <w:rPr>
                <w:noProof/>
                <w:webHidden/>
              </w:rPr>
            </w:r>
            <w:r w:rsidR="00BE55AE">
              <w:rPr>
                <w:noProof/>
                <w:webHidden/>
              </w:rPr>
              <w:fldChar w:fldCharType="separate"/>
            </w:r>
            <w:r w:rsidR="00BB2E54">
              <w:rPr>
                <w:noProof/>
                <w:webHidden/>
              </w:rPr>
              <w:t>107</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31" w:history="1">
            <w:r w:rsidR="00BE55AE" w:rsidRPr="00016C79">
              <w:rPr>
                <w:rStyle w:val="Hyperlink"/>
                <w:noProof/>
              </w:rPr>
              <w:t xml:space="preserve">A4.4 – Estimation of costs and dogs affected by proposed standard 3.6 </w:t>
            </w:r>
            <w:r w:rsidR="00BE55AE">
              <w:rPr>
                <w:rStyle w:val="Hyperlink"/>
                <w:noProof/>
              </w:rPr>
              <w:br/>
            </w:r>
            <w:r w:rsidR="00BE55AE" w:rsidRPr="00016C79">
              <w:rPr>
                <w:rStyle w:val="Hyperlink"/>
                <w:noProof/>
              </w:rPr>
              <w:t>(Independent Vet) – Options 1 to 6</w:t>
            </w:r>
            <w:r w:rsidR="00BE55AE">
              <w:rPr>
                <w:noProof/>
                <w:webHidden/>
              </w:rPr>
              <w:tab/>
            </w:r>
            <w:r w:rsidR="00BE55AE">
              <w:rPr>
                <w:noProof/>
                <w:webHidden/>
              </w:rPr>
              <w:fldChar w:fldCharType="begin"/>
            </w:r>
            <w:r w:rsidR="00BE55AE">
              <w:rPr>
                <w:noProof/>
                <w:webHidden/>
              </w:rPr>
              <w:instrText xml:space="preserve"> PAGEREF _Toc477190231 \h </w:instrText>
            </w:r>
            <w:r w:rsidR="00BE55AE">
              <w:rPr>
                <w:noProof/>
                <w:webHidden/>
              </w:rPr>
            </w:r>
            <w:r w:rsidR="00BE55AE">
              <w:rPr>
                <w:noProof/>
                <w:webHidden/>
              </w:rPr>
              <w:fldChar w:fldCharType="separate"/>
            </w:r>
            <w:r w:rsidR="00BB2E54">
              <w:rPr>
                <w:noProof/>
                <w:webHidden/>
              </w:rPr>
              <w:t>108</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32" w:history="1">
            <w:r w:rsidR="00BE55AE" w:rsidRPr="00016C79">
              <w:rPr>
                <w:rStyle w:val="Hyperlink"/>
                <w:noProof/>
              </w:rPr>
              <w:t xml:space="preserve">A4.5 – Estimation of costs and dogs affected by proposed standard 4.1 </w:t>
            </w:r>
            <w:r w:rsidR="00BE55AE">
              <w:rPr>
                <w:rStyle w:val="Hyperlink"/>
                <w:noProof/>
              </w:rPr>
              <w:br/>
            </w:r>
            <w:r w:rsidR="00BE55AE" w:rsidRPr="00016C79">
              <w:rPr>
                <w:rStyle w:val="Hyperlink"/>
                <w:noProof/>
              </w:rPr>
              <w:t>(Health management plans) – Options 1 to 6</w:t>
            </w:r>
            <w:r w:rsidR="00BE55AE">
              <w:rPr>
                <w:noProof/>
                <w:webHidden/>
              </w:rPr>
              <w:tab/>
            </w:r>
            <w:r w:rsidR="00BE55AE">
              <w:rPr>
                <w:noProof/>
                <w:webHidden/>
              </w:rPr>
              <w:fldChar w:fldCharType="begin"/>
            </w:r>
            <w:r w:rsidR="00BE55AE">
              <w:rPr>
                <w:noProof/>
                <w:webHidden/>
              </w:rPr>
              <w:instrText xml:space="preserve"> PAGEREF _Toc477190232 \h </w:instrText>
            </w:r>
            <w:r w:rsidR="00BE55AE">
              <w:rPr>
                <w:noProof/>
                <w:webHidden/>
              </w:rPr>
            </w:r>
            <w:r w:rsidR="00BE55AE">
              <w:rPr>
                <w:noProof/>
                <w:webHidden/>
              </w:rPr>
              <w:fldChar w:fldCharType="separate"/>
            </w:r>
            <w:r w:rsidR="00BB2E54">
              <w:rPr>
                <w:noProof/>
                <w:webHidden/>
              </w:rPr>
              <w:t>109</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33" w:history="1">
            <w:r w:rsidR="00BE55AE" w:rsidRPr="00016C79">
              <w:rPr>
                <w:rStyle w:val="Hyperlink"/>
                <w:noProof/>
              </w:rPr>
              <w:t xml:space="preserve">A4.6 – Estimation of costs and dogs affected by proposed standard 5 </w:t>
            </w:r>
            <w:r w:rsidR="00BE55AE">
              <w:rPr>
                <w:rStyle w:val="Hyperlink"/>
                <w:noProof/>
              </w:rPr>
              <w:br/>
            </w:r>
            <w:r w:rsidR="00BE55AE" w:rsidRPr="00016C79">
              <w:rPr>
                <w:rStyle w:val="Hyperlink"/>
                <w:noProof/>
              </w:rPr>
              <w:t>(Record keeping) – Options 1 to 6</w:t>
            </w:r>
            <w:r w:rsidR="00BE55AE">
              <w:rPr>
                <w:noProof/>
                <w:webHidden/>
              </w:rPr>
              <w:tab/>
            </w:r>
            <w:r w:rsidR="00BE55AE">
              <w:rPr>
                <w:noProof/>
                <w:webHidden/>
              </w:rPr>
              <w:fldChar w:fldCharType="begin"/>
            </w:r>
            <w:r w:rsidR="00BE55AE">
              <w:rPr>
                <w:noProof/>
                <w:webHidden/>
              </w:rPr>
              <w:instrText xml:space="preserve"> PAGEREF _Toc477190233 \h </w:instrText>
            </w:r>
            <w:r w:rsidR="00BE55AE">
              <w:rPr>
                <w:noProof/>
                <w:webHidden/>
              </w:rPr>
            </w:r>
            <w:r w:rsidR="00BE55AE">
              <w:rPr>
                <w:noProof/>
                <w:webHidden/>
              </w:rPr>
              <w:fldChar w:fldCharType="separate"/>
            </w:r>
            <w:r w:rsidR="00BB2E54">
              <w:rPr>
                <w:noProof/>
                <w:webHidden/>
              </w:rPr>
              <w:t>111</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34" w:history="1">
            <w:r w:rsidR="00BE55AE" w:rsidRPr="00016C79">
              <w:rPr>
                <w:rStyle w:val="Hyperlink"/>
                <w:noProof/>
              </w:rPr>
              <w:t xml:space="preserve">A4.7 – Estimation of costs and dogs affected by proposed standard 5.2.1 </w:t>
            </w:r>
            <w:r w:rsidR="00BE55AE">
              <w:rPr>
                <w:rStyle w:val="Hyperlink"/>
                <w:noProof/>
              </w:rPr>
              <w:br/>
            </w:r>
            <w:r w:rsidR="00BE55AE" w:rsidRPr="00016C79">
              <w:rPr>
                <w:rStyle w:val="Hyperlink"/>
                <w:noProof/>
              </w:rPr>
              <w:t>(Records of health and transfer) – Options 1 to 6</w:t>
            </w:r>
            <w:r w:rsidR="00BE55AE">
              <w:rPr>
                <w:noProof/>
                <w:webHidden/>
              </w:rPr>
              <w:tab/>
            </w:r>
            <w:r w:rsidR="00BE55AE">
              <w:rPr>
                <w:noProof/>
                <w:webHidden/>
              </w:rPr>
              <w:fldChar w:fldCharType="begin"/>
            </w:r>
            <w:r w:rsidR="00BE55AE">
              <w:rPr>
                <w:noProof/>
                <w:webHidden/>
              </w:rPr>
              <w:instrText xml:space="preserve"> PAGEREF _Toc477190234 \h </w:instrText>
            </w:r>
            <w:r w:rsidR="00BE55AE">
              <w:rPr>
                <w:noProof/>
                <w:webHidden/>
              </w:rPr>
            </w:r>
            <w:r w:rsidR="00BE55AE">
              <w:rPr>
                <w:noProof/>
                <w:webHidden/>
              </w:rPr>
              <w:fldChar w:fldCharType="separate"/>
            </w:r>
            <w:r w:rsidR="00BB2E54">
              <w:rPr>
                <w:noProof/>
                <w:webHidden/>
              </w:rPr>
              <w:t>112</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35" w:history="1">
            <w:r w:rsidR="00BE55AE" w:rsidRPr="00016C79">
              <w:rPr>
                <w:rStyle w:val="Hyperlink"/>
                <w:noProof/>
              </w:rPr>
              <w:t xml:space="preserve">A4.8 – Estimation of costs and dogs affected by proposed standard 6.1.1 </w:t>
            </w:r>
            <w:r w:rsidR="00BE55AE">
              <w:rPr>
                <w:rStyle w:val="Hyperlink"/>
                <w:noProof/>
              </w:rPr>
              <w:br/>
            </w:r>
            <w:r w:rsidR="00BE55AE" w:rsidRPr="00016C79">
              <w:rPr>
                <w:rStyle w:val="Hyperlink"/>
                <w:noProof/>
              </w:rPr>
              <w:t>(Food) – Options 1 to 6</w:t>
            </w:r>
            <w:r w:rsidR="00BE55AE">
              <w:rPr>
                <w:noProof/>
                <w:webHidden/>
              </w:rPr>
              <w:tab/>
            </w:r>
            <w:r w:rsidR="00BE55AE">
              <w:rPr>
                <w:noProof/>
                <w:webHidden/>
              </w:rPr>
              <w:fldChar w:fldCharType="begin"/>
            </w:r>
            <w:r w:rsidR="00BE55AE">
              <w:rPr>
                <w:noProof/>
                <w:webHidden/>
              </w:rPr>
              <w:instrText xml:space="preserve"> PAGEREF _Toc477190235 \h </w:instrText>
            </w:r>
            <w:r w:rsidR="00BE55AE">
              <w:rPr>
                <w:noProof/>
                <w:webHidden/>
              </w:rPr>
            </w:r>
            <w:r w:rsidR="00BE55AE">
              <w:rPr>
                <w:noProof/>
                <w:webHidden/>
              </w:rPr>
              <w:fldChar w:fldCharType="separate"/>
            </w:r>
            <w:r w:rsidR="00BB2E54">
              <w:rPr>
                <w:noProof/>
                <w:webHidden/>
              </w:rPr>
              <w:t>113</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36" w:history="1">
            <w:r w:rsidR="00BE55AE" w:rsidRPr="00016C79">
              <w:rPr>
                <w:rStyle w:val="Hyperlink"/>
                <w:noProof/>
              </w:rPr>
              <w:t>A4.8.1: Food receptacles and hygiene</w:t>
            </w:r>
            <w:r w:rsidR="00BE55AE">
              <w:rPr>
                <w:noProof/>
                <w:webHidden/>
              </w:rPr>
              <w:tab/>
            </w:r>
            <w:r w:rsidR="00BE55AE">
              <w:rPr>
                <w:noProof/>
                <w:webHidden/>
              </w:rPr>
              <w:fldChar w:fldCharType="begin"/>
            </w:r>
            <w:r w:rsidR="00BE55AE">
              <w:rPr>
                <w:noProof/>
                <w:webHidden/>
              </w:rPr>
              <w:instrText xml:space="preserve"> PAGEREF _Toc477190236 \h </w:instrText>
            </w:r>
            <w:r w:rsidR="00BE55AE">
              <w:rPr>
                <w:noProof/>
                <w:webHidden/>
              </w:rPr>
            </w:r>
            <w:r w:rsidR="00BE55AE">
              <w:rPr>
                <w:noProof/>
                <w:webHidden/>
              </w:rPr>
              <w:fldChar w:fldCharType="separate"/>
            </w:r>
            <w:r w:rsidR="00BB2E54">
              <w:rPr>
                <w:noProof/>
                <w:webHidden/>
              </w:rPr>
              <w:t>113</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37" w:history="1">
            <w:r w:rsidR="00BE55AE" w:rsidRPr="00016C79">
              <w:rPr>
                <w:rStyle w:val="Hyperlink"/>
                <w:noProof/>
              </w:rPr>
              <w:t>A4.8.2: Food storage</w:t>
            </w:r>
            <w:r w:rsidR="00BE55AE">
              <w:rPr>
                <w:noProof/>
                <w:webHidden/>
              </w:rPr>
              <w:tab/>
            </w:r>
            <w:r w:rsidR="00BE55AE">
              <w:rPr>
                <w:noProof/>
                <w:webHidden/>
              </w:rPr>
              <w:fldChar w:fldCharType="begin"/>
            </w:r>
            <w:r w:rsidR="00BE55AE">
              <w:rPr>
                <w:noProof/>
                <w:webHidden/>
              </w:rPr>
              <w:instrText xml:space="preserve"> PAGEREF _Toc477190237 \h </w:instrText>
            </w:r>
            <w:r w:rsidR="00BE55AE">
              <w:rPr>
                <w:noProof/>
                <w:webHidden/>
              </w:rPr>
            </w:r>
            <w:r w:rsidR="00BE55AE">
              <w:rPr>
                <w:noProof/>
                <w:webHidden/>
              </w:rPr>
              <w:fldChar w:fldCharType="separate"/>
            </w:r>
            <w:r w:rsidR="00BB2E54">
              <w:rPr>
                <w:noProof/>
                <w:webHidden/>
              </w:rPr>
              <w:t>114</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38" w:history="1">
            <w:r w:rsidR="00BE55AE" w:rsidRPr="00016C79">
              <w:rPr>
                <w:rStyle w:val="Hyperlink"/>
                <w:noProof/>
              </w:rPr>
              <w:t xml:space="preserve">A4.9 – Estimation of costs and dogs affected by proposed standard 6.2.3 </w:t>
            </w:r>
            <w:r w:rsidR="00BE55AE">
              <w:rPr>
                <w:rStyle w:val="Hyperlink"/>
                <w:noProof/>
              </w:rPr>
              <w:br/>
            </w:r>
            <w:r w:rsidR="00BE55AE" w:rsidRPr="00016C79">
              <w:rPr>
                <w:rStyle w:val="Hyperlink"/>
                <w:noProof/>
              </w:rPr>
              <w:t>(Health checks) – Options 1 to 6 (excluding Option 5)</w:t>
            </w:r>
            <w:r w:rsidR="00BE55AE">
              <w:rPr>
                <w:noProof/>
                <w:webHidden/>
              </w:rPr>
              <w:tab/>
            </w:r>
            <w:r w:rsidR="00BE55AE">
              <w:rPr>
                <w:noProof/>
                <w:webHidden/>
              </w:rPr>
              <w:fldChar w:fldCharType="begin"/>
            </w:r>
            <w:r w:rsidR="00BE55AE">
              <w:rPr>
                <w:noProof/>
                <w:webHidden/>
              </w:rPr>
              <w:instrText xml:space="preserve"> PAGEREF _Toc477190238 \h </w:instrText>
            </w:r>
            <w:r w:rsidR="00BE55AE">
              <w:rPr>
                <w:noProof/>
                <w:webHidden/>
              </w:rPr>
            </w:r>
            <w:r w:rsidR="00BE55AE">
              <w:rPr>
                <w:noProof/>
                <w:webHidden/>
              </w:rPr>
              <w:fldChar w:fldCharType="separate"/>
            </w:r>
            <w:r w:rsidR="00BB2E54">
              <w:rPr>
                <w:noProof/>
                <w:webHidden/>
              </w:rPr>
              <w:t>114</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39" w:history="1">
            <w:r w:rsidR="00BE55AE" w:rsidRPr="00016C79">
              <w:rPr>
                <w:rStyle w:val="Hyperlink"/>
                <w:noProof/>
              </w:rPr>
              <w:t>A4.9.1: Health checks for breeding females</w:t>
            </w:r>
            <w:r w:rsidR="00BE55AE">
              <w:rPr>
                <w:noProof/>
                <w:webHidden/>
              </w:rPr>
              <w:tab/>
            </w:r>
            <w:r w:rsidR="00BE55AE">
              <w:rPr>
                <w:noProof/>
                <w:webHidden/>
              </w:rPr>
              <w:fldChar w:fldCharType="begin"/>
            </w:r>
            <w:r w:rsidR="00BE55AE">
              <w:rPr>
                <w:noProof/>
                <w:webHidden/>
              </w:rPr>
              <w:instrText xml:space="preserve"> PAGEREF _Toc477190239 \h </w:instrText>
            </w:r>
            <w:r w:rsidR="00BE55AE">
              <w:rPr>
                <w:noProof/>
                <w:webHidden/>
              </w:rPr>
            </w:r>
            <w:r w:rsidR="00BE55AE">
              <w:rPr>
                <w:noProof/>
                <w:webHidden/>
              </w:rPr>
              <w:fldChar w:fldCharType="separate"/>
            </w:r>
            <w:r w:rsidR="00BB2E54">
              <w:rPr>
                <w:noProof/>
                <w:webHidden/>
              </w:rPr>
              <w:t>115</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40" w:history="1">
            <w:r w:rsidR="00BE55AE" w:rsidRPr="00016C79">
              <w:rPr>
                <w:rStyle w:val="Hyperlink"/>
                <w:noProof/>
              </w:rPr>
              <w:t>A4.9.2: Health checks for all greyhounds</w:t>
            </w:r>
            <w:r w:rsidR="00BE55AE">
              <w:rPr>
                <w:noProof/>
                <w:webHidden/>
              </w:rPr>
              <w:tab/>
            </w:r>
            <w:r w:rsidR="00BE55AE">
              <w:rPr>
                <w:noProof/>
                <w:webHidden/>
              </w:rPr>
              <w:fldChar w:fldCharType="begin"/>
            </w:r>
            <w:r w:rsidR="00BE55AE">
              <w:rPr>
                <w:noProof/>
                <w:webHidden/>
              </w:rPr>
              <w:instrText xml:space="preserve"> PAGEREF _Toc477190240 \h </w:instrText>
            </w:r>
            <w:r w:rsidR="00BE55AE">
              <w:rPr>
                <w:noProof/>
                <w:webHidden/>
              </w:rPr>
            </w:r>
            <w:r w:rsidR="00BE55AE">
              <w:rPr>
                <w:noProof/>
                <w:webHidden/>
              </w:rPr>
              <w:fldChar w:fldCharType="separate"/>
            </w:r>
            <w:r w:rsidR="00BB2E54">
              <w:rPr>
                <w:noProof/>
                <w:webHidden/>
              </w:rPr>
              <w:t>116</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41" w:history="1">
            <w:r w:rsidR="00BE55AE" w:rsidRPr="00016C79">
              <w:rPr>
                <w:rStyle w:val="Hyperlink"/>
                <w:noProof/>
              </w:rPr>
              <w:t xml:space="preserve">A4.10 – Estimation of costs and dogs affected by proposed standard 6.3.9 </w:t>
            </w:r>
            <w:r w:rsidR="00BE55AE">
              <w:rPr>
                <w:rStyle w:val="Hyperlink"/>
                <w:noProof/>
              </w:rPr>
              <w:br/>
            </w:r>
            <w:r w:rsidR="00BE55AE" w:rsidRPr="00016C79">
              <w:rPr>
                <w:rStyle w:val="Hyperlink"/>
                <w:noProof/>
              </w:rPr>
              <w:t>(Rearing) – Options 1 to 6</w:t>
            </w:r>
            <w:r w:rsidR="00BE55AE">
              <w:rPr>
                <w:noProof/>
                <w:webHidden/>
              </w:rPr>
              <w:tab/>
            </w:r>
            <w:r w:rsidR="00BE55AE">
              <w:rPr>
                <w:noProof/>
                <w:webHidden/>
              </w:rPr>
              <w:fldChar w:fldCharType="begin"/>
            </w:r>
            <w:r w:rsidR="00BE55AE">
              <w:rPr>
                <w:noProof/>
                <w:webHidden/>
              </w:rPr>
              <w:instrText xml:space="preserve"> PAGEREF _Toc477190241 \h </w:instrText>
            </w:r>
            <w:r w:rsidR="00BE55AE">
              <w:rPr>
                <w:noProof/>
                <w:webHidden/>
              </w:rPr>
            </w:r>
            <w:r w:rsidR="00BE55AE">
              <w:rPr>
                <w:noProof/>
                <w:webHidden/>
              </w:rPr>
              <w:fldChar w:fldCharType="separate"/>
            </w:r>
            <w:r w:rsidR="00BB2E54">
              <w:rPr>
                <w:noProof/>
                <w:webHidden/>
              </w:rPr>
              <w:t>117</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42" w:history="1">
            <w:r w:rsidR="00BE55AE" w:rsidRPr="00016C79">
              <w:rPr>
                <w:rStyle w:val="Hyperlink"/>
                <w:noProof/>
              </w:rPr>
              <w:t>A4.10.1: Rearing (8 to 16 weeks)</w:t>
            </w:r>
            <w:r w:rsidR="00BE55AE">
              <w:rPr>
                <w:noProof/>
                <w:webHidden/>
              </w:rPr>
              <w:tab/>
            </w:r>
            <w:r w:rsidR="00BE55AE">
              <w:rPr>
                <w:noProof/>
                <w:webHidden/>
              </w:rPr>
              <w:fldChar w:fldCharType="begin"/>
            </w:r>
            <w:r w:rsidR="00BE55AE">
              <w:rPr>
                <w:noProof/>
                <w:webHidden/>
              </w:rPr>
              <w:instrText xml:space="preserve"> PAGEREF _Toc477190242 \h </w:instrText>
            </w:r>
            <w:r w:rsidR="00BE55AE">
              <w:rPr>
                <w:noProof/>
                <w:webHidden/>
              </w:rPr>
            </w:r>
            <w:r w:rsidR="00BE55AE">
              <w:rPr>
                <w:noProof/>
                <w:webHidden/>
              </w:rPr>
              <w:fldChar w:fldCharType="separate"/>
            </w:r>
            <w:r w:rsidR="00BB2E54">
              <w:rPr>
                <w:noProof/>
                <w:webHidden/>
              </w:rPr>
              <w:t>117</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43" w:history="1">
            <w:r w:rsidR="00BE55AE" w:rsidRPr="00016C79">
              <w:rPr>
                <w:rStyle w:val="Hyperlink"/>
                <w:noProof/>
              </w:rPr>
              <w:t>A4.10.2: Rearing (16 weeks to 18 months)</w:t>
            </w:r>
            <w:r w:rsidR="00BE55AE">
              <w:rPr>
                <w:noProof/>
                <w:webHidden/>
              </w:rPr>
              <w:tab/>
            </w:r>
            <w:r w:rsidR="00BE55AE">
              <w:rPr>
                <w:noProof/>
                <w:webHidden/>
              </w:rPr>
              <w:fldChar w:fldCharType="begin"/>
            </w:r>
            <w:r w:rsidR="00BE55AE">
              <w:rPr>
                <w:noProof/>
                <w:webHidden/>
              </w:rPr>
              <w:instrText xml:space="preserve"> PAGEREF _Toc477190243 \h </w:instrText>
            </w:r>
            <w:r w:rsidR="00BE55AE">
              <w:rPr>
                <w:noProof/>
                <w:webHidden/>
              </w:rPr>
            </w:r>
            <w:r w:rsidR="00BE55AE">
              <w:rPr>
                <w:noProof/>
                <w:webHidden/>
              </w:rPr>
              <w:fldChar w:fldCharType="separate"/>
            </w:r>
            <w:r w:rsidR="00BB2E54">
              <w:rPr>
                <w:noProof/>
                <w:webHidden/>
              </w:rPr>
              <w:t>118</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44" w:history="1">
            <w:r w:rsidR="00BE55AE" w:rsidRPr="00016C79">
              <w:rPr>
                <w:rStyle w:val="Hyperlink"/>
                <w:noProof/>
              </w:rPr>
              <w:t xml:space="preserve">A4.11 – Estimation of costs and dogs affected by proposed standard 6.3.12 </w:t>
            </w:r>
            <w:r w:rsidR="00BE55AE">
              <w:rPr>
                <w:rStyle w:val="Hyperlink"/>
                <w:noProof/>
              </w:rPr>
              <w:br/>
            </w:r>
            <w:r w:rsidR="00BE55AE" w:rsidRPr="00016C79">
              <w:rPr>
                <w:rStyle w:val="Hyperlink"/>
                <w:noProof/>
              </w:rPr>
              <w:t>(Preparing greyhound for retirement/rehoming) – Options 1 to 6</w:t>
            </w:r>
            <w:r w:rsidR="00BE55AE">
              <w:rPr>
                <w:noProof/>
                <w:webHidden/>
              </w:rPr>
              <w:tab/>
            </w:r>
            <w:r w:rsidR="00BE55AE">
              <w:rPr>
                <w:noProof/>
                <w:webHidden/>
              </w:rPr>
              <w:fldChar w:fldCharType="begin"/>
            </w:r>
            <w:r w:rsidR="00BE55AE">
              <w:rPr>
                <w:noProof/>
                <w:webHidden/>
              </w:rPr>
              <w:instrText xml:space="preserve"> PAGEREF _Toc477190244 \h </w:instrText>
            </w:r>
            <w:r w:rsidR="00BE55AE">
              <w:rPr>
                <w:noProof/>
                <w:webHidden/>
              </w:rPr>
            </w:r>
            <w:r w:rsidR="00BE55AE">
              <w:rPr>
                <w:noProof/>
                <w:webHidden/>
              </w:rPr>
              <w:fldChar w:fldCharType="separate"/>
            </w:r>
            <w:r w:rsidR="00BB2E54">
              <w:rPr>
                <w:noProof/>
                <w:webHidden/>
              </w:rPr>
              <w:t>121</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45" w:history="1">
            <w:r w:rsidR="00BE55AE" w:rsidRPr="00016C79">
              <w:rPr>
                <w:rStyle w:val="Hyperlink"/>
                <w:noProof/>
              </w:rPr>
              <w:t xml:space="preserve">A4.11.1 Incremental cost savings for owners under proposed standard 6.3.12 </w:t>
            </w:r>
            <w:r w:rsidR="00BE55AE">
              <w:rPr>
                <w:rStyle w:val="Hyperlink"/>
                <w:noProof/>
              </w:rPr>
              <w:br/>
            </w:r>
            <w:r w:rsidR="00BE55AE" w:rsidRPr="00016C79">
              <w:rPr>
                <w:rStyle w:val="Hyperlink"/>
                <w:noProof/>
              </w:rPr>
              <w:t>(Options 1 to 6)</w:t>
            </w:r>
            <w:r w:rsidR="00BE55AE">
              <w:rPr>
                <w:noProof/>
                <w:webHidden/>
              </w:rPr>
              <w:tab/>
            </w:r>
            <w:r w:rsidR="00BE55AE">
              <w:rPr>
                <w:noProof/>
                <w:webHidden/>
              </w:rPr>
              <w:fldChar w:fldCharType="begin"/>
            </w:r>
            <w:r w:rsidR="00BE55AE">
              <w:rPr>
                <w:noProof/>
                <w:webHidden/>
              </w:rPr>
              <w:instrText xml:space="preserve"> PAGEREF _Toc477190245 \h </w:instrText>
            </w:r>
            <w:r w:rsidR="00BE55AE">
              <w:rPr>
                <w:noProof/>
                <w:webHidden/>
              </w:rPr>
            </w:r>
            <w:r w:rsidR="00BE55AE">
              <w:rPr>
                <w:noProof/>
                <w:webHidden/>
              </w:rPr>
              <w:fldChar w:fldCharType="separate"/>
            </w:r>
            <w:r w:rsidR="00BB2E54">
              <w:rPr>
                <w:noProof/>
                <w:webHidden/>
              </w:rPr>
              <w:t>122</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46" w:history="1">
            <w:r w:rsidR="00BE55AE" w:rsidRPr="00016C79">
              <w:rPr>
                <w:rStyle w:val="Hyperlink"/>
                <w:noProof/>
              </w:rPr>
              <w:t>A4.11.2 Incremental costs for owners under standard 6.3.12 (Options 1 to 6)</w:t>
            </w:r>
            <w:r w:rsidR="00BE55AE">
              <w:rPr>
                <w:noProof/>
                <w:webHidden/>
              </w:rPr>
              <w:tab/>
            </w:r>
            <w:r w:rsidR="00BE55AE">
              <w:rPr>
                <w:noProof/>
                <w:webHidden/>
              </w:rPr>
              <w:fldChar w:fldCharType="begin"/>
            </w:r>
            <w:r w:rsidR="00BE55AE">
              <w:rPr>
                <w:noProof/>
                <w:webHidden/>
              </w:rPr>
              <w:instrText xml:space="preserve"> PAGEREF _Toc477190246 \h </w:instrText>
            </w:r>
            <w:r w:rsidR="00BE55AE">
              <w:rPr>
                <w:noProof/>
                <w:webHidden/>
              </w:rPr>
            </w:r>
            <w:r w:rsidR="00BE55AE">
              <w:rPr>
                <w:noProof/>
                <w:webHidden/>
              </w:rPr>
              <w:fldChar w:fldCharType="separate"/>
            </w:r>
            <w:r w:rsidR="00BB2E54">
              <w:rPr>
                <w:noProof/>
                <w:webHidden/>
              </w:rPr>
              <w:t>123</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47" w:history="1">
            <w:r w:rsidR="00BE55AE" w:rsidRPr="00016C79">
              <w:rPr>
                <w:rStyle w:val="Hyperlink"/>
                <w:noProof/>
              </w:rPr>
              <w:t xml:space="preserve">A4.11.3 Incremental cost savings for GAP under proposed standard 6.3.12 </w:t>
            </w:r>
            <w:r w:rsidR="00BE55AE">
              <w:rPr>
                <w:rStyle w:val="Hyperlink"/>
                <w:noProof/>
              </w:rPr>
              <w:br/>
            </w:r>
            <w:r w:rsidR="00BE55AE" w:rsidRPr="00016C79">
              <w:rPr>
                <w:rStyle w:val="Hyperlink"/>
                <w:noProof/>
              </w:rPr>
              <w:t>(Options 1 to 6)</w:t>
            </w:r>
            <w:r w:rsidR="00BE55AE">
              <w:rPr>
                <w:noProof/>
                <w:webHidden/>
              </w:rPr>
              <w:tab/>
            </w:r>
            <w:r w:rsidR="00BE55AE">
              <w:rPr>
                <w:noProof/>
                <w:webHidden/>
              </w:rPr>
              <w:fldChar w:fldCharType="begin"/>
            </w:r>
            <w:r w:rsidR="00BE55AE">
              <w:rPr>
                <w:noProof/>
                <w:webHidden/>
              </w:rPr>
              <w:instrText xml:space="preserve"> PAGEREF _Toc477190247 \h </w:instrText>
            </w:r>
            <w:r w:rsidR="00BE55AE">
              <w:rPr>
                <w:noProof/>
                <w:webHidden/>
              </w:rPr>
            </w:r>
            <w:r w:rsidR="00BE55AE">
              <w:rPr>
                <w:noProof/>
                <w:webHidden/>
              </w:rPr>
              <w:fldChar w:fldCharType="separate"/>
            </w:r>
            <w:r w:rsidR="00BB2E54">
              <w:rPr>
                <w:noProof/>
                <w:webHidden/>
              </w:rPr>
              <w:t>125</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48" w:history="1">
            <w:r w:rsidR="00BE55AE" w:rsidRPr="00016C79">
              <w:rPr>
                <w:rStyle w:val="Hyperlink"/>
                <w:noProof/>
              </w:rPr>
              <w:t>A4.11.4 Incremental costs for GAP under proposed standard 6.3.12 (Options 1 to 6)</w:t>
            </w:r>
            <w:r w:rsidR="00BE55AE">
              <w:rPr>
                <w:noProof/>
                <w:webHidden/>
              </w:rPr>
              <w:tab/>
            </w:r>
            <w:r w:rsidR="00BE55AE">
              <w:rPr>
                <w:noProof/>
                <w:webHidden/>
              </w:rPr>
              <w:fldChar w:fldCharType="begin"/>
            </w:r>
            <w:r w:rsidR="00BE55AE">
              <w:rPr>
                <w:noProof/>
                <w:webHidden/>
              </w:rPr>
              <w:instrText xml:space="preserve"> PAGEREF _Toc477190248 \h </w:instrText>
            </w:r>
            <w:r w:rsidR="00BE55AE">
              <w:rPr>
                <w:noProof/>
                <w:webHidden/>
              </w:rPr>
            </w:r>
            <w:r w:rsidR="00BE55AE">
              <w:rPr>
                <w:noProof/>
                <w:webHidden/>
              </w:rPr>
              <w:fldChar w:fldCharType="separate"/>
            </w:r>
            <w:r w:rsidR="00BB2E54">
              <w:rPr>
                <w:noProof/>
                <w:webHidden/>
              </w:rPr>
              <w:t>125</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49" w:history="1">
            <w:r w:rsidR="00BE55AE" w:rsidRPr="00016C79">
              <w:rPr>
                <w:rStyle w:val="Hyperlink"/>
                <w:noProof/>
              </w:rPr>
              <w:t xml:space="preserve">A4.12 – Estimation of costs and dogs affected by proposed standard 6.6.4 </w:t>
            </w:r>
            <w:r w:rsidR="00BE55AE">
              <w:rPr>
                <w:rStyle w:val="Hyperlink"/>
                <w:noProof/>
              </w:rPr>
              <w:br/>
            </w:r>
            <w:r w:rsidR="00BE55AE" w:rsidRPr="00016C79">
              <w:rPr>
                <w:rStyle w:val="Hyperlink"/>
                <w:noProof/>
              </w:rPr>
              <w:t>(Perimeter fencing) – Options 1 to 6</w:t>
            </w:r>
            <w:r w:rsidR="00BE55AE">
              <w:rPr>
                <w:noProof/>
                <w:webHidden/>
              </w:rPr>
              <w:tab/>
            </w:r>
            <w:r w:rsidR="00BE55AE">
              <w:rPr>
                <w:noProof/>
                <w:webHidden/>
              </w:rPr>
              <w:fldChar w:fldCharType="begin"/>
            </w:r>
            <w:r w:rsidR="00BE55AE">
              <w:rPr>
                <w:noProof/>
                <w:webHidden/>
              </w:rPr>
              <w:instrText xml:space="preserve"> PAGEREF _Toc477190249 \h </w:instrText>
            </w:r>
            <w:r w:rsidR="00BE55AE">
              <w:rPr>
                <w:noProof/>
                <w:webHidden/>
              </w:rPr>
            </w:r>
            <w:r w:rsidR="00BE55AE">
              <w:rPr>
                <w:noProof/>
                <w:webHidden/>
              </w:rPr>
              <w:fldChar w:fldCharType="separate"/>
            </w:r>
            <w:r w:rsidR="00BB2E54">
              <w:rPr>
                <w:noProof/>
                <w:webHidden/>
              </w:rPr>
              <w:t>126</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50" w:history="1">
            <w:r w:rsidR="00BE55AE" w:rsidRPr="00016C79">
              <w:rPr>
                <w:rStyle w:val="Hyperlink"/>
                <w:noProof/>
              </w:rPr>
              <w:t xml:space="preserve">A4.13 – Estimation of costs and dogs affected by proposed standard 6.6.5 </w:t>
            </w:r>
            <w:r w:rsidR="00BE55AE">
              <w:rPr>
                <w:rStyle w:val="Hyperlink"/>
                <w:noProof/>
              </w:rPr>
              <w:br/>
            </w:r>
            <w:r w:rsidR="00BE55AE" w:rsidRPr="00016C79">
              <w:rPr>
                <w:rStyle w:val="Hyperlink"/>
                <w:noProof/>
              </w:rPr>
              <w:t>(Outdoor housing) – Options 1 to 6</w:t>
            </w:r>
            <w:r w:rsidR="00BE55AE">
              <w:rPr>
                <w:noProof/>
                <w:webHidden/>
              </w:rPr>
              <w:tab/>
            </w:r>
            <w:r w:rsidR="00BE55AE">
              <w:rPr>
                <w:noProof/>
                <w:webHidden/>
              </w:rPr>
              <w:fldChar w:fldCharType="begin"/>
            </w:r>
            <w:r w:rsidR="00BE55AE">
              <w:rPr>
                <w:noProof/>
                <w:webHidden/>
              </w:rPr>
              <w:instrText xml:space="preserve"> PAGEREF _Toc477190250 \h </w:instrText>
            </w:r>
            <w:r w:rsidR="00BE55AE">
              <w:rPr>
                <w:noProof/>
                <w:webHidden/>
              </w:rPr>
            </w:r>
            <w:r w:rsidR="00BE55AE">
              <w:rPr>
                <w:noProof/>
                <w:webHidden/>
              </w:rPr>
              <w:fldChar w:fldCharType="separate"/>
            </w:r>
            <w:r w:rsidR="00BB2E54">
              <w:rPr>
                <w:noProof/>
                <w:webHidden/>
              </w:rPr>
              <w:t>127</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51" w:history="1">
            <w:r w:rsidR="00BE55AE" w:rsidRPr="00016C79">
              <w:rPr>
                <w:rStyle w:val="Hyperlink"/>
                <w:noProof/>
              </w:rPr>
              <w:t xml:space="preserve">A4.14 – Estimation of costs and dogs affected by proposed standard 6.6.6 </w:t>
            </w:r>
            <w:r w:rsidR="00BE55AE">
              <w:rPr>
                <w:rStyle w:val="Hyperlink"/>
                <w:noProof/>
              </w:rPr>
              <w:br/>
            </w:r>
            <w:r w:rsidR="00BE55AE" w:rsidRPr="00016C79">
              <w:rPr>
                <w:rStyle w:val="Hyperlink"/>
                <w:noProof/>
              </w:rPr>
              <w:t>(Indoor housing) – Options 1 to 6</w:t>
            </w:r>
            <w:r w:rsidR="00BE55AE">
              <w:rPr>
                <w:noProof/>
                <w:webHidden/>
              </w:rPr>
              <w:tab/>
            </w:r>
            <w:r w:rsidR="00BE55AE">
              <w:rPr>
                <w:noProof/>
                <w:webHidden/>
              </w:rPr>
              <w:fldChar w:fldCharType="begin"/>
            </w:r>
            <w:r w:rsidR="00BE55AE">
              <w:rPr>
                <w:noProof/>
                <w:webHidden/>
              </w:rPr>
              <w:instrText xml:space="preserve"> PAGEREF _Toc477190251 \h </w:instrText>
            </w:r>
            <w:r w:rsidR="00BE55AE">
              <w:rPr>
                <w:noProof/>
                <w:webHidden/>
              </w:rPr>
            </w:r>
            <w:r w:rsidR="00BE55AE">
              <w:rPr>
                <w:noProof/>
                <w:webHidden/>
              </w:rPr>
              <w:fldChar w:fldCharType="separate"/>
            </w:r>
            <w:r w:rsidR="00BB2E54">
              <w:rPr>
                <w:noProof/>
                <w:webHidden/>
              </w:rPr>
              <w:t>129</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52" w:history="1">
            <w:r w:rsidR="00BE55AE" w:rsidRPr="00016C79">
              <w:rPr>
                <w:rStyle w:val="Hyperlink"/>
                <w:noProof/>
              </w:rPr>
              <w:t xml:space="preserve">A4.15 – Estimation of costs and dogs affected by proposed standard 7.1 </w:t>
            </w:r>
            <w:r w:rsidR="00BE55AE">
              <w:rPr>
                <w:rStyle w:val="Hyperlink"/>
                <w:noProof/>
              </w:rPr>
              <w:br/>
            </w:r>
            <w:r w:rsidR="00BE55AE" w:rsidRPr="00016C79">
              <w:rPr>
                <w:rStyle w:val="Hyperlink"/>
                <w:noProof/>
              </w:rPr>
              <w:t>(Sale and transfer of greyhounds out of industry) – Options 1 to 6</w:t>
            </w:r>
            <w:r w:rsidR="00BE55AE">
              <w:rPr>
                <w:noProof/>
                <w:webHidden/>
              </w:rPr>
              <w:tab/>
            </w:r>
            <w:r w:rsidR="00BE55AE">
              <w:rPr>
                <w:noProof/>
                <w:webHidden/>
              </w:rPr>
              <w:fldChar w:fldCharType="begin"/>
            </w:r>
            <w:r w:rsidR="00BE55AE">
              <w:rPr>
                <w:noProof/>
                <w:webHidden/>
              </w:rPr>
              <w:instrText xml:space="preserve"> PAGEREF _Toc477190252 \h </w:instrText>
            </w:r>
            <w:r w:rsidR="00BE55AE">
              <w:rPr>
                <w:noProof/>
                <w:webHidden/>
              </w:rPr>
            </w:r>
            <w:r w:rsidR="00BE55AE">
              <w:rPr>
                <w:noProof/>
                <w:webHidden/>
              </w:rPr>
              <w:fldChar w:fldCharType="separate"/>
            </w:r>
            <w:r w:rsidR="00BB2E54">
              <w:rPr>
                <w:noProof/>
                <w:webHidden/>
              </w:rPr>
              <w:t>130</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53" w:history="1">
            <w:r w:rsidR="00BE55AE" w:rsidRPr="00016C79">
              <w:rPr>
                <w:rStyle w:val="Hyperlink"/>
                <w:noProof/>
              </w:rPr>
              <w:t xml:space="preserve">A4.16 – Estimation of additional costs of industry (GRV) enforcement – </w:t>
            </w:r>
            <w:r w:rsidR="00BE55AE">
              <w:rPr>
                <w:rStyle w:val="Hyperlink"/>
                <w:noProof/>
              </w:rPr>
              <w:br/>
            </w:r>
            <w:r w:rsidR="00BE55AE" w:rsidRPr="00016C79">
              <w:rPr>
                <w:rStyle w:val="Hyperlink"/>
                <w:noProof/>
              </w:rPr>
              <w:t>Options 3, 5 and 6</w:t>
            </w:r>
            <w:r w:rsidR="00BE55AE">
              <w:rPr>
                <w:noProof/>
                <w:webHidden/>
              </w:rPr>
              <w:tab/>
            </w:r>
            <w:r w:rsidR="00BE55AE">
              <w:rPr>
                <w:noProof/>
                <w:webHidden/>
              </w:rPr>
              <w:fldChar w:fldCharType="begin"/>
            </w:r>
            <w:r w:rsidR="00BE55AE">
              <w:rPr>
                <w:noProof/>
                <w:webHidden/>
              </w:rPr>
              <w:instrText xml:space="preserve"> PAGEREF _Toc477190253 \h </w:instrText>
            </w:r>
            <w:r w:rsidR="00BE55AE">
              <w:rPr>
                <w:noProof/>
                <w:webHidden/>
              </w:rPr>
            </w:r>
            <w:r w:rsidR="00BE55AE">
              <w:rPr>
                <w:noProof/>
                <w:webHidden/>
              </w:rPr>
              <w:fldChar w:fldCharType="separate"/>
            </w:r>
            <w:r w:rsidR="00BB2E54">
              <w:rPr>
                <w:noProof/>
                <w:webHidden/>
              </w:rPr>
              <w:t>131</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54" w:history="1">
            <w:r w:rsidR="00BE55AE" w:rsidRPr="00016C79">
              <w:rPr>
                <w:rStyle w:val="Hyperlink"/>
                <w:noProof/>
              </w:rPr>
              <w:t>A4.16.1: Ongoing additional cost of enforcement staffing by GRV</w:t>
            </w:r>
            <w:r w:rsidR="00BE55AE">
              <w:rPr>
                <w:noProof/>
                <w:webHidden/>
              </w:rPr>
              <w:tab/>
            </w:r>
            <w:r w:rsidR="00BE55AE">
              <w:rPr>
                <w:noProof/>
                <w:webHidden/>
              </w:rPr>
              <w:fldChar w:fldCharType="begin"/>
            </w:r>
            <w:r w:rsidR="00BE55AE">
              <w:rPr>
                <w:noProof/>
                <w:webHidden/>
              </w:rPr>
              <w:instrText xml:space="preserve"> PAGEREF _Toc477190254 \h </w:instrText>
            </w:r>
            <w:r w:rsidR="00BE55AE">
              <w:rPr>
                <w:noProof/>
                <w:webHidden/>
              </w:rPr>
            </w:r>
            <w:r w:rsidR="00BE55AE">
              <w:rPr>
                <w:noProof/>
                <w:webHidden/>
              </w:rPr>
              <w:fldChar w:fldCharType="separate"/>
            </w:r>
            <w:r w:rsidR="00BB2E54">
              <w:rPr>
                <w:noProof/>
                <w:webHidden/>
              </w:rPr>
              <w:t>131</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55" w:history="1">
            <w:r w:rsidR="00BE55AE" w:rsidRPr="00016C79">
              <w:rPr>
                <w:rStyle w:val="Hyperlink"/>
                <w:noProof/>
              </w:rPr>
              <w:t xml:space="preserve">A4.16.2: One-off additional cost of enforcement training of GRV officers </w:t>
            </w:r>
            <w:r w:rsidR="00BE55AE">
              <w:rPr>
                <w:rStyle w:val="Hyperlink"/>
                <w:noProof/>
              </w:rPr>
              <w:br/>
            </w:r>
            <w:r w:rsidR="00BE55AE" w:rsidRPr="00016C79">
              <w:rPr>
                <w:rStyle w:val="Hyperlink"/>
                <w:noProof/>
              </w:rPr>
              <w:t>and inspectors</w:t>
            </w:r>
            <w:r w:rsidR="00BE55AE">
              <w:rPr>
                <w:noProof/>
                <w:webHidden/>
              </w:rPr>
              <w:tab/>
            </w:r>
            <w:r w:rsidR="00BE55AE">
              <w:rPr>
                <w:noProof/>
                <w:webHidden/>
              </w:rPr>
              <w:fldChar w:fldCharType="begin"/>
            </w:r>
            <w:r w:rsidR="00BE55AE">
              <w:rPr>
                <w:noProof/>
                <w:webHidden/>
              </w:rPr>
              <w:instrText xml:space="preserve"> PAGEREF _Toc477190255 \h </w:instrText>
            </w:r>
            <w:r w:rsidR="00BE55AE">
              <w:rPr>
                <w:noProof/>
                <w:webHidden/>
              </w:rPr>
            </w:r>
            <w:r w:rsidR="00BE55AE">
              <w:rPr>
                <w:noProof/>
                <w:webHidden/>
              </w:rPr>
              <w:fldChar w:fldCharType="separate"/>
            </w:r>
            <w:r w:rsidR="00BB2E54">
              <w:rPr>
                <w:noProof/>
                <w:webHidden/>
              </w:rPr>
              <w:t>132</w:t>
            </w:r>
            <w:r w:rsidR="00BE55AE">
              <w:rPr>
                <w:noProof/>
                <w:webHidden/>
              </w:rPr>
              <w:fldChar w:fldCharType="end"/>
            </w:r>
          </w:hyperlink>
        </w:p>
        <w:p w:rsidR="00BE55AE" w:rsidRDefault="000E36A1">
          <w:pPr>
            <w:pStyle w:val="TOC2"/>
            <w:rPr>
              <w:rFonts w:asciiTheme="minorHAnsi" w:hAnsiTheme="minorHAnsi" w:cstheme="minorBidi"/>
              <w:b w:val="0"/>
              <w:bCs w:val="0"/>
              <w:noProof/>
              <w:color w:val="auto"/>
              <w:lang w:eastAsia="en-AU"/>
            </w:rPr>
          </w:pPr>
          <w:hyperlink w:anchor="_Toc477190256" w:history="1">
            <w:r w:rsidR="00BE55AE" w:rsidRPr="00016C79">
              <w:rPr>
                <w:rStyle w:val="Hyperlink"/>
                <w:noProof/>
              </w:rPr>
              <w:t>A4.17 – Summary and distribution of total incremental costs -</w:t>
            </w:r>
            <w:r w:rsidR="007B521C">
              <w:rPr>
                <w:rStyle w:val="Hyperlink"/>
                <w:noProof/>
              </w:rPr>
              <w:t xml:space="preserve"> </w:t>
            </w:r>
            <w:r w:rsidR="00BE55AE" w:rsidRPr="00016C79">
              <w:rPr>
                <w:rStyle w:val="Hyperlink"/>
                <w:noProof/>
              </w:rPr>
              <w:t>Options 1 to 6</w:t>
            </w:r>
            <w:r w:rsidR="00BE55AE">
              <w:rPr>
                <w:noProof/>
                <w:webHidden/>
              </w:rPr>
              <w:tab/>
            </w:r>
            <w:r w:rsidR="00BE55AE">
              <w:rPr>
                <w:noProof/>
                <w:webHidden/>
              </w:rPr>
              <w:fldChar w:fldCharType="begin"/>
            </w:r>
            <w:r w:rsidR="00BE55AE">
              <w:rPr>
                <w:noProof/>
                <w:webHidden/>
              </w:rPr>
              <w:instrText xml:space="preserve"> PAGEREF _Toc477190256 \h </w:instrText>
            </w:r>
            <w:r w:rsidR="00BE55AE">
              <w:rPr>
                <w:noProof/>
                <w:webHidden/>
              </w:rPr>
            </w:r>
            <w:r w:rsidR="00BE55AE">
              <w:rPr>
                <w:noProof/>
                <w:webHidden/>
              </w:rPr>
              <w:fldChar w:fldCharType="separate"/>
            </w:r>
            <w:r w:rsidR="00BB2E54">
              <w:rPr>
                <w:noProof/>
                <w:webHidden/>
              </w:rPr>
              <w:t>134</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57" w:history="1">
            <w:r w:rsidR="00BE55AE" w:rsidRPr="00016C79">
              <w:rPr>
                <w:rStyle w:val="Hyperlink"/>
                <w:noProof/>
              </w:rPr>
              <w:t>A4.17.1 Summary of total incremental costs of Option 1</w:t>
            </w:r>
            <w:r w:rsidR="00BE55AE">
              <w:rPr>
                <w:noProof/>
                <w:webHidden/>
              </w:rPr>
              <w:tab/>
            </w:r>
            <w:r w:rsidR="00BE55AE">
              <w:rPr>
                <w:noProof/>
                <w:webHidden/>
              </w:rPr>
              <w:fldChar w:fldCharType="begin"/>
            </w:r>
            <w:r w:rsidR="00BE55AE">
              <w:rPr>
                <w:noProof/>
                <w:webHidden/>
              </w:rPr>
              <w:instrText xml:space="preserve"> PAGEREF _Toc477190257 \h </w:instrText>
            </w:r>
            <w:r w:rsidR="00BE55AE">
              <w:rPr>
                <w:noProof/>
                <w:webHidden/>
              </w:rPr>
            </w:r>
            <w:r w:rsidR="00BE55AE">
              <w:rPr>
                <w:noProof/>
                <w:webHidden/>
              </w:rPr>
              <w:fldChar w:fldCharType="separate"/>
            </w:r>
            <w:r w:rsidR="00BB2E54">
              <w:rPr>
                <w:noProof/>
                <w:webHidden/>
              </w:rPr>
              <w:t>134</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58" w:history="1">
            <w:r w:rsidR="00BE55AE" w:rsidRPr="00016C79">
              <w:rPr>
                <w:rStyle w:val="Hyperlink"/>
                <w:noProof/>
              </w:rPr>
              <w:t>A4.17.2 Distribution of total incremental costs of Option 1</w:t>
            </w:r>
            <w:r w:rsidR="00BE55AE">
              <w:rPr>
                <w:noProof/>
                <w:webHidden/>
              </w:rPr>
              <w:tab/>
            </w:r>
            <w:r w:rsidR="00BE55AE">
              <w:rPr>
                <w:noProof/>
                <w:webHidden/>
              </w:rPr>
              <w:fldChar w:fldCharType="begin"/>
            </w:r>
            <w:r w:rsidR="00BE55AE">
              <w:rPr>
                <w:noProof/>
                <w:webHidden/>
              </w:rPr>
              <w:instrText xml:space="preserve"> PAGEREF _Toc477190258 \h </w:instrText>
            </w:r>
            <w:r w:rsidR="00BE55AE">
              <w:rPr>
                <w:noProof/>
                <w:webHidden/>
              </w:rPr>
            </w:r>
            <w:r w:rsidR="00BE55AE">
              <w:rPr>
                <w:noProof/>
                <w:webHidden/>
              </w:rPr>
              <w:fldChar w:fldCharType="separate"/>
            </w:r>
            <w:r w:rsidR="00BB2E54">
              <w:rPr>
                <w:noProof/>
                <w:webHidden/>
              </w:rPr>
              <w:t>137</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59" w:history="1">
            <w:r w:rsidR="00BE55AE" w:rsidRPr="00016C79">
              <w:rPr>
                <w:rStyle w:val="Hyperlink"/>
                <w:noProof/>
              </w:rPr>
              <w:t>A4.17.3 Summary of total incremental costs of Option 2</w:t>
            </w:r>
            <w:r w:rsidR="00BE55AE">
              <w:rPr>
                <w:noProof/>
                <w:webHidden/>
              </w:rPr>
              <w:tab/>
            </w:r>
            <w:r w:rsidR="00BE55AE">
              <w:rPr>
                <w:noProof/>
                <w:webHidden/>
              </w:rPr>
              <w:fldChar w:fldCharType="begin"/>
            </w:r>
            <w:r w:rsidR="00BE55AE">
              <w:rPr>
                <w:noProof/>
                <w:webHidden/>
              </w:rPr>
              <w:instrText xml:space="preserve"> PAGEREF _Toc477190259 \h </w:instrText>
            </w:r>
            <w:r w:rsidR="00BE55AE">
              <w:rPr>
                <w:noProof/>
                <w:webHidden/>
              </w:rPr>
            </w:r>
            <w:r w:rsidR="00BE55AE">
              <w:rPr>
                <w:noProof/>
                <w:webHidden/>
              </w:rPr>
              <w:fldChar w:fldCharType="separate"/>
            </w:r>
            <w:r w:rsidR="00BB2E54">
              <w:rPr>
                <w:noProof/>
                <w:webHidden/>
              </w:rPr>
              <w:t>138</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60" w:history="1">
            <w:r w:rsidR="00BE55AE" w:rsidRPr="00016C79">
              <w:rPr>
                <w:rStyle w:val="Hyperlink"/>
                <w:noProof/>
              </w:rPr>
              <w:t>A4.17.4 Distribution of total incremental costs of Option 2</w:t>
            </w:r>
            <w:r w:rsidR="00BE55AE">
              <w:rPr>
                <w:noProof/>
                <w:webHidden/>
              </w:rPr>
              <w:tab/>
            </w:r>
            <w:r w:rsidR="00BE55AE">
              <w:rPr>
                <w:noProof/>
                <w:webHidden/>
              </w:rPr>
              <w:fldChar w:fldCharType="begin"/>
            </w:r>
            <w:r w:rsidR="00BE55AE">
              <w:rPr>
                <w:noProof/>
                <w:webHidden/>
              </w:rPr>
              <w:instrText xml:space="preserve"> PAGEREF _Toc477190260 \h </w:instrText>
            </w:r>
            <w:r w:rsidR="00BE55AE">
              <w:rPr>
                <w:noProof/>
                <w:webHidden/>
              </w:rPr>
            </w:r>
            <w:r w:rsidR="00BE55AE">
              <w:rPr>
                <w:noProof/>
                <w:webHidden/>
              </w:rPr>
              <w:fldChar w:fldCharType="separate"/>
            </w:r>
            <w:r w:rsidR="00BB2E54">
              <w:rPr>
                <w:noProof/>
                <w:webHidden/>
              </w:rPr>
              <w:t>141</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61" w:history="1">
            <w:r w:rsidR="00BE55AE" w:rsidRPr="00016C79">
              <w:rPr>
                <w:rStyle w:val="Hyperlink"/>
                <w:noProof/>
              </w:rPr>
              <w:t>A4.17.5 Summary of total incremental costs of Option 3</w:t>
            </w:r>
            <w:r w:rsidR="00BE55AE">
              <w:rPr>
                <w:noProof/>
                <w:webHidden/>
              </w:rPr>
              <w:tab/>
            </w:r>
            <w:r w:rsidR="00BE55AE">
              <w:rPr>
                <w:noProof/>
                <w:webHidden/>
              </w:rPr>
              <w:fldChar w:fldCharType="begin"/>
            </w:r>
            <w:r w:rsidR="00BE55AE">
              <w:rPr>
                <w:noProof/>
                <w:webHidden/>
              </w:rPr>
              <w:instrText xml:space="preserve"> PAGEREF _Toc477190261 \h </w:instrText>
            </w:r>
            <w:r w:rsidR="00BE55AE">
              <w:rPr>
                <w:noProof/>
                <w:webHidden/>
              </w:rPr>
            </w:r>
            <w:r w:rsidR="00BE55AE">
              <w:rPr>
                <w:noProof/>
                <w:webHidden/>
              </w:rPr>
              <w:fldChar w:fldCharType="separate"/>
            </w:r>
            <w:r w:rsidR="00BB2E54">
              <w:rPr>
                <w:noProof/>
                <w:webHidden/>
              </w:rPr>
              <w:t>142</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62" w:history="1">
            <w:r w:rsidR="00BE55AE" w:rsidRPr="00016C79">
              <w:rPr>
                <w:rStyle w:val="Hyperlink"/>
                <w:noProof/>
              </w:rPr>
              <w:t>A4.17.6 Distribution of total incremental costs of Option 3</w:t>
            </w:r>
            <w:r w:rsidR="00BE55AE">
              <w:rPr>
                <w:noProof/>
                <w:webHidden/>
              </w:rPr>
              <w:tab/>
            </w:r>
            <w:r w:rsidR="00BE55AE">
              <w:rPr>
                <w:noProof/>
                <w:webHidden/>
              </w:rPr>
              <w:fldChar w:fldCharType="begin"/>
            </w:r>
            <w:r w:rsidR="00BE55AE">
              <w:rPr>
                <w:noProof/>
                <w:webHidden/>
              </w:rPr>
              <w:instrText xml:space="preserve"> PAGEREF _Toc477190262 \h </w:instrText>
            </w:r>
            <w:r w:rsidR="00BE55AE">
              <w:rPr>
                <w:noProof/>
                <w:webHidden/>
              </w:rPr>
            </w:r>
            <w:r w:rsidR="00BE55AE">
              <w:rPr>
                <w:noProof/>
                <w:webHidden/>
              </w:rPr>
              <w:fldChar w:fldCharType="separate"/>
            </w:r>
            <w:r w:rsidR="00BB2E54">
              <w:rPr>
                <w:noProof/>
                <w:webHidden/>
              </w:rPr>
              <w:t>145</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63" w:history="1">
            <w:r w:rsidR="00BE55AE" w:rsidRPr="00016C79">
              <w:rPr>
                <w:rStyle w:val="Hyperlink"/>
                <w:noProof/>
              </w:rPr>
              <w:t>A4.17.7 Summary of total incremental costs of Option 4</w:t>
            </w:r>
            <w:r w:rsidR="00BE55AE">
              <w:rPr>
                <w:noProof/>
                <w:webHidden/>
              </w:rPr>
              <w:tab/>
            </w:r>
            <w:r w:rsidR="00BE55AE">
              <w:rPr>
                <w:noProof/>
                <w:webHidden/>
              </w:rPr>
              <w:fldChar w:fldCharType="begin"/>
            </w:r>
            <w:r w:rsidR="00BE55AE">
              <w:rPr>
                <w:noProof/>
                <w:webHidden/>
              </w:rPr>
              <w:instrText xml:space="preserve"> PAGEREF _Toc477190263 \h </w:instrText>
            </w:r>
            <w:r w:rsidR="00BE55AE">
              <w:rPr>
                <w:noProof/>
                <w:webHidden/>
              </w:rPr>
            </w:r>
            <w:r w:rsidR="00BE55AE">
              <w:rPr>
                <w:noProof/>
                <w:webHidden/>
              </w:rPr>
              <w:fldChar w:fldCharType="separate"/>
            </w:r>
            <w:r w:rsidR="00BB2E54">
              <w:rPr>
                <w:noProof/>
                <w:webHidden/>
              </w:rPr>
              <w:t>146</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64" w:history="1">
            <w:r w:rsidR="00BE55AE" w:rsidRPr="00016C79">
              <w:rPr>
                <w:rStyle w:val="Hyperlink"/>
                <w:noProof/>
              </w:rPr>
              <w:t>A4.17.8 Distribution of total incremental costs of Option 4</w:t>
            </w:r>
            <w:r w:rsidR="00BE55AE">
              <w:rPr>
                <w:noProof/>
                <w:webHidden/>
              </w:rPr>
              <w:tab/>
            </w:r>
            <w:r w:rsidR="00BE55AE">
              <w:rPr>
                <w:noProof/>
                <w:webHidden/>
              </w:rPr>
              <w:fldChar w:fldCharType="begin"/>
            </w:r>
            <w:r w:rsidR="00BE55AE">
              <w:rPr>
                <w:noProof/>
                <w:webHidden/>
              </w:rPr>
              <w:instrText xml:space="preserve"> PAGEREF _Toc477190264 \h </w:instrText>
            </w:r>
            <w:r w:rsidR="00BE55AE">
              <w:rPr>
                <w:noProof/>
                <w:webHidden/>
              </w:rPr>
            </w:r>
            <w:r w:rsidR="00BE55AE">
              <w:rPr>
                <w:noProof/>
                <w:webHidden/>
              </w:rPr>
              <w:fldChar w:fldCharType="separate"/>
            </w:r>
            <w:r w:rsidR="00BB2E54">
              <w:rPr>
                <w:noProof/>
                <w:webHidden/>
              </w:rPr>
              <w:t>149</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65" w:history="1">
            <w:r w:rsidR="00BE55AE" w:rsidRPr="00016C79">
              <w:rPr>
                <w:rStyle w:val="Hyperlink"/>
                <w:noProof/>
              </w:rPr>
              <w:t>A4.17.9 Summary of total incremental costs of Option 5</w:t>
            </w:r>
            <w:r w:rsidR="00BE55AE">
              <w:rPr>
                <w:noProof/>
                <w:webHidden/>
              </w:rPr>
              <w:tab/>
            </w:r>
            <w:r w:rsidR="00BE55AE">
              <w:rPr>
                <w:noProof/>
                <w:webHidden/>
              </w:rPr>
              <w:fldChar w:fldCharType="begin"/>
            </w:r>
            <w:r w:rsidR="00BE55AE">
              <w:rPr>
                <w:noProof/>
                <w:webHidden/>
              </w:rPr>
              <w:instrText xml:space="preserve"> PAGEREF _Toc477190265 \h </w:instrText>
            </w:r>
            <w:r w:rsidR="00BE55AE">
              <w:rPr>
                <w:noProof/>
                <w:webHidden/>
              </w:rPr>
            </w:r>
            <w:r w:rsidR="00BE55AE">
              <w:rPr>
                <w:noProof/>
                <w:webHidden/>
              </w:rPr>
              <w:fldChar w:fldCharType="separate"/>
            </w:r>
            <w:r w:rsidR="00BB2E54">
              <w:rPr>
                <w:noProof/>
                <w:webHidden/>
              </w:rPr>
              <w:t>150</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66" w:history="1">
            <w:r w:rsidR="00BE55AE" w:rsidRPr="00016C79">
              <w:rPr>
                <w:rStyle w:val="Hyperlink"/>
                <w:noProof/>
              </w:rPr>
              <w:t>A4.17.10 Distribution of total incremental costs of Option 5</w:t>
            </w:r>
            <w:r w:rsidR="00BE55AE">
              <w:rPr>
                <w:noProof/>
                <w:webHidden/>
              </w:rPr>
              <w:tab/>
            </w:r>
            <w:r w:rsidR="00BE55AE">
              <w:rPr>
                <w:noProof/>
                <w:webHidden/>
              </w:rPr>
              <w:fldChar w:fldCharType="begin"/>
            </w:r>
            <w:r w:rsidR="00BE55AE">
              <w:rPr>
                <w:noProof/>
                <w:webHidden/>
              </w:rPr>
              <w:instrText xml:space="preserve"> PAGEREF _Toc477190266 \h </w:instrText>
            </w:r>
            <w:r w:rsidR="00BE55AE">
              <w:rPr>
                <w:noProof/>
                <w:webHidden/>
              </w:rPr>
            </w:r>
            <w:r w:rsidR="00BE55AE">
              <w:rPr>
                <w:noProof/>
                <w:webHidden/>
              </w:rPr>
              <w:fldChar w:fldCharType="separate"/>
            </w:r>
            <w:r w:rsidR="00BB2E54">
              <w:rPr>
                <w:noProof/>
                <w:webHidden/>
              </w:rPr>
              <w:t>150</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67" w:history="1">
            <w:r w:rsidR="00BE55AE" w:rsidRPr="00016C79">
              <w:rPr>
                <w:rStyle w:val="Hyperlink"/>
                <w:noProof/>
              </w:rPr>
              <w:t>A4.17.11 Summary of total incremental costs of Option 6</w:t>
            </w:r>
            <w:r w:rsidR="00BE55AE">
              <w:rPr>
                <w:noProof/>
                <w:webHidden/>
              </w:rPr>
              <w:tab/>
            </w:r>
            <w:r w:rsidR="00BE55AE">
              <w:rPr>
                <w:noProof/>
                <w:webHidden/>
              </w:rPr>
              <w:fldChar w:fldCharType="begin"/>
            </w:r>
            <w:r w:rsidR="00BE55AE">
              <w:rPr>
                <w:noProof/>
                <w:webHidden/>
              </w:rPr>
              <w:instrText xml:space="preserve"> PAGEREF _Toc477190267 \h </w:instrText>
            </w:r>
            <w:r w:rsidR="00BE55AE">
              <w:rPr>
                <w:noProof/>
                <w:webHidden/>
              </w:rPr>
            </w:r>
            <w:r w:rsidR="00BE55AE">
              <w:rPr>
                <w:noProof/>
                <w:webHidden/>
              </w:rPr>
              <w:fldChar w:fldCharType="separate"/>
            </w:r>
            <w:r w:rsidR="00BB2E54">
              <w:rPr>
                <w:noProof/>
                <w:webHidden/>
              </w:rPr>
              <w:t>151</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68" w:history="1">
            <w:r w:rsidR="00BE55AE" w:rsidRPr="00016C79">
              <w:rPr>
                <w:rStyle w:val="Hyperlink"/>
                <w:noProof/>
              </w:rPr>
              <w:t>A4.17.12 Distribution of total incremental costs of Option 6</w:t>
            </w:r>
            <w:r w:rsidR="00BE55AE">
              <w:rPr>
                <w:noProof/>
                <w:webHidden/>
              </w:rPr>
              <w:tab/>
            </w:r>
            <w:r w:rsidR="00BE55AE">
              <w:rPr>
                <w:noProof/>
                <w:webHidden/>
              </w:rPr>
              <w:fldChar w:fldCharType="begin"/>
            </w:r>
            <w:r w:rsidR="00BE55AE">
              <w:rPr>
                <w:noProof/>
                <w:webHidden/>
              </w:rPr>
              <w:instrText xml:space="preserve"> PAGEREF _Toc477190268 \h </w:instrText>
            </w:r>
            <w:r w:rsidR="00BE55AE">
              <w:rPr>
                <w:noProof/>
                <w:webHidden/>
              </w:rPr>
            </w:r>
            <w:r w:rsidR="00BE55AE">
              <w:rPr>
                <w:noProof/>
                <w:webHidden/>
              </w:rPr>
              <w:fldChar w:fldCharType="separate"/>
            </w:r>
            <w:r w:rsidR="00BB2E54">
              <w:rPr>
                <w:noProof/>
                <w:webHidden/>
              </w:rPr>
              <w:t>154</w:t>
            </w:r>
            <w:r w:rsidR="00BE55AE">
              <w:rPr>
                <w:noProof/>
                <w:webHidden/>
              </w:rPr>
              <w:fldChar w:fldCharType="end"/>
            </w:r>
          </w:hyperlink>
        </w:p>
        <w:p w:rsidR="00BE55AE" w:rsidRDefault="000E36A1">
          <w:pPr>
            <w:pStyle w:val="TOC3"/>
            <w:rPr>
              <w:rFonts w:asciiTheme="minorHAnsi" w:hAnsiTheme="minorHAnsi" w:cstheme="minorBidi"/>
              <w:noProof/>
              <w:color w:val="auto"/>
              <w:lang w:eastAsia="en-AU"/>
            </w:rPr>
          </w:pPr>
          <w:hyperlink w:anchor="_Toc477190269" w:history="1">
            <w:r w:rsidR="00BE55AE" w:rsidRPr="00016C79">
              <w:rPr>
                <w:rStyle w:val="Hyperlink"/>
                <w:noProof/>
              </w:rPr>
              <w:t>A4.17.13 Summary of all incremental cost – Options 1 to 6</w:t>
            </w:r>
            <w:r w:rsidR="00BE55AE">
              <w:rPr>
                <w:noProof/>
                <w:webHidden/>
              </w:rPr>
              <w:tab/>
            </w:r>
            <w:r w:rsidR="00BE55AE">
              <w:rPr>
                <w:noProof/>
                <w:webHidden/>
              </w:rPr>
              <w:fldChar w:fldCharType="begin"/>
            </w:r>
            <w:r w:rsidR="00BE55AE">
              <w:rPr>
                <w:noProof/>
                <w:webHidden/>
              </w:rPr>
              <w:instrText xml:space="preserve"> PAGEREF _Toc477190269 \h </w:instrText>
            </w:r>
            <w:r w:rsidR="00BE55AE">
              <w:rPr>
                <w:noProof/>
                <w:webHidden/>
              </w:rPr>
            </w:r>
            <w:r w:rsidR="00BE55AE">
              <w:rPr>
                <w:noProof/>
                <w:webHidden/>
              </w:rPr>
              <w:fldChar w:fldCharType="separate"/>
            </w:r>
            <w:r w:rsidR="00BB2E54">
              <w:rPr>
                <w:noProof/>
                <w:webHidden/>
              </w:rPr>
              <w:t>155</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70" w:history="1">
            <w:r w:rsidR="00BE55AE" w:rsidRPr="00016C79">
              <w:rPr>
                <w:rStyle w:val="Hyperlink"/>
                <w:noProof/>
              </w:rPr>
              <w:t>Appendix 5:</w:t>
            </w:r>
            <w:r w:rsidR="007B521C">
              <w:rPr>
                <w:rStyle w:val="Hyperlink"/>
                <w:noProof/>
              </w:rPr>
              <w:t xml:space="preserve"> </w:t>
            </w:r>
            <w:r w:rsidR="00BE55AE" w:rsidRPr="00016C79">
              <w:rPr>
                <w:rStyle w:val="Hyperlink"/>
                <w:noProof/>
              </w:rPr>
              <w:t xml:space="preserve">Comparative legislation/industry codes relating </w:t>
            </w:r>
            <w:r w:rsidR="00BE55AE">
              <w:rPr>
                <w:rStyle w:val="Hyperlink"/>
                <w:noProof/>
              </w:rPr>
              <w:br/>
            </w:r>
            <w:r w:rsidR="00BE55AE" w:rsidRPr="00016C79">
              <w:rPr>
                <w:rStyle w:val="Hyperlink"/>
                <w:noProof/>
              </w:rPr>
              <w:t>to greyhound welfare – Victoria and other jurisdictions</w:t>
            </w:r>
            <w:r w:rsidR="00BE55AE">
              <w:rPr>
                <w:noProof/>
                <w:webHidden/>
              </w:rPr>
              <w:tab/>
            </w:r>
            <w:r w:rsidR="00BE55AE">
              <w:rPr>
                <w:noProof/>
                <w:webHidden/>
              </w:rPr>
              <w:fldChar w:fldCharType="begin"/>
            </w:r>
            <w:r w:rsidR="00BE55AE">
              <w:rPr>
                <w:noProof/>
                <w:webHidden/>
              </w:rPr>
              <w:instrText xml:space="preserve"> PAGEREF _Toc477190270 \h </w:instrText>
            </w:r>
            <w:r w:rsidR="00BE55AE">
              <w:rPr>
                <w:noProof/>
                <w:webHidden/>
              </w:rPr>
            </w:r>
            <w:r w:rsidR="00BE55AE">
              <w:rPr>
                <w:noProof/>
                <w:webHidden/>
              </w:rPr>
              <w:fldChar w:fldCharType="separate"/>
            </w:r>
            <w:r w:rsidR="00BB2E54">
              <w:rPr>
                <w:noProof/>
                <w:webHidden/>
              </w:rPr>
              <w:t>156</w:t>
            </w:r>
            <w:r w:rsidR="00BE55AE">
              <w:rPr>
                <w:noProof/>
                <w:webHidden/>
              </w:rPr>
              <w:fldChar w:fldCharType="end"/>
            </w:r>
          </w:hyperlink>
        </w:p>
        <w:p w:rsidR="00BE55AE" w:rsidRDefault="000E36A1">
          <w:pPr>
            <w:pStyle w:val="TOC1"/>
            <w:rPr>
              <w:rFonts w:asciiTheme="minorHAnsi" w:hAnsiTheme="minorHAnsi" w:cstheme="minorBidi"/>
              <w:b w:val="0"/>
              <w:bCs w:val="0"/>
              <w:noProof/>
              <w:color w:val="auto"/>
              <w:sz w:val="22"/>
              <w:lang w:eastAsia="en-AU"/>
            </w:rPr>
          </w:pPr>
          <w:hyperlink w:anchor="_Toc477190271" w:history="1">
            <w:r w:rsidR="00BE55AE" w:rsidRPr="00016C79">
              <w:rPr>
                <w:rStyle w:val="Hyperlink"/>
                <w:noProof/>
              </w:rPr>
              <w:t>Appendix 6:</w:t>
            </w:r>
            <w:r w:rsidR="007B521C">
              <w:rPr>
                <w:rStyle w:val="Hyperlink"/>
                <w:noProof/>
              </w:rPr>
              <w:t xml:space="preserve"> </w:t>
            </w:r>
            <w:r w:rsidR="00BE55AE" w:rsidRPr="00016C79">
              <w:rPr>
                <w:rStyle w:val="Hyperlink"/>
                <w:noProof/>
              </w:rPr>
              <w:t>Proposed standards costed and not costed</w:t>
            </w:r>
            <w:r w:rsidR="00BE55AE">
              <w:rPr>
                <w:noProof/>
                <w:webHidden/>
              </w:rPr>
              <w:tab/>
            </w:r>
            <w:r w:rsidR="00BE55AE">
              <w:rPr>
                <w:noProof/>
                <w:webHidden/>
              </w:rPr>
              <w:fldChar w:fldCharType="begin"/>
            </w:r>
            <w:r w:rsidR="00BE55AE">
              <w:rPr>
                <w:noProof/>
                <w:webHidden/>
              </w:rPr>
              <w:instrText xml:space="preserve"> PAGEREF _Toc477190271 \h </w:instrText>
            </w:r>
            <w:r w:rsidR="00BE55AE">
              <w:rPr>
                <w:noProof/>
                <w:webHidden/>
              </w:rPr>
            </w:r>
            <w:r w:rsidR="00BE55AE">
              <w:rPr>
                <w:noProof/>
                <w:webHidden/>
              </w:rPr>
              <w:fldChar w:fldCharType="separate"/>
            </w:r>
            <w:r w:rsidR="00BB2E54">
              <w:rPr>
                <w:noProof/>
                <w:webHidden/>
              </w:rPr>
              <w:t>158</w:t>
            </w:r>
            <w:r w:rsidR="00BE55AE">
              <w:rPr>
                <w:noProof/>
                <w:webHidden/>
              </w:rPr>
              <w:fldChar w:fldCharType="end"/>
            </w:r>
          </w:hyperlink>
        </w:p>
        <w:p w:rsidR="006D4A2F" w:rsidRDefault="00BE55AE" w:rsidP="00E91D87">
          <w:pPr>
            <w:pStyle w:val="TOC1"/>
          </w:pPr>
          <w:r>
            <w:fldChar w:fldCharType="end"/>
          </w:r>
        </w:p>
      </w:sdtContent>
    </w:sdt>
    <w:p w:rsidR="00EC4D8A" w:rsidRDefault="00EF2175" w:rsidP="00DD08EF">
      <w:pPr>
        <w:pStyle w:val="Heading1"/>
      </w:pPr>
      <w:bookmarkStart w:id="26" w:name="_Toc477190143"/>
      <w:r w:rsidRPr="00DD08EF">
        <w:lastRenderedPageBreak/>
        <w:t xml:space="preserve">Section 1 </w:t>
      </w:r>
      <w:r w:rsidR="003E57D1" w:rsidRPr="00DD08EF">
        <w:t>Background</w:t>
      </w:r>
      <w:bookmarkEnd w:id="24"/>
      <w:bookmarkEnd w:id="25"/>
      <w:bookmarkEnd w:id="26"/>
    </w:p>
    <w:p w:rsidR="009D20C0" w:rsidRPr="005F3BA9" w:rsidRDefault="00E91D87" w:rsidP="00E91D87">
      <w:pPr>
        <w:pStyle w:val="Heading2"/>
        <w:jc w:val="both"/>
      </w:pPr>
      <w:bookmarkStart w:id="27" w:name="_Toc456126044"/>
      <w:bookmarkStart w:id="28" w:name="_Toc469529133"/>
      <w:bookmarkStart w:id="29" w:name="_Toc477190144"/>
      <w:r>
        <w:t xml:space="preserve">1.1 </w:t>
      </w:r>
      <w:r w:rsidR="009D20C0" w:rsidRPr="005F3BA9">
        <w:t>The contex</w:t>
      </w:r>
      <w:bookmarkEnd w:id="27"/>
      <w:r w:rsidR="00560A71" w:rsidRPr="005F3BA9">
        <w:t>t</w:t>
      </w:r>
      <w:bookmarkEnd w:id="28"/>
      <w:bookmarkEnd w:id="29"/>
    </w:p>
    <w:p w:rsidR="00D639E4" w:rsidRDefault="00560A71" w:rsidP="00560A71">
      <w:pPr>
        <w:jc w:val="both"/>
        <w:rPr>
          <w:color w:val="000000" w:themeColor="text1"/>
        </w:rPr>
      </w:pPr>
      <w:r>
        <w:t xml:space="preserve">The </w:t>
      </w:r>
      <w:r w:rsidRPr="00070EEF">
        <w:t>greyhound</w:t>
      </w:r>
      <w:r w:rsidRPr="00070EEF">
        <w:rPr>
          <w:b/>
          <w:i/>
        </w:rPr>
        <w:t xml:space="preserve"> racing</w:t>
      </w:r>
      <w:r w:rsidRPr="00070EEF">
        <w:t xml:space="preserve"> industry provides </w:t>
      </w:r>
      <w:r w:rsidRPr="00676AD3">
        <w:t>employment</w:t>
      </w:r>
      <w:r w:rsidRPr="00070EEF">
        <w:t xml:space="preserve"> and</w:t>
      </w:r>
      <w:r>
        <w:t xml:space="preserve"> revenue</w:t>
      </w:r>
      <w:r w:rsidRPr="00070EEF">
        <w:t xml:space="preserve"> to the </w:t>
      </w:r>
      <w:r>
        <w:t xml:space="preserve">Victorian </w:t>
      </w:r>
      <w:r w:rsidRPr="00070EEF">
        <w:t>economy through tourism, entertainment, wagering and taxes</w:t>
      </w:r>
      <w:r w:rsidR="006C0526">
        <w:t>.</w:t>
      </w:r>
      <w:r w:rsidR="007B521C">
        <w:t xml:space="preserve"> </w:t>
      </w:r>
      <w:r w:rsidR="00D639E4">
        <w:t xml:space="preserve">According to </w:t>
      </w:r>
      <w:r w:rsidRPr="00070EEF">
        <w:t>Greyhound Racing Victoria (GRV)</w:t>
      </w:r>
      <w:r w:rsidR="009B0F14">
        <w:t>,</w:t>
      </w:r>
      <w:r w:rsidRPr="00070EEF">
        <w:t xml:space="preserve"> wagering gr</w:t>
      </w:r>
      <w:r w:rsidR="006C0526">
        <w:t>ew</w:t>
      </w:r>
      <w:r w:rsidRPr="00070EEF">
        <w:t xml:space="preserve"> to $83.8 million </w:t>
      </w:r>
      <w:r w:rsidR="00C638A0">
        <w:t>‘</w:t>
      </w:r>
      <w:r w:rsidRPr="00070EEF">
        <w:rPr>
          <w:i/>
        </w:rPr>
        <w:t>with $42.6 million in prize money</w:t>
      </w:r>
      <w:r w:rsidR="00C638A0">
        <w:rPr>
          <w:rStyle w:val="FootnoteReference"/>
          <w:i/>
        </w:rPr>
        <w:footnoteReference w:id="3"/>
      </w:r>
      <w:r w:rsidRPr="00070EEF">
        <w:rPr>
          <w:i/>
        </w:rPr>
        <w:t xml:space="preserve">, </w:t>
      </w:r>
      <w:r w:rsidRPr="00381BDE">
        <w:rPr>
          <w:i/>
          <w:color w:val="000000" w:themeColor="text1"/>
        </w:rPr>
        <w:t>bonuses and travel fees distributed in FY15’</w:t>
      </w:r>
      <w:r>
        <w:rPr>
          <w:rStyle w:val="FootnoteReference"/>
          <w:i/>
          <w:color w:val="000000" w:themeColor="text1"/>
        </w:rPr>
        <w:footnoteReference w:id="4"/>
      </w:r>
      <w:r w:rsidRPr="00381BDE">
        <w:rPr>
          <w:color w:val="000000" w:themeColor="text1"/>
        </w:rPr>
        <w:t>.</w:t>
      </w:r>
      <w:r w:rsidR="007B521C">
        <w:rPr>
          <w:color w:val="00B050"/>
        </w:rPr>
        <w:t xml:space="preserve"> </w:t>
      </w:r>
      <w:r w:rsidR="009B0F14" w:rsidRPr="00C638A0">
        <w:rPr>
          <w:color w:val="000000" w:themeColor="text1"/>
        </w:rPr>
        <w:t>An illustrative compari</w:t>
      </w:r>
      <w:r w:rsidR="000B1D58">
        <w:rPr>
          <w:color w:val="000000" w:themeColor="text1"/>
        </w:rPr>
        <w:t>s</w:t>
      </w:r>
      <w:r w:rsidR="009B0F14" w:rsidRPr="00C638A0">
        <w:rPr>
          <w:color w:val="000000" w:themeColor="text1"/>
        </w:rPr>
        <w:t>on of stakemoney paid across each jurisdiction is provided for in Chart 1 with Victoria consistently representing the</w:t>
      </w:r>
      <w:r w:rsidR="000B1D58">
        <w:rPr>
          <w:color w:val="000000" w:themeColor="text1"/>
        </w:rPr>
        <w:t xml:space="preserve"> largest amount paid.</w:t>
      </w:r>
      <w:r w:rsidR="00C638A0" w:rsidRPr="00C638A0">
        <w:rPr>
          <w:color w:val="000000" w:themeColor="text1"/>
        </w:rPr>
        <w:t xml:space="preserve"> </w:t>
      </w:r>
      <w:r w:rsidR="004851C1" w:rsidRPr="00C638A0">
        <w:rPr>
          <w:color w:val="000000" w:themeColor="text1"/>
        </w:rPr>
        <w:t>Indeed,</w:t>
      </w:r>
      <w:r w:rsidR="00C638A0" w:rsidRPr="00C638A0">
        <w:rPr>
          <w:color w:val="000000" w:themeColor="text1"/>
        </w:rPr>
        <w:t xml:space="preserve"> GRV note that </w:t>
      </w:r>
      <w:r w:rsidR="00C638A0" w:rsidRPr="004B0055">
        <w:rPr>
          <w:i/>
          <w:color w:val="000000" w:themeColor="text1"/>
        </w:rPr>
        <w:t>‘</w:t>
      </w:r>
      <w:r w:rsidR="00C638A0" w:rsidRPr="004B0055">
        <w:rPr>
          <w:i/>
        </w:rPr>
        <w:t>the richest greyhound race</w:t>
      </w:r>
      <w:r w:rsidR="00FA31C9">
        <w:rPr>
          <w:i/>
        </w:rPr>
        <w:br/>
      </w:r>
      <w:r w:rsidR="00C638A0" w:rsidRPr="004B0055">
        <w:rPr>
          <w:i/>
        </w:rPr>
        <w:t>in the world is held in Melbourne with a prize of $500,000 for the winner’</w:t>
      </w:r>
      <w:r w:rsidR="00C638A0" w:rsidRPr="004B0055">
        <w:rPr>
          <w:rStyle w:val="FootnoteReference"/>
          <w:color w:val="000000" w:themeColor="text1"/>
        </w:rPr>
        <w:footnoteReference w:id="5"/>
      </w:r>
      <w:r w:rsidR="00C638A0" w:rsidRPr="004B0055">
        <w:rPr>
          <w:color w:val="000000" w:themeColor="text1"/>
        </w:rPr>
        <w:t>.</w:t>
      </w:r>
      <w:r w:rsidR="009B0F14" w:rsidRPr="00C638A0">
        <w:rPr>
          <w:color w:val="000000" w:themeColor="text1"/>
        </w:rPr>
        <w:t xml:space="preserve"> </w:t>
      </w:r>
      <w:r w:rsidR="000B1D58">
        <w:t xml:space="preserve">In 2015, </w:t>
      </w:r>
      <w:r w:rsidR="00FA31C9">
        <w:br/>
      </w:r>
      <w:r w:rsidR="000B1D58">
        <w:t>Victoria held more races than any other Australian state or territory (13,494)</w:t>
      </w:r>
      <w:r w:rsidR="000B1D58">
        <w:rPr>
          <w:rStyle w:val="FootnoteReference"/>
        </w:rPr>
        <w:footnoteReference w:id="6"/>
      </w:r>
      <w:r w:rsidR="000B1D58">
        <w:t xml:space="preserve">. </w:t>
      </w:r>
      <w:r w:rsidR="009B0F14" w:rsidRPr="00C638A0">
        <w:rPr>
          <w:color w:val="000000" w:themeColor="text1"/>
        </w:rPr>
        <w:t>T</w:t>
      </w:r>
      <w:r w:rsidRPr="00C638A0">
        <w:rPr>
          <w:color w:val="000000" w:themeColor="text1"/>
        </w:rPr>
        <w:t xml:space="preserve">he </w:t>
      </w:r>
      <w:r w:rsidR="00FA31C9">
        <w:rPr>
          <w:color w:val="000000" w:themeColor="text1"/>
        </w:rPr>
        <w:br/>
      </w:r>
      <w:r w:rsidRPr="00C638A0">
        <w:rPr>
          <w:color w:val="000000" w:themeColor="text1"/>
        </w:rPr>
        <w:t xml:space="preserve">Victorian Responsible Gambling Foundation </w:t>
      </w:r>
      <w:r w:rsidR="009B0F14" w:rsidRPr="00C638A0">
        <w:rPr>
          <w:color w:val="000000" w:themeColor="text1"/>
        </w:rPr>
        <w:t xml:space="preserve">reported </w:t>
      </w:r>
      <w:r w:rsidR="00D639E4" w:rsidRPr="00C638A0">
        <w:rPr>
          <w:color w:val="000000" w:themeColor="text1"/>
        </w:rPr>
        <w:t>a</w:t>
      </w:r>
      <w:r w:rsidRPr="00C638A0">
        <w:rPr>
          <w:color w:val="000000" w:themeColor="text1"/>
        </w:rPr>
        <w:t xml:space="preserve"> 13.3% increase in betting on greyhounds</w:t>
      </w:r>
      <w:r w:rsidRPr="00C638A0">
        <w:rPr>
          <w:rStyle w:val="FootnoteReference"/>
          <w:color w:val="000000" w:themeColor="text1"/>
        </w:rPr>
        <w:footnoteReference w:id="7"/>
      </w:r>
      <w:r w:rsidR="009B0F14" w:rsidRPr="00C638A0">
        <w:rPr>
          <w:color w:val="000000" w:themeColor="text1"/>
        </w:rPr>
        <w:t xml:space="preserve"> in 2015</w:t>
      </w:r>
      <w:r w:rsidRPr="00C638A0">
        <w:rPr>
          <w:color w:val="000000" w:themeColor="text1"/>
        </w:rPr>
        <w:t>.</w:t>
      </w:r>
      <w:r w:rsidR="007B521C">
        <w:rPr>
          <w:color w:val="000000" w:themeColor="text1"/>
        </w:rPr>
        <w:t xml:space="preserve"> </w:t>
      </w:r>
    </w:p>
    <w:p w:rsidR="00D639E4" w:rsidRDefault="00D639E4" w:rsidP="00560A71">
      <w:pPr>
        <w:jc w:val="both"/>
        <w:rPr>
          <w:color w:val="000000" w:themeColor="text1"/>
        </w:rPr>
      </w:pPr>
    </w:p>
    <w:p w:rsidR="00D639E4" w:rsidRPr="004B0055" w:rsidRDefault="00D639E4" w:rsidP="004B0055">
      <w:pPr>
        <w:jc w:val="center"/>
        <w:rPr>
          <w:b/>
          <w:color w:val="000000" w:themeColor="text1"/>
          <w:sz w:val="20"/>
        </w:rPr>
      </w:pPr>
      <w:r w:rsidRPr="004B0055">
        <w:rPr>
          <w:b/>
          <w:color w:val="000000" w:themeColor="text1"/>
          <w:sz w:val="20"/>
        </w:rPr>
        <w:t>Chart 1: Stakemon</w:t>
      </w:r>
      <w:r w:rsidR="009B0F14">
        <w:rPr>
          <w:b/>
          <w:color w:val="000000" w:themeColor="text1"/>
          <w:sz w:val="20"/>
        </w:rPr>
        <w:t>e</w:t>
      </w:r>
      <w:r w:rsidRPr="004B0055">
        <w:rPr>
          <w:b/>
          <w:color w:val="000000" w:themeColor="text1"/>
          <w:sz w:val="20"/>
        </w:rPr>
        <w:t>y paid in greyhound racing by state and territory 2003 to 2015</w:t>
      </w:r>
    </w:p>
    <w:p w:rsidR="00D639E4" w:rsidRDefault="00D639E4" w:rsidP="00560A71">
      <w:pPr>
        <w:jc w:val="both"/>
        <w:rPr>
          <w:color w:val="000000" w:themeColor="text1"/>
        </w:rPr>
      </w:pPr>
    </w:p>
    <w:p w:rsidR="00D639E4" w:rsidRDefault="00D639E4" w:rsidP="00EB03D7">
      <w:pPr>
        <w:ind w:firstLine="426"/>
        <w:jc w:val="both"/>
        <w:rPr>
          <w:color w:val="000000" w:themeColor="text1"/>
        </w:rPr>
      </w:pPr>
      <w:r w:rsidRPr="00D639E4">
        <w:rPr>
          <w:noProof/>
          <w:lang w:eastAsia="en-AU"/>
        </w:rPr>
        <w:drawing>
          <wp:inline distT="0" distB="0" distL="0" distR="0" wp14:anchorId="714C4DBF" wp14:editId="174F7C0B">
            <wp:extent cx="4714875" cy="2536530"/>
            <wp:effectExtent l="0" t="0" r="0" b="0"/>
            <wp:docPr id="4" name="Picture 4" descr="The graph shows that stakemoney paid in Victoria has increased every year since 2003 (around $16m) until 2014 (around $40m). Stakemoney in 2015 was also around $40m. Victoria has easily the highest amount of stakemoney of each state in each year, with only NSW coming close (in 2003, a little under $15m and in 2015 around $23m)." title="Stakemone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27955" cy="2543567"/>
                    </a:xfrm>
                    <a:prstGeom prst="rect">
                      <a:avLst/>
                    </a:prstGeom>
                    <a:noFill/>
                    <a:ln>
                      <a:noFill/>
                    </a:ln>
                  </pic:spPr>
                </pic:pic>
              </a:graphicData>
            </a:graphic>
          </wp:inline>
        </w:drawing>
      </w:r>
    </w:p>
    <w:p w:rsidR="00C638A0" w:rsidRPr="004B0055" w:rsidRDefault="00C638A0" w:rsidP="00C638A0">
      <w:pPr>
        <w:autoSpaceDE w:val="0"/>
        <w:autoSpaceDN w:val="0"/>
        <w:adjustRightInd w:val="0"/>
        <w:spacing w:after="240"/>
        <w:rPr>
          <w:rStyle w:val="Hyperlink"/>
          <w:rFonts w:cs="Arial-BoldMT"/>
          <w:bCs/>
          <w:color w:val="000000" w:themeColor="text1"/>
          <w:sz w:val="18"/>
          <w:szCs w:val="18"/>
        </w:rPr>
      </w:pPr>
      <w:r w:rsidRPr="004B0055">
        <w:rPr>
          <w:b/>
          <w:color w:val="000000" w:themeColor="text1"/>
          <w:sz w:val="18"/>
          <w:szCs w:val="18"/>
        </w:rPr>
        <w:t>Source:</w:t>
      </w:r>
      <w:r w:rsidRPr="004B0055">
        <w:rPr>
          <w:color w:val="000000" w:themeColor="text1"/>
          <w:sz w:val="18"/>
          <w:szCs w:val="18"/>
        </w:rPr>
        <w:t xml:space="preserve"> </w:t>
      </w:r>
      <w:r w:rsidRPr="004B0055">
        <w:rPr>
          <w:rStyle w:val="Hyperlink"/>
          <w:rFonts w:cs="Arial-BoldMT"/>
          <w:bCs/>
          <w:color w:val="000000" w:themeColor="text1"/>
          <w:sz w:val="18"/>
          <w:szCs w:val="18"/>
        </w:rPr>
        <w:t>Greyhounds Australasia website (Septemb</w:t>
      </w:r>
      <w:r w:rsidR="00D7276D">
        <w:rPr>
          <w:rStyle w:val="Hyperlink"/>
          <w:rFonts w:cs="Arial-BoldMT"/>
          <w:bCs/>
          <w:color w:val="000000" w:themeColor="text1"/>
          <w:sz w:val="18"/>
          <w:szCs w:val="18"/>
        </w:rPr>
        <w:t>e</w:t>
      </w:r>
      <w:r w:rsidRPr="004B0055">
        <w:rPr>
          <w:rStyle w:val="Hyperlink"/>
          <w:rFonts w:cs="Arial-BoldMT"/>
          <w:bCs/>
          <w:color w:val="000000" w:themeColor="text1"/>
          <w:sz w:val="18"/>
          <w:szCs w:val="18"/>
        </w:rPr>
        <w:t>r 2016)</w:t>
      </w:r>
    </w:p>
    <w:p w:rsidR="00241DC1" w:rsidRDefault="00241DC1" w:rsidP="00560A71">
      <w:pPr>
        <w:jc w:val="both"/>
      </w:pPr>
      <w:r>
        <w:t>Greyhound racing remains popular entertainment, a popular hobby and an added value to the Victorian economy.</w:t>
      </w:r>
      <w:r w:rsidR="007B521C">
        <w:t xml:space="preserve"> </w:t>
      </w:r>
      <w:r>
        <w:t xml:space="preserve">However, at the same time, greyhound racing remains very </w:t>
      </w:r>
      <w:r w:rsidRPr="00230934">
        <w:t xml:space="preserve">unpopular </w:t>
      </w:r>
      <w:r>
        <w:t xml:space="preserve">within various animal welfare and social circles, with </w:t>
      </w:r>
      <w:r w:rsidR="00D8544F">
        <w:t xml:space="preserve">some of </w:t>
      </w:r>
      <w:r>
        <w:t>these groups calling for closure of the industry</w:t>
      </w:r>
      <w:r w:rsidRPr="009E1EB1">
        <w:rPr>
          <w:rStyle w:val="FootnoteReference"/>
        </w:rPr>
        <w:footnoteReference w:id="8"/>
      </w:r>
      <w:r>
        <w:t>.</w:t>
      </w:r>
      <w:r w:rsidR="007B521C">
        <w:t xml:space="preserve"> </w:t>
      </w:r>
    </w:p>
    <w:p w:rsidR="000E36A1" w:rsidRDefault="000E36A1" w:rsidP="00560A71">
      <w:pPr>
        <w:jc w:val="both"/>
        <w:rPr>
          <w:color w:val="000000" w:themeColor="text1"/>
        </w:rPr>
      </w:pPr>
    </w:p>
    <w:p w:rsidR="00560A71" w:rsidRPr="00381BDE" w:rsidRDefault="00241DC1" w:rsidP="00560A71">
      <w:pPr>
        <w:jc w:val="both"/>
        <w:rPr>
          <w:color w:val="000000" w:themeColor="text1"/>
        </w:rPr>
      </w:pPr>
      <w:r>
        <w:rPr>
          <w:color w:val="000000" w:themeColor="text1"/>
        </w:rPr>
        <w:t>O</w:t>
      </w:r>
      <w:r w:rsidR="00560A71" w:rsidRPr="00381BDE">
        <w:rPr>
          <w:color w:val="000000" w:themeColor="text1"/>
        </w:rPr>
        <w:t>n 16 February 2015, ABC Four Corners program aired an exposé enti</w:t>
      </w:r>
      <w:r w:rsidR="009637A1">
        <w:rPr>
          <w:color w:val="000000" w:themeColor="text1"/>
        </w:rPr>
        <w:t xml:space="preserve">tled </w:t>
      </w:r>
      <w:r w:rsidR="00560A71" w:rsidRPr="009637A1">
        <w:rPr>
          <w:color w:val="1F497D" w:themeColor="text2"/>
          <w:u w:val="single"/>
        </w:rPr>
        <w:t>Making a Killing</w:t>
      </w:r>
      <w:r w:rsidR="00560A71" w:rsidRPr="00381BDE">
        <w:rPr>
          <w:color w:val="000000" w:themeColor="text1"/>
        </w:rPr>
        <w:t xml:space="preserve">. The program featured footage, obtained covertly, of live animals being used to bait and train greyhounds across Australia and led to significant public outrage. The airing of this program led to the commissioning of </w:t>
      </w:r>
      <w:r w:rsidR="009B0F14">
        <w:rPr>
          <w:color w:val="000000" w:themeColor="text1"/>
        </w:rPr>
        <w:t xml:space="preserve">a number of </w:t>
      </w:r>
      <w:r w:rsidR="00560A71" w:rsidRPr="00381BDE">
        <w:rPr>
          <w:color w:val="000000" w:themeColor="text1"/>
        </w:rPr>
        <w:t>reports</w:t>
      </w:r>
      <w:r w:rsidR="009B0F14">
        <w:rPr>
          <w:color w:val="000000" w:themeColor="text1"/>
        </w:rPr>
        <w:t>.</w:t>
      </w:r>
    </w:p>
    <w:p w:rsidR="00560A71" w:rsidRPr="00AF6A9F" w:rsidRDefault="00241DC1" w:rsidP="004B0055">
      <w:pPr>
        <w:jc w:val="both"/>
      </w:pPr>
      <w:r>
        <w:lastRenderedPageBreak/>
        <w:t>Following the ABC program, t</w:t>
      </w:r>
      <w:r w:rsidR="00560A71" w:rsidRPr="009B0F14">
        <w:t xml:space="preserve">he Chief Veterinary Officer, Dr Charles Milne, presented the </w:t>
      </w:r>
      <w:r w:rsidR="00560A71" w:rsidRPr="009637A1">
        <w:rPr>
          <w:color w:val="1F497D" w:themeColor="text2"/>
          <w:u w:val="single"/>
        </w:rPr>
        <w:t>Investigation into animal welfare and cruelty in t</w:t>
      </w:r>
      <w:r w:rsidR="009637A1">
        <w:rPr>
          <w:color w:val="1F497D" w:themeColor="text2"/>
          <w:u w:val="single"/>
        </w:rPr>
        <w:t>he Victorian greyhound industry</w:t>
      </w:r>
      <w:r w:rsidR="00560A71" w:rsidRPr="009B0F14">
        <w:t xml:space="preserve">. The report concluded that </w:t>
      </w:r>
      <w:r w:rsidR="00560A71" w:rsidRPr="009B0F14">
        <w:rPr>
          <w:i/>
        </w:rPr>
        <w:t xml:space="preserve">‘The problem is not just one of public perception’, </w:t>
      </w:r>
      <w:r w:rsidR="00560A71" w:rsidRPr="009B0F14">
        <w:t>and identified three main issues</w:t>
      </w:r>
      <w:r w:rsidR="00E36B0B">
        <w:t xml:space="preserve"> including a</w:t>
      </w:r>
      <w:r w:rsidR="00560A71" w:rsidRPr="009B0F14">
        <w:t>nimal welfare rules, codes and standards</w:t>
      </w:r>
      <w:r w:rsidR="00E36B0B">
        <w:t>; the r</w:t>
      </w:r>
      <w:r w:rsidR="00560A71" w:rsidRPr="009B0F14">
        <w:t>ole and power of greyhound inspectors</w:t>
      </w:r>
      <w:r w:rsidR="00E36B0B">
        <w:t>;</w:t>
      </w:r>
      <w:r w:rsidR="00560A71" w:rsidRPr="009B0F14">
        <w:t xml:space="preserve"> and </w:t>
      </w:r>
      <w:r w:rsidR="00E36B0B">
        <w:t>the g</w:t>
      </w:r>
      <w:r w:rsidR="00560A71" w:rsidRPr="009B0F14">
        <w:t xml:space="preserve">reyhound </w:t>
      </w:r>
      <w:r w:rsidR="00E36B0B">
        <w:t>i</w:t>
      </w:r>
      <w:r w:rsidR="00560A71" w:rsidRPr="009B0F14">
        <w:t>nspectorate</w:t>
      </w:r>
      <w:r w:rsidR="00E36B0B">
        <w:t xml:space="preserve"> with related recommendations.</w:t>
      </w:r>
      <w:r w:rsidR="009637A1">
        <w:rPr>
          <w:rStyle w:val="FootnoteReference"/>
        </w:rPr>
        <w:footnoteReference w:id="9"/>
      </w:r>
    </w:p>
    <w:p w:rsidR="00560A71" w:rsidRPr="00381BDE" w:rsidRDefault="00560A71" w:rsidP="004B0055"/>
    <w:p w:rsidR="00560A71" w:rsidRPr="004B0055" w:rsidRDefault="00560A71" w:rsidP="004B0055">
      <w:pPr>
        <w:jc w:val="both"/>
        <w:rPr>
          <w:color w:val="000000" w:themeColor="text1"/>
        </w:rPr>
      </w:pPr>
      <w:r w:rsidRPr="004B0055">
        <w:rPr>
          <w:color w:val="000000" w:themeColor="text1"/>
        </w:rPr>
        <w:t>The Racing Integrity Commissione</w:t>
      </w:r>
      <w:r w:rsidR="009637A1">
        <w:rPr>
          <w:color w:val="000000" w:themeColor="text1"/>
        </w:rPr>
        <w:t xml:space="preserve">r, Mr Sal Perna, presented the </w:t>
      </w:r>
      <w:r w:rsidRPr="009637A1">
        <w:rPr>
          <w:color w:val="1F497D" w:themeColor="text2"/>
          <w:u w:val="single"/>
        </w:rPr>
        <w:t>2015 Own Motion inquiry into Live Baiting in Greyhound Racing Victoria</w:t>
      </w:r>
      <w:r w:rsidRPr="004B0055">
        <w:rPr>
          <w:color w:val="000000" w:themeColor="text1"/>
        </w:rPr>
        <w:t xml:space="preserve">. The report concluded </w:t>
      </w:r>
      <w:r w:rsidRPr="004B0055">
        <w:rPr>
          <w:i/>
          <w:color w:val="000000" w:themeColor="text1"/>
        </w:rPr>
        <w:t>‘In my view, the existing legal framework in which the Victorian Greyhound industry operates can, at times, be complex, overlapping and confusing’</w:t>
      </w:r>
      <w:r w:rsidRPr="009B0F14">
        <w:rPr>
          <w:rStyle w:val="FootnoteReference"/>
          <w:color w:val="000000" w:themeColor="text1"/>
        </w:rPr>
        <w:footnoteReference w:id="10"/>
      </w:r>
      <w:r w:rsidRPr="004B0055">
        <w:rPr>
          <w:color w:val="000000" w:themeColor="text1"/>
        </w:rPr>
        <w:t xml:space="preserve">. This report made numerous recommendations on </w:t>
      </w:r>
      <w:r w:rsidR="005C11B5" w:rsidRPr="004B0055">
        <w:rPr>
          <w:color w:val="000000" w:themeColor="text1"/>
        </w:rPr>
        <w:t xml:space="preserve">amendments to the legislative framework and other </w:t>
      </w:r>
      <w:r w:rsidRPr="004B0055">
        <w:rPr>
          <w:color w:val="000000" w:themeColor="text1"/>
        </w:rPr>
        <w:t>matters including information management and processes.</w:t>
      </w:r>
    </w:p>
    <w:p w:rsidR="00560A71" w:rsidRPr="00381BDE" w:rsidRDefault="00560A71" w:rsidP="00560A71">
      <w:pPr>
        <w:ind w:left="284" w:hanging="284"/>
        <w:jc w:val="both"/>
        <w:rPr>
          <w:color w:val="000000" w:themeColor="text1"/>
        </w:rPr>
      </w:pPr>
    </w:p>
    <w:p w:rsidR="003F78D8" w:rsidRDefault="009B0F14">
      <w:pPr>
        <w:jc w:val="both"/>
        <w:rPr>
          <w:color w:val="000000" w:themeColor="text1"/>
        </w:rPr>
      </w:pPr>
      <w:r>
        <w:rPr>
          <w:color w:val="000000" w:themeColor="text1"/>
        </w:rPr>
        <w:t xml:space="preserve">Racing administrator </w:t>
      </w:r>
      <w:r w:rsidR="00560A71" w:rsidRPr="00381BDE">
        <w:rPr>
          <w:color w:val="000000" w:themeColor="text1"/>
        </w:rPr>
        <w:t xml:space="preserve">Mr Paul </w:t>
      </w:r>
      <w:r w:rsidR="007D7A02" w:rsidRPr="00381BDE">
        <w:rPr>
          <w:color w:val="000000" w:themeColor="text1"/>
        </w:rPr>
        <w:t>Bittar</w:t>
      </w:r>
      <w:r w:rsidR="00560A71" w:rsidRPr="00381BDE">
        <w:rPr>
          <w:color w:val="000000" w:themeColor="text1"/>
        </w:rPr>
        <w:t xml:space="preserve"> presented </w:t>
      </w:r>
      <w:r>
        <w:rPr>
          <w:color w:val="000000" w:themeColor="text1"/>
        </w:rPr>
        <w:t xml:space="preserve">a </w:t>
      </w:r>
      <w:r w:rsidR="00560A71" w:rsidRPr="009637A1">
        <w:rPr>
          <w:color w:val="1F497D" w:themeColor="text2"/>
          <w:u w:val="single"/>
        </w:rPr>
        <w:t>Review of the Integrity Structures of the Victorian Racing Industry</w:t>
      </w:r>
      <w:r w:rsidRPr="009B0F14">
        <w:rPr>
          <w:color w:val="000000" w:themeColor="text1"/>
        </w:rPr>
        <w:t xml:space="preserve"> </w:t>
      </w:r>
      <w:r w:rsidRPr="00381BDE">
        <w:rPr>
          <w:color w:val="000000" w:themeColor="text1"/>
        </w:rPr>
        <w:t>on behalf of the Department of Justice and Regulation</w:t>
      </w:r>
      <w:r>
        <w:rPr>
          <w:color w:val="000000" w:themeColor="text1"/>
        </w:rPr>
        <w:t xml:space="preserve"> in 2016</w:t>
      </w:r>
      <w:r w:rsidR="00560A71" w:rsidRPr="00381BDE">
        <w:rPr>
          <w:color w:val="000000" w:themeColor="text1"/>
        </w:rPr>
        <w:t>.</w:t>
      </w:r>
      <w:r w:rsidR="007B521C">
        <w:rPr>
          <w:color w:val="000000" w:themeColor="text1"/>
        </w:rPr>
        <w:t xml:space="preserve"> </w:t>
      </w:r>
      <w:r w:rsidR="00560A71" w:rsidRPr="00381BDE">
        <w:rPr>
          <w:color w:val="000000" w:themeColor="text1"/>
        </w:rPr>
        <w:t>This review examined the integrity functions of Racing Victoria, Harness Racing Victoria and Greyhound Racing Victoria, and considered the current framework for the racing appeals and disciplinary system. The review recommend</w:t>
      </w:r>
      <w:r>
        <w:rPr>
          <w:color w:val="000000" w:themeColor="text1"/>
        </w:rPr>
        <w:t>ed</w:t>
      </w:r>
      <w:r w:rsidR="00560A71" w:rsidRPr="00381BDE">
        <w:rPr>
          <w:color w:val="000000" w:themeColor="text1"/>
        </w:rPr>
        <w:t xml:space="preserve"> establishing a Victorian Racing Integrity Unit and </w:t>
      </w:r>
      <w:r w:rsidR="005C11B5" w:rsidRPr="00381BDE">
        <w:rPr>
          <w:color w:val="000000" w:themeColor="text1"/>
        </w:rPr>
        <w:t>re</w:t>
      </w:r>
      <w:r w:rsidR="003F78D8">
        <w:rPr>
          <w:color w:val="000000" w:themeColor="text1"/>
        </w:rPr>
        <w:t>structuring</w:t>
      </w:r>
      <w:r w:rsidR="005C11B5" w:rsidRPr="00381BDE">
        <w:rPr>
          <w:color w:val="000000" w:themeColor="text1"/>
        </w:rPr>
        <w:t xml:space="preserve"> </w:t>
      </w:r>
      <w:r w:rsidR="00560A71" w:rsidRPr="00381BDE">
        <w:rPr>
          <w:color w:val="000000" w:themeColor="text1"/>
        </w:rPr>
        <w:t>the appeals and disciplinary systems across the three arms of racing</w:t>
      </w:r>
      <w:r w:rsidR="003F78D8">
        <w:rPr>
          <w:color w:val="000000" w:themeColor="text1"/>
        </w:rPr>
        <w:t xml:space="preserve"> by </w:t>
      </w:r>
      <w:r w:rsidR="00723ED8">
        <w:rPr>
          <w:color w:val="000000" w:themeColor="text1"/>
        </w:rPr>
        <w:t>establishing a single cross-code</w:t>
      </w:r>
      <w:r w:rsidR="003F78D8">
        <w:rPr>
          <w:color w:val="000000" w:themeColor="text1"/>
        </w:rPr>
        <w:t xml:space="preserve"> Racing Appeals and Disciplinary Board</w:t>
      </w:r>
      <w:r w:rsidR="00560A71" w:rsidRPr="00381BDE">
        <w:rPr>
          <w:color w:val="000000" w:themeColor="text1"/>
        </w:rPr>
        <w:t>.</w:t>
      </w:r>
      <w:r w:rsidR="00560A71">
        <w:rPr>
          <w:rStyle w:val="FootnoteReference"/>
          <w:color w:val="000000" w:themeColor="text1"/>
        </w:rPr>
        <w:footnoteReference w:id="11"/>
      </w:r>
      <w:r w:rsidR="007B521C">
        <w:rPr>
          <w:color w:val="000000" w:themeColor="text1"/>
        </w:rPr>
        <w:t xml:space="preserve"> </w:t>
      </w:r>
    </w:p>
    <w:p w:rsidR="007E3090" w:rsidRDefault="007E3090">
      <w:pPr>
        <w:jc w:val="both"/>
      </w:pPr>
    </w:p>
    <w:tbl>
      <w:tblPr>
        <w:tblW w:w="0" w:type="auto"/>
        <w:tblLook w:val="04A0" w:firstRow="1" w:lastRow="0" w:firstColumn="1" w:lastColumn="0" w:noHBand="0" w:noVBand="1"/>
      </w:tblPr>
      <w:tblGrid>
        <w:gridCol w:w="8437"/>
      </w:tblGrid>
      <w:tr w:rsidR="00F36E7B" w:rsidTr="00E33429">
        <w:tc>
          <w:tcPr>
            <w:tcW w:w="8437" w:type="dxa"/>
            <w:shd w:val="clear" w:color="auto" w:fill="D9D9D9" w:themeFill="background1" w:themeFillShade="D9"/>
          </w:tcPr>
          <w:p w:rsidR="00F36E7B" w:rsidRDefault="00F36E7B" w:rsidP="00F36E7B">
            <w:pPr>
              <w:rPr>
                <w:b/>
              </w:rPr>
            </w:pPr>
            <w:r>
              <w:rPr>
                <w:b/>
              </w:rPr>
              <w:t>Comment by GRV</w:t>
            </w:r>
            <w:r w:rsidRPr="00457D62">
              <w:rPr>
                <w:b/>
              </w:rPr>
              <w:t>;</w:t>
            </w:r>
          </w:p>
          <w:p w:rsidR="00F36E7B" w:rsidRDefault="00F36E7B" w:rsidP="00D17142">
            <w:r>
              <w:rPr>
                <w:color w:val="000000" w:themeColor="text1"/>
              </w:rPr>
              <w:t>Importantly, t</w:t>
            </w:r>
            <w:r w:rsidRPr="00984AE0">
              <w:rPr>
                <w:rFonts w:cs="Arial"/>
                <w:color w:val="040404"/>
              </w:rPr>
              <w:t>he Bittar Review into the integrity of all the State’s racing codes said GRV ‘should be applauded’ for the work it has done in terms of animal welfare and integrity.</w:t>
            </w:r>
            <w:r w:rsidR="007B521C">
              <w:rPr>
                <w:color w:val="000000" w:themeColor="text1"/>
              </w:rPr>
              <w:t xml:space="preserve"> </w:t>
            </w:r>
          </w:p>
        </w:tc>
      </w:tr>
    </w:tbl>
    <w:p w:rsidR="008072A5" w:rsidRDefault="008072A5" w:rsidP="00E15FFD">
      <w:pPr>
        <w:jc w:val="both"/>
      </w:pPr>
    </w:p>
    <w:p w:rsidR="003F09B4" w:rsidRPr="00D3271C" w:rsidRDefault="009B0F14" w:rsidP="004B0055">
      <w:pPr>
        <w:jc w:val="both"/>
      </w:pPr>
      <w:r>
        <w:t>Commissioner</w:t>
      </w:r>
      <w:r w:rsidR="00835840">
        <w:t>,</w:t>
      </w:r>
      <w:r>
        <w:t xml:space="preserve"> </w:t>
      </w:r>
      <w:r w:rsidR="00245A4F">
        <w:t xml:space="preserve">Mr Alan MacSporran QC, </w:t>
      </w:r>
      <w:r w:rsidR="00027AC2">
        <w:t>deliver</w:t>
      </w:r>
      <w:r w:rsidR="00EE1F94">
        <w:t>ed</w:t>
      </w:r>
      <w:r w:rsidR="00245A4F">
        <w:t xml:space="preserve"> a report to the Queensland Premier</w:t>
      </w:r>
      <w:r w:rsidR="00835840">
        <w:t xml:space="preserve"> </w:t>
      </w:r>
      <w:r w:rsidR="00245A4F">
        <w:t xml:space="preserve">on 1 June 2015. </w:t>
      </w:r>
      <w:r w:rsidR="00524DAC">
        <w:t xml:space="preserve">The </w:t>
      </w:r>
      <w:r w:rsidR="00241DC1" w:rsidRPr="00241DC1">
        <w:rPr>
          <w:color w:val="1F497D" w:themeColor="text2"/>
          <w:u w:val="single"/>
        </w:rPr>
        <w:t>Queensland Greyhound Racing Industry Commission of Inquiry</w:t>
      </w:r>
      <w:r w:rsidR="00524DAC" w:rsidRPr="00241DC1">
        <w:rPr>
          <w:color w:val="1F497D" w:themeColor="text2"/>
        </w:rPr>
        <w:t xml:space="preserve"> </w:t>
      </w:r>
      <w:r w:rsidR="00524DAC">
        <w:t xml:space="preserve">made recommendations </w:t>
      </w:r>
      <w:r w:rsidR="00B17D58">
        <w:t>in relation</w:t>
      </w:r>
      <w:r w:rsidR="00524DAC">
        <w:t xml:space="preserve"> to: integrity management a combined racing code board, prosecutions, tracking of greyhounds, </w:t>
      </w:r>
      <w:r w:rsidR="00B17D58">
        <w:t>over breeding</w:t>
      </w:r>
      <w:r w:rsidR="00027AC2">
        <w:t xml:space="preserve"> (wastage), licensing and training tracks</w:t>
      </w:r>
      <w:r w:rsidR="00027AC2" w:rsidRPr="009B0F14">
        <w:rPr>
          <w:i/>
        </w:rPr>
        <w:t>.</w:t>
      </w:r>
      <w:r w:rsidR="00241DC1" w:rsidRPr="00241DC1">
        <w:rPr>
          <w:rStyle w:val="FootnoteReference"/>
        </w:rPr>
        <w:footnoteReference w:id="12"/>
      </w:r>
    </w:p>
    <w:p w:rsidR="00027AC2" w:rsidRDefault="00027AC2" w:rsidP="009B0F14">
      <w:pPr>
        <w:pStyle w:val="ListParagraph"/>
        <w:ind w:left="284" w:hanging="284"/>
        <w:jc w:val="both"/>
      </w:pPr>
    </w:p>
    <w:p w:rsidR="00027AC2" w:rsidRDefault="00835840" w:rsidP="004B0055">
      <w:pPr>
        <w:jc w:val="both"/>
      </w:pPr>
      <w:r>
        <w:t>Commissioner</w:t>
      </w:r>
      <w:r w:rsidR="00EE1F94">
        <w:t>, Mr Michael McHugh AC QC, deliver</w:t>
      </w:r>
      <w:r w:rsidR="00B17D58">
        <w:t>ed</w:t>
      </w:r>
      <w:r w:rsidR="00EE1F94">
        <w:t xml:space="preserve"> a report to the Governor</w:t>
      </w:r>
      <w:r>
        <w:t xml:space="preserve"> of NSW </w:t>
      </w:r>
      <w:r w:rsidR="00027AC2">
        <w:t>on 1</w:t>
      </w:r>
      <w:r w:rsidR="00EE1F94">
        <w:t>6 June 2016</w:t>
      </w:r>
      <w:r w:rsidR="00027AC2">
        <w:t xml:space="preserve">. The </w:t>
      </w:r>
      <w:r w:rsidR="009637A1" w:rsidRPr="009637A1">
        <w:rPr>
          <w:color w:val="1F497D" w:themeColor="text2"/>
          <w:u w:val="single"/>
        </w:rPr>
        <w:t>Special Commission of Inquiry into the Greyhound ​Racing Industry in NS​​W</w:t>
      </w:r>
      <w:r w:rsidR="00027AC2" w:rsidRPr="009637A1">
        <w:rPr>
          <w:color w:val="1F497D" w:themeColor="text2"/>
        </w:rPr>
        <w:t xml:space="preserve"> </w:t>
      </w:r>
      <w:r w:rsidR="00027AC2">
        <w:t xml:space="preserve">made </w:t>
      </w:r>
      <w:r w:rsidR="00D10FB8">
        <w:t xml:space="preserve">80 recommendations </w:t>
      </w:r>
      <w:r w:rsidR="00D3271C">
        <w:t>covering the breadth of the industry including</w:t>
      </w:r>
      <w:r w:rsidR="00164792">
        <w:t xml:space="preserve">: </w:t>
      </w:r>
      <w:r w:rsidR="00D3271C">
        <w:t xml:space="preserve">management, welfare, </w:t>
      </w:r>
      <w:r w:rsidR="00164792">
        <w:t xml:space="preserve">wastage, </w:t>
      </w:r>
      <w:r w:rsidR="00D3271C">
        <w:t xml:space="preserve">identification, integrity, </w:t>
      </w:r>
      <w:r w:rsidR="00164792">
        <w:t xml:space="preserve">an </w:t>
      </w:r>
      <w:r w:rsidR="00D3271C">
        <w:t>enforceable code of practice, prosecutions and regulations. Most notably</w:t>
      </w:r>
      <w:r w:rsidR="00164792">
        <w:t xml:space="preserve"> though</w:t>
      </w:r>
      <w:r w:rsidR="00D3271C">
        <w:t>, McHugh challenged the government of NSW to ‘</w:t>
      </w:r>
      <w:r w:rsidR="00D3271C" w:rsidRPr="009B0F14">
        <w:rPr>
          <w:i/>
        </w:rPr>
        <w:t>consider whether the industry has lost its social licence and should no longer be permitted to operate in NSW’</w:t>
      </w:r>
      <w:r w:rsidR="00027AC2" w:rsidRPr="004B0055">
        <w:rPr>
          <w:rStyle w:val="FootnoteReference"/>
        </w:rPr>
        <w:footnoteReference w:id="13"/>
      </w:r>
      <w:r w:rsidR="00027AC2" w:rsidRPr="009B0F14">
        <w:rPr>
          <w:i/>
        </w:rPr>
        <w:t>.</w:t>
      </w:r>
      <w:r w:rsidR="00CD3D33" w:rsidRPr="009B0F14">
        <w:rPr>
          <w:i/>
        </w:rPr>
        <w:t xml:space="preserve"> </w:t>
      </w:r>
      <w:r w:rsidR="00CD3D33">
        <w:t>This report led to the Premier of NSW, The Hon Mike Baird, announcing on 7 July 2016 that NSW will shut down greyhound racing</w:t>
      </w:r>
      <w:r w:rsidR="00CD3D33" w:rsidRPr="004B0055">
        <w:rPr>
          <w:rStyle w:val="FootnoteReference"/>
        </w:rPr>
        <w:footnoteReference w:id="14"/>
      </w:r>
      <w:r w:rsidR="00CD3D33">
        <w:t>.</w:t>
      </w:r>
      <w:r w:rsidR="007B521C">
        <w:t xml:space="preserve"> </w:t>
      </w:r>
      <w:r w:rsidR="004851C1">
        <w:t>However,</w:t>
      </w:r>
      <w:r w:rsidR="004768DA">
        <w:t xml:space="preserve"> on the 10</w:t>
      </w:r>
      <w:r w:rsidR="004768DA" w:rsidRPr="004B0055">
        <w:rPr>
          <w:vertAlign w:val="superscript"/>
        </w:rPr>
        <w:t>th</w:t>
      </w:r>
      <w:r w:rsidR="004768DA">
        <w:t xml:space="preserve"> of October 2016, NSW </w:t>
      </w:r>
      <w:r w:rsidR="004851C1">
        <w:t>Cabinet</w:t>
      </w:r>
      <w:r w:rsidR="004768DA">
        <w:t xml:space="preserve"> ministers officially signed off on a plan to reverse the ban with a view of reducing races, having fewer tracks and a suite of tougher animal welfare measures.</w:t>
      </w:r>
      <w:r w:rsidR="004768DA">
        <w:rPr>
          <w:rStyle w:val="FootnoteReference"/>
        </w:rPr>
        <w:footnoteReference w:id="15"/>
      </w:r>
    </w:p>
    <w:p w:rsidR="007E3090" w:rsidRDefault="00ED7BD7">
      <w:pPr>
        <w:jc w:val="both"/>
      </w:pPr>
      <w:r>
        <w:lastRenderedPageBreak/>
        <w:t xml:space="preserve">In his </w:t>
      </w:r>
      <w:r w:rsidRPr="00070EEF">
        <w:t xml:space="preserve">response to the Public Accounts and Estimates Committee (PAEC) </w:t>
      </w:r>
      <w:r>
        <w:t>i</w:t>
      </w:r>
      <w:r w:rsidR="00E15FFD" w:rsidRPr="00070EEF">
        <w:t>n</w:t>
      </w:r>
      <w:r>
        <w:t xml:space="preserve"> M</w:t>
      </w:r>
      <w:r w:rsidR="00E15FFD">
        <w:t>ay</w:t>
      </w:r>
      <w:r>
        <w:t xml:space="preserve"> 2016</w:t>
      </w:r>
      <w:r w:rsidR="00E15FFD">
        <w:t xml:space="preserve">, </w:t>
      </w:r>
      <w:r w:rsidR="00E15FFD" w:rsidRPr="00070EEF">
        <w:t xml:space="preserve">the </w:t>
      </w:r>
      <w:r w:rsidR="00164792">
        <w:t xml:space="preserve">Victorian </w:t>
      </w:r>
      <w:r w:rsidR="00E15FFD" w:rsidRPr="00070EEF">
        <w:t xml:space="preserve">Minister for Racing acknowledged that racing </w:t>
      </w:r>
      <w:r w:rsidR="00E15FFD" w:rsidRPr="00070EEF">
        <w:rPr>
          <w:i/>
        </w:rPr>
        <w:t xml:space="preserve">‘operates under </w:t>
      </w:r>
      <w:r w:rsidR="00E15FFD">
        <w:rPr>
          <w:i/>
        </w:rPr>
        <w:t xml:space="preserve">a </w:t>
      </w:r>
      <w:r w:rsidR="00E15FFD" w:rsidRPr="00070EEF">
        <w:rPr>
          <w:i/>
        </w:rPr>
        <w:t xml:space="preserve">social licence’ </w:t>
      </w:r>
      <w:r w:rsidR="00E15FFD" w:rsidRPr="00070EEF">
        <w:t xml:space="preserve">and that </w:t>
      </w:r>
      <w:r w:rsidR="00E15FFD" w:rsidRPr="00070EEF">
        <w:rPr>
          <w:i/>
        </w:rPr>
        <w:t>‘that social licence was at risk after the live baiting scandal erupted’</w:t>
      </w:r>
      <w:r w:rsidR="00E15FFD" w:rsidRPr="004B0055">
        <w:rPr>
          <w:rStyle w:val="FootnoteReference"/>
        </w:rPr>
        <w:footnoteReference w:id="16"/>
      </w:r>
      <w:r w:rsidR="00E15FFD">
        <w:rPr>
          <w:i/>
        </w:rPr>
        <w:t>.</w:t>
      </w:r>
      <w:r w:rsidR="007B521C">
        <w:rPr>
          <w:i/>
        </w:rPr>
        <w:t xml:space="preserve"> </w:t>
      </w:r>
    </w:p>
    <w:p w:rsidR="007E3090" w:rsidRPr="007E3090" w:rsidRDefault="007E3090">
      <w:pPr>
        <w:jc w:val="both"/>
      </w:pPr>
    </w:p>
    <w:tbl>
      <w:tblPr>
        <w:tblW w:w="0" w:type="auto"/>
        <w:tblLook w:val="04A0" w:firstRow="1" w:lastRow="0" w:firstColumn="1" w:lastColumn="0" w:noHBand="0" w:noVBand="1"/>
      </w:tblPr>
      <w:tblGrid>
        <w:gridCol w:w="8437"/>
      </w:tblGrid>
      <w:tr w:rsidR="00FE7700" w:rsidTr="00FE7700">
        <w:tc>
          <w:tcPr>
            <w:tcW w:w="8437" w:type="dxa"/>
            <w:shd w:val="clear" w:color="auto" w:fill="D9D9D9" w:themeFill="background1" w:themeFillShade="D9"/>
          </w:tcPr>
          <w:p w:rsidR="00FE7700" w:rsidRDefault="00FE7700" w:rsidP="00FE7700">
            <w:pPr>
              <w:rPr>
                <w:b/>
              </w:rPr>
            </w:pPr>
            <w:r>
              <w:rPr>
                <w:b/>
              </w:rPr>
              <w:t>Comment by GRV</w:t>
            </w:r>
            <w:r w:rsidRPr="00457D62">
              <w:rPr>
                <w:b/>
              </w:rPr>
              <w:t>;</w:t>
            </w:r>
          </w:p>
          <w:p w:rsidR="00FE7700" w:rsidRDefault="00FE7700" w:rsidP="00FE7700">
            <w:pPr>
              <w:jc w:val="both"/>
            </w:pPr>
            <w:r>
              <w:t>The Government has made animal welfare a priority for GRV.</w:t>
            </w:r>
            <w:r w:rsidR="007B521C">
              <w:t xml:space="preserve"> </w:t>
            </w:r>
            <w:r>
              <w:t>Since these reviews, GRV and the Victorian Government, with oversight from the Greyhound Welfare Reform Taskforce, have already implemented many of the 68 recommendations made by the RIC and CVO Reports including prioritising animal welfare within GRV (including the appointment of a veterinarian on the GRV board), statutory animal welfare requirements, banning lures that use animal materials, stronger penalties for animal cruelty and increased inspection and investigation powers.</w:t>
            </w:r>
            <w:r w:rsidR="007B521C">
              <w:t xml:space="preserve"> </w:t>
            </w:r>
          </w:p>
          <w:p w:rsidR="00FE7700" w:rsidRDefault="00FE7700" w:rsidP="00FE7700">
            <w:pPr>
              <w:jc w:val="both"/>
            </w:pPr>
          </w:p>
          <w:p w:rsidR="00FE7700" w:rsidRDefault="00FE7700" w:rsidP="00FE7700">
            <w:pPr>
              <w:jc w:val="both"/>
            </w:pPr>
            <w:r>
              <w:t>Other recommendations are now being implemented such as a new mandatory code of practice for greyhound premises</w:t>
            </w:r>
            <w:r w:rsidR="00D17142">
              <w:t>. The</w:t>
            </w:r>
            <w:r>
              <w:t xml:space="preserve"> integrity issues raised by the RIC and CVO reports are being dealt with through the Bittar Review’s recommendations.</w:t>
            </w:r>
          </w:p>
          <w:p w:rsidR="00FE7700" w:rsidRDefault="00FE7700" w:rsidP="00FE7700">
            <w:pPr>
              <w:jc w:val="both"/>
            </w:pPr>
          </w:p>
          <w:p w:rsidR="00FE7700" w:rsidRDefault="00FE7700" w:rsidP="00FE7700">
            <w:pPr>
              <w:jc w:val="both"/>
            </w:pPr>
            <w:r>
              <w:t>GRV has committed $3.5 million to expand its Greyhound Adoption Program, one of the largest in the world, which has rehomed around 7,000 greyhounds to date and is also working with other greyhound rehoming agencies.</w:t>
            </w:r>
          </w:p>
          <w:p w:rsidR="00FE7700" w:rsidRDefault="00FE7700" w:rsidP="00FE7700">
            <w:pPr>
              <w:jc w:val="both"/>
            </w:pPr>
          </w:p>
          <w:p w:rsidR="00FE7700" w:rsidRDefault="00FE7700" w:rsidP="00D17142">
            <w:r>
              <w:t>GRV has also created new senior integrity, animal welfare and legal roles and is putting in place major initiatives to reduce breeding, injury and euthanasia rates and strengthen greyhound racing clubs as community centres.</w:t>
            </w:r>
          </w:p>
        </w:tc>
      </w:tr>
    </w:tbl>
    <w:p w:rsidR="00584B37" w:rsidRDefault="00584B37">
      <w:pPr>
        <w:jc w:val="both"/>
      </w:pPr>
    </w:p>
    <w:p w:rsidR="00560A71" w:rsidRPr="00560A71" w:rsidRDefault="00EB03D7" w:rsidP="00E91D87">
      <w:pPr>
        <w:pStyle w:val="H13pt"/>
        <w:rPr>
          <w:rFonts w:eastAsiaTheme="majorEastAsia"/>
        </w:rPr>
      </w:pPr>
      <w:bookmarkStart w:id="30" w:name="_Toc469529134"/>
      <w:bookmarkStart w:id="31" w:name="_Toc477190145"/>
      <w:r>
        <w:rPr>
          <w:rFonts w:eastAsiaTheme="majorEastAsia"/>
        </w:rPr>
        <w:t>1.2</w:t>
      </w:r>
      <w:r w:rsidR="001C22D0">
        <w:rPr>
          <w:rFonts w:eastAsiaTheme="majorEastAsia"/>
        </w:rPr>
        <w:t xml:space="preserve"> </w:t>
      </w:r>
      <w:r w:rsidR="00560A71">
        <w:rPr>
          <w:rFonts w:eastAsiaTheme="majorEastAsia"/>
        </w:rPr>
        <w:t xml:space="preserve">The </w:t>
      </w:r>
      <w:r w:rsidR="009D44E8">
        <w:rPr>
          <w:rFonts w:eastAsiaTheme="majorEastAsia"/>
        </w:rPr>
        <w:t>Victorian greyhound racing i</w:t>
      </w:r>
      <w:r w:rsidR="00560A71">
        <w:rPr>
          <w:rFonts w:eastAsiaTheme="majorEastAsia"/>
        </w:rPr>
        <w:t>ndustry</w:t>
      </w:r>
      <w:bookmarkEnd w:id="30"/>
      <w:bookmarkEnd w:id="31"/>
    </w:p>
    <w:p w:rsidR="00940DC8" w:rsidRDefault="00C1288C" w:rsidP="00FB1173">
      <w:pPr>
        <w:jc w:val="both"/>
      </w:pPr>
      <w:r w:rsidRPr="000B1D58">
        <w:t xml:space="preserve">Greyhound racing is promoted as </w:t>
      </w:r>
      <w:r>
        <w:t xml:space="preserve">a </w:t>
      </w:r>
      <w:r w:rsidRPr="000B1D58">
        <w:t>relatively low cost and affordable sport</w:t>
      </w:r>
      <w:r>
        <w:t xml:space="preserve"> and</w:t>
      </w:r>
      <w:r w:rsidRPr="000B1D58">
        <w:t xml:space="preserve"> associated with ‘battlers’</w:t>
      </w:r>
      <w:r w:rsidRPr="004134B2">
        <w:rPr>
          <w:rStyle w:val="FootnoteReference"/>
          <w:rFonts w:asciiTheme="majorHAnsi" w:hAnsiTheme="majorHAnsi"/>
          <w:color w:val="000000" w:themeColor="text1"/>
        </w:rPr>
        <w:footnoteReference w:id="17"/>
      </w:r>
      <w:r w:rsidRPr="000B1D58">
        <w:t>.</w:t>
      </w:r>
      <w:r w:rsidR="007B521C">
        <w:t xml:space="preserve"> </w:t>
      </w:r>
      <w:r>
        <w:t>According to GRV the average price of a greyhound in a 2014 auction in Bendigo was $5,800</w:t>
      </w:r>
      <w:r w:rsidRPr="004F5EB6">
        <w:rPr>
          <w:rStyle w:val="FootnoteReference"/>
          <w:rFonts w:asciiTheme="majorHAnsi" w:hAnsiTheme="majorHAnsi"/>
          <w:color w:val="000000" w:themeColor="text1"/>
        </w:rPr>
        <w:footnoteReference w:id="18"/>
      </w:r>
      <w:r>
        <w:t>.</w:t>
      </w:r>
      <w:r w:rsidR="007B521C">
        <w:t xml:space="preserve"> </w:t>
      </w:r>
      <w:r w:rsidR="00EE4C8D">
        <w:t xml:space="preserve">The greyhound racing </w:t>
      </w:r>
      <w:r w:rsidR="00EE4C8D" w:rsidRPr="00FE399E">
        <w:t>industry</w:t>
      </w:r>
      <w:r w:rsidR="00114DD1">
        <w:t xml:space="preserve"> (‘the industry’)</w:t>
      </w:r>
      <w:r w:rsidR="00EE4C8D" w:rsidRPr="00FE399E">
        <w:t xml:space="preserve"> </w:t>
      </w:r>
      <w:r w:rsidR="00EE4C8D">
        <w:t xml:space="preserve">is generally </w:t>
      </w:r>
      <w:r w:rsidR="00EE4C8D" w:rsidRPr="00FE399E">
        <w:t>made up of hobbyist</w:t>
      </w:r>
      <w:r w:rsidR="00EE4C8D">
        <w:t>s</w:t>
      </w:r>
      <w:r w:rsidR="00EE4C8D" w:rsidRPr="00FE399E">
        <w:t xml:space="preserve"> and small business</w:t>
      </w:r>
      <w:r w:rsidR="00EE4C8D">
        <w:t xml:space="preserve">es, commonly referred to as ‘participants’. </w:t>
      </w:r>
      <w:r w:rsidR="00114DD1">
        <w:t>Greyhound Racing Victoria (</w:t>
      </w:r>
      <w:r w:rsidR="00114DD1" w:rsidRPr="00070EEF">
        <w:t>GR</w:t>
      </w:r>
      <w:r w:rsidR="00114DD1">
        <w:t xml:space="preserve">V) controls the registration of dogs and participants. </w:t>
      </w:r>
      <w:r w:rsidR="00FB1173">
        <w:t>Owners are typically made up of a single</w:t>
      </w:r>
      <w:r w:rsidR="00FB1173" w:rsidRPr="00FB1173">
        <w:t xml:space="preserve"> individual or a syndicate</w:t>
      </w:r>
      <w:r w:rsidR="00FB1173">
        <w:t xml:space="preserve"> of people</w:t>
      </w:r>
      <w:r w:rsidR="00B9118C">
        <w:t xml:space="preserve"> with the around 98% </w:t>
      </w:r>
      <w:r w:rsidR="005E307C">
        <w:br/>
      </w:r>
      <w:r w:rsidR="00B9118C">
        <w:t xml:space="preserve">of owners being small (i.e. having less than 9 greyhounds that had a start), as shown </w:t>
      </w:r>
      <w:r w:rsidR="005E307C">
        <w:br/>
      </w:r>
      <w:r w:rsidR="00B9118C">
        <w:t>in Table 1.</w:t>
      </w:r>
    </w:p>
    <w:p w:rsidR="00B9118C" w:rsidRDefault="00B9118C" w:rsidP="00B9118C">
      <w:pPr>
        <w:jc w:val="center"/>
        <w:rPr>
          <w:b/>
          <w:sz w:val="20"/>
          <w:szCs w:val="20"/>
        </w:rPr>
      </w:pPr>
    </w:p>
    <w:p w:rsidR="00B9118C" w:rsidRDefault="00B9118C" w:rsidP="004B0055">
      <w:pPr>
        <w:jc w:val="center"/>
      </w:pPr>
      <w:r>
        <w:rPr>
          <w:b/>
          <w:sz w:val="20"/>
          <w:szCs w:val="20"/>
        </w:rPr>
        <w:t xml:space="preserve">Table 1: </w:t>
      </w:r>
      <w:r w:rsidR="004851C1">
        <w:rPr>
          <w:b/>
          <w:sz w:val="20"/>
          <w:szCs w:val="20"/>
        </w:rPr>
        <w:t>Average</w:t>
      </w:r>
      <w:r w:rsidR="00D301F1">
        <w:rPr>
          <w:b/>
          <w:sz w:val="20"/>
          <w:szCs w:val="20"/>
        </w:rPr>
        <w:t xml:space="preserve"> </w:t>
      </w:r>
      <w:r w:rsidR="0001209D">
        <w:rPr>
          <w:b/>
          <w:sz w:val="20"/>
          <w:szCs w:val="20"/>
        </w:rPr>
        <w:t xml:space="preserve">No. </w:t>
      </w:r>
      <w:r>
        <w:rPr>
          <w:b/>
          <w:sz w:val="20"/>
          <w:szCs w:val="20"/>
        </w:rPr>
        <w:t xml:space="preserve">registered </w:t>
      </w:r>
      <w:r w:rsidR="00D301F1">
        <w:rPr>
          <w:b/>
          <w:sz w:val="20"/>
          <w:szCs w:val="20"/>
        </w:rPr>
        <w:t>unique</w:t>
      </w:r>
      <w:r w:rsidR="00D301F1">
        <w:rPr>
          <w:rStyle w:val="FootnoteReference"/>
          <w:b/>
          <w:sz w:val="20"/>
          <w:szCs w:val="20"/>
        </w:rPr>
        <w:footnoteReference w:id="19"/>
      </w:r>
      <w:r w:rsidR="00D301F1">
        <w:rPr>
          <w:b/>
          <w:sz w:val="20"/>
          <w:szCs w:val="20"/>
        </w:rPr>
        <w:t xml:space="preserve"> owners</w:t>
      </w:r>
      <w:r w:rsidR="005F749C">
        <w:rPr>
          <w:b/>
          <w:sz w:val="20"/>
          <w:szCs w:val="20"/>
        </w:rPr>
        <w:t xml:space="preserve"> including syndicates</w:t>
      </w:r>
      <w:r w:rsidR="00D301F1">
        <w:rPr>
          <w:b/>
          <w:sz w:val="20"/>
          <w:szCs w:val="20"/>
        </w:rPr>
        <w:t xml:space="preserve"> (participants)</w:t>
      </w:r>
      <w:r>
        <w:rPr>
          <w:b/>
          <w:sz w:val="20"/>
          <w:szCs w:val="20"/>
        </w:rPr>
        <w:t xml:space="preserve"> by size </w:t>
      </w:r>
    </w:p>
    <w:p w:rsidR="00B9118C" w:rsidRDefault="00B9118C" w:rsidP="004B0055">
      <w:pPr>
        <w:jc w:val="center"/>
      </w:pPr>
    </w:p>
    <w:tbl>
      <w:tblPr>
        <w:tblW w:w="7660" w:type="dxa"/>
        <w:jc w:val="center"/>
        <w:tblLook w:val="04A0" w:firstRow="1" w:lastRow="0" w:firstColumn="1" w:lastColumn="0" w:noHBand="0" w:noVBand="1"/>
      </w:tblPr>
      <w:tblGrid>
        <w:gridCol w:w="2410"/>
        <w:gridCol w:w="967"/>
        <w:gridCol w:w="967"/>
        <w:gridCol w:w="967"/>
        <w:gridCol w:w="1635"/>
        <w:gridCol w:w="714"/>
      </w:tblGrid>
      <w:tr w:rsidR="005E307C" w:rsidRPr="005E307C" w:rsidTr="000274AB">
        <w:trPr>
          <w:trHeight w:val="50"/>
          <w:tblHeader/>
          <w:jc w:val="center"/>
        </w:trPr>
        <w:tc>
          <w:tcPr>
            <w:tcW w:w="2410" w:type="dxa"/>
            <w:tcBorders>
              <w:top w:val="single" w:sz="4" w:space="0" w:color="1F4E78"/>
              <w:left w:val="nil"/>
              <w:bottom w:val="double" w:sz="4" w:space="0" w:color="1F4E78"/>
              <w:right w:val="nil"/>
            </w:tcBorders>
            <w:shd w:val="clear" w:color="000000" w:fill="FFFFFF"/>
            <w:noWrap/>
            <w:vAlign w:val="bottom"/>
            <w:hideMark/>
          </w:tcPr>
          <w:p w:rsidR="001B49AC" w:rsidRPr="005E307C" w:rsidRDefault="001B49AC" w:rsidP="001B49AC">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Category of participants</w:t>
            </w:r>
            <w:r w:rsidRPr="005E307C">
              <w:rPr>
                <w:rFonts w:eastAsia="Times New Roman" w:cs="Calibri"/>
                <w:b/>
                <w:bCs/>
                <w:color w:val="53565A"/>
                <w:sz w:val="20"/>
                <w:szCs w:val="20"/>
                <w:vertAlign w:val="superscript"/>
                <w:lang w:eastAsia="en-AU"/>
              </w:rPr>
              <w:t>#</w:t>
            </w:r>
          </w:p>
        </w:tc>
        <w:tc>
          <w:tcPr>
            <w:tcW w:w="967" w:type="dxa"/>
            <w:tcBorders>
              <w:top w:val="single" w:sz="4" w:space="0" w:color="1F4E78"/>
              <w:left w:val="nil"/>
              <w:bottom w:val="double" w:sz="4" w:space="0" w:color="1F4E78"/>
              <w:right w:val="nil"/>
            </w:tcBorders>
            <w:shd w:val="clear" w:color="000000" w:fill="FFFFFF"/>
            <w:noWrap/>
            <w:vAlign w:val="bottom"/>
            <w:hideMark/>
          </w:tcPr>
          <w:p w:rsidR="001B49AC" w:rsidRPr="005E307C" w:rsidRDefault="001B49AC" w:rsidP="001B49AC">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2015-16</w:t>
            </w:r>
          </w:p>
        </w:tc>
        <w:tc>
          <w:tcPr>
            <w:tcW w:w="967" w:type="dxa"/>
            <w:tcBorders>
              <w:top w:val="single" w:sz="4" w:space="0" w:color="1F4E78"/>
              <w:left w:val="nil"/>
              <w:bottom w:val="double" w:sz="4" w:space="0" w:color="1F4E78"/>
              <w:right w:val="nil"/>
            </w:tcBorders>
            <w:shd w:val="clear" w:color="000000" w:fill="FFFFFF"/>
            <w:noWrap/>
            <w:vAlign w:val="bottom"/>
            <w:hideMark/>
          </w:tcPr>
          <w:p w:rsidR="001B49AC" w:rsidRPr="005E307C" w:rsidRDefault="001B49AC" w:rsidP="001B49AC">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2014-15</w:t>
            </w:r>
          </w:p>
        </w:tc>
        <w:tc>
          <w:tcPr>
            <w:tcW w:w="967" w:type="dxa"/>
            <w:tcBorders>
              <w:top w:val="single" w:sz="4" w:space="0" w:color="1F4E78"/>
              <w:left w:val="nil"/>
              <w:bottom w:val="double" w:sz="4" w:space="0" w:color="1F4E78"/>
              <w:right w:val="nil"/>
            </w:tcBorders>
            <w:shd w:val="clear" w:color="000000" w:fill="FFFFFF"/>
            <w:noWrap/>
            <w:vAlign w:val="bottom"/>
            <w:hideMark/>
          </w:tcPr>
          <w:p w:rsidR="001B49AC" w:rsidRPr="005E307C" w:rsidRDefault="001B49AC" w:rsidP="001B49AC">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2013-14</w:t>
            </w:r>
          </w:p>
        </w:tc>
        <w:tc>
          <w:tcPr>
            <w:tcW w:w="1635" w:type="dxa"/>
            <w:tcBorders>
              <w:top w:val="single" w:sz="4" w:space="0" w:color="1F4E78"/>
              <w:left w:val="nil"/>
              <w:bottom w:val="double" w:sz="4" w:space="0" w:color="1F4E78"/>
              <w:right w:val="nil"/>
            </w:tcBorders>
            <w:shd w:val="clear" w:color="000000" w:fill="FFFFFF"/>
            <w:vAlign w:val="bottom"/>
            <w:hideMark/>
          </w:tcPr>
          <w:p w:rsidR="001B49AC" w:rsidRPr="005E307C" w:rsidRDefault="001B49AC" w:rsidP="001B49AC">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Avg</w:t>
            </w:r>
            <w:r w:rsidR="008E66B4" w:rsidRPr="005E307C">
              <w:rPr>
                <w:rFonts w:eastAsia="Times New Roman" w:cs="Calibri"/>
                <w:b/>
                <w:bCs/>
                <w:color w:val="53565A"/>
                <w:sz w:val="20"/>
                <w:szCs w:val="20"/>
                <w:lang w:eastAsia="en-AU"/>
              </w:rPr>
              <w:t>.</w:t>
            </w:r>
            <w:r w:rsidRPr="005E307C">
              <w:rPr>
                <w:rFonts w:eastAsia="Times New Roman" w:cs="Calibri"/>
                <w:b/>
                <w:bCs/>
                <w:color w:val="53565A"/>
                <w:sz w:val="20"/>
                <w:szCs w:val="20"/>
                <w:lang w:eastAsia="en-AU"/>
              </w:rPr>
              <w:t xml:space="preserve"> No. </w:t>
            </w:r>
            <w:r w:rsidR="0001209D" w:rsidRPr="005E307C">
              <w:rPr>
                <w:rFonts w:eastAsia="Times New Roman" w:cs="Calibri"/>
                <w:b/>
                <w:bCs/>
                <w:color w:val="53565A"/>
                <w:sz w:val="20"/>
                <w:szCs w:val="20"/>
                <w:lang w:eastAsia="en-AU"/>
              </w:rPr>
              <w:t xml:space="preserve">unique </w:t>
            </w:r>
            <w:r w:rsidRPr="005E307C">
              <w:rPr>
                <w:rFonts w:eastAsia="Times New Roman" w:cs="Calibri"/>
                <w:b/>
                <w:bCs/>
                <w:color w:val="53565A"/>
                <w:sz w:val="20"/>
                <w:szCs w:val="20"/>
                <w:lang w:eastAsia="en-AU"/>
              </w:rPr>
              <w:t>participants</w:t>
            </w:r>
          </w:p>
        </w:tc>
        <w:tc>
          <w:tcPr>
            <w:tcW w:w="714" w:type="dxa"/>
            <w:tcBorders>
              <w:top w:val="single" w:sz="4" w:space="0" w:color="1F4E78"/>
              <w:left w:val="nil"/>
              <w:bottom w:val="double" w:sz="4" w:space="0" w:color="1F4E78"/>
              <w:right w:val="nil"/>
            </w:tcBorders>
            <w:shd w:val="clear" w:color="000000" w:fill="FFFFFF"/>
            <w:noWrap/>
            <w:vAlign w:val="bottom"/>
            <w:hideMark/>
          </w:tcPr>
          <w:p w:rsidR="001B49AC" w:rsidRPr="005E307C" w:rsidRDefault="001B49AC" w:rsidP="001B49AC">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w:t>
            </w:r>
          </w:p>
        </w:tc>
      </w:tr>
      <w:tr w:rsidR="0001209D" w:rsidRPr="001B49AC" w:rsidTr="000274AB">
        <w:trPr>
          <w:trHeight w:val="25"/>
          <w:jc w:val="center"/>
        </w:trPr>
        <w:tc>
          <w:tcPr>
            <w:tcW w:w="2410" w:type="dxa"/>
            <w:tcBorders>
              <w:top w:val="double" w:sz="4" w:space="0" w:color="1F4E78"/>
              <w:left w:val="nil"/>
              <w:bottom w:val="nil"/>
              <w:right w:val="nil"/>
            </w:tcBorders>
            <w:shd w:val="clear" w:color="000000" w:fill="FFFFFF"/>
            <w:noWrap/>
            <w:vAlign w:val="bottom"/>
            <w:hideMark/>
          </w:tcPr>
          <w:p w:rsidR="001B49AC" w:rsidRPr="001B49AC" w:rsidRDefault="001B49AC" w:rsidP="001B49AC">
            <w:pPr>
              <w:rPr>
                <w:rFonts w:eastAsia="Times New Roman" w:cs="Calibri"/>
                <w:sz w:val="20"/>
                <w:szCs w:val="20"/>
                <w:lang w:eastAsia="en-AU"/>
              </w:rPr>
            </w:pPr>
            <w:r w:rsidRPr="001B49AC">
              <w:rPr>
                <w:rFonts w:eastAsia="Times New Roman" w:cs="Calibri"/>
                <w:sz w:val="20"/>
                <w:szCs w:val="20"/>
                <w:lang w:eastAsia="en-AU"/>
              </w:rPr>
              <w:t xml:space="preserve">Large owners </w:t>
            </w:r>
          </w:p>
        </w:tc>
        <w:tc>
          <w:tcPr>
            <w:tcW w:w="967" w:type="dxa"/>
            <w:tcBorders>
              <w:top w:val="double" w:sz="4" w:space="0" w:color="1F4E78"/>
              <w:left w:val="nil"/>
              <w:bottom w:val="nil"/>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87</w:t>
            </w:r>
          </w:p>
        </w:tc>
        <w:tc>
          <w:tcPr>
            <w:tcW w:w="967" w:type="dxa"/>
            <w:tcBorders>
              <w:top w:val="double" w:sz="4" w:space="0" w:color="1F4E78"/>
              <w:left w:val="nil"/>
              <w:bottom w:val="nil"/>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91</w:t>
            </w:r>
          </w:p>
        </w:tc>
        <w:tc>
          <w:tcPr>
            <w:tcW w:w="967" w:type="dxa"/>
            <w:tcBorders>
              <w:top w:val="double" w:sz="4" w:space="0" w:color="1F4E78"/>
              <w:left w:val="nil"/>
              <w:bottom w:val="nil"/>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84</w:t>
            </w:r>
          </w:p>
        </w:tc>
        <w:tc>
          <w:tcPr>
            <w:tcW w:w="1635" w:type="dxa"/>
            <w:tcBorders>
              <w:top w:val="double" w:sz="4" w:space="0" w:color="1F4E78"/>
              <w:left w:val="nil"/>
              <w:bottom w:val="nil"/>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87</w:t>
            </w:r>
          </w:p>
        </w:tc>
        <w:tc>
          <w:tcPr>
            <w:tcW w:w="714" w:type="dxa"/>
            <w:tcBorders>
              <w:top w:val="double" w:sz="4" w:space="0" w:color="1F4E78"/>
              <w:left w:val="nil"/>
              <w:bottom w:val="nil"/>
              <w:right w:val="nil"/>
            </w:tcBorders>
            <w:shd w:val="clear" w:color="000000" w:fill="FFFFFF"/>
            <w:noWrap/>
            <w:vAlign w:val="bottom"/>
            <w:hideMark/>
          </w:tcPr>
          <w:p w:rsidR="001B49AC" w:rsidRPr="001B49AC" w:rsidRDefault="0001209D" w:rsidP="001B49AC">
            <w:pPr>
              <w:jc w:val="center"/>
              <w:rPr>
                <w:rFonts w:eastAsia="Times New Roman" w:cs="Calibri"/>
                <w:sz w:val="20"/>
                <w:szCs w:val="20"/>
                <w:lang w:eastAsia="en-AU"/>
              </w:rPr>
            </w:pPr>
            <w:r>
              <w:rPr>
                <w:rFonts w:eastAsia="Times New Roman" w:cs="Calibri"/>
                <w:sz w:val="20"/>
                <w:szCs w:val="20"/>
                <w:lang w:eastAsia="en-AU"/>
              </w:rPr>
              <w:t>2.5</w:t>
            </w:r>
            <w:r w:rsidR="001B49AC" w:rsidRPr="001B49AC">
              <w:rPr>
                <w:rFonts w:eastAsia="Times New Roman" w:cs="Calibri"/>
                <w:sz w:val="20"/>
                <w:szCs w:val="20"/>
                <w:lang w:eastAsia="en-AU"/>
              </w:rPr>
              <w:t>%</w:t>
            </w:r>
          </w:p>
        </w:tc>
      </w:tr>
      <w:tr w:rsidR="0001209D" w:rsidRPr="001B49AC" w:rsidTr="000274AB">
        <w:trPr>
          <w:trHeight w:val="60"/>
          <w:jc w:val="center"/>
        </w:trPr>
        <w:tc>
          <w:tcPr>
            <w:tcW w:w="2410" w:type="dxa"/>
            <w:tcBorders>
              <w:top w:val="nil"/>
              <w:left w:val="nil"/>
              <w:bottom w:val="single" w:sz="4" w:space="0" w:color="1F4E78"/>
              <w:right w:val="nil"/>
            </w:tcBorders>
            <w:shd w:val="clear" w:color="000000" w:fill="FFFFFF"/>
            <w:noWrap/>
            <w:vAlign w:val="bottom"/>
            <w:hideMark/>
          </w:tcPr>
          <w:p w:rsidR="001B49AC" w:rsidRPr="001B49AC" w:rsidRDefault="005F749C" w:rsidP="001B49AC">
            <w:pPr>
              <w:rPr>
                <w:rFonts w:eastAsia="Times New Roman" w:cs="Calibri"/>
                <w:sz w:val="20"/>
                <w:szCs w:val="20"/>
                <w:lang w:eastAsia="en-AU"/>
              </w:rPr>
            </w:pPr>
            <w:r>
              <w:rPr>
                <w:rFonts w:eastAsia="Times New Roman" w:cs="Calibri"/>
                <w:sz w:val="20"/>
                <w:szCs w:val="20"/>
                <w:lang w:eastAsia="en-AU"/>
              </w:rPr>
              <w:t xml:space="preserve">Small owners </w:t>
            </w:r>
          </w:p>
        </w:tc>
        <w:tc>
          <w:tcPr>
            <w:tcW w:w="967" w:type="dxa"/>
            <w:tcBorders>
              <w:top w:val="nil"/>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3,346</w:t>
            </w:r>
          </w:p>
        </w:tc>
        <w:tc>
          <w:tcPr>
            <w:tcW w:w="967" w:type="dxa"/>
            <w:tcBorders>
              <w:top w:val="nil"/>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3,441</w:t>
            </w:r>
          </w:p>
        </w:tc>
        <w:tc>
          <w:tcPr>
            <w:tcW w:w="967" w:type="dxa"/>
            <w:tcBorders>
              <w:top w:val="nil"/>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3,430</w:t>
            </w:r>
          </w:p>
        </w:tc>
        <w:tc>
          <w:tcPr>
            <w:tcW w:w="1635" w:type="dxa"/>
            <w:tcBorders>
              <w:top w:val="nil"/>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sz w:val="20"/>
                <w:szCs w:val="20"/>
                <w:lang w:eastAsia="en-AU"/>
              </w:rPr>
            </w:pPr>
            <w:r w:rsidRPr="001B49AC">
              <w:rPr>
                <w:rFonts w:eastAsia="Times New Roman" w:cs="Calibri"/>
                <w:sz w:val="20"/>
                <w:szCs w:val="20"/>
                <w:lang w:eastAsia="en-AU"/>
              </w:rPr>
              <w:t>3,406</w:t>
            </w:r>
          </w:p>
        </w:tc>
        <w:tc>
          <w:tcPr>
            <w:tcW w:w="714" w:type="dxa"/>
            <w:tcBorders>
              <w:top w:val="nil"/>
              <w:left w:val="nil"/>
              <w:bottom w:val="single" w:sz="4" w:space="0" w:color="1F4E78"/>
              <w:right w:val="nil"/>
            </w:tcBorders>
            <w:shd w:val="clear" w:color="000000" w:fill="FFFFFF"/>
            <w:noWrap/>
            <w:vAlign w:val="bottom"/>
            <w:hideMark/>
          </w:tcPr>
          <w:p w:rsidR="001B49AC" w:rsidRPr="001B49AC" w:rsidRDefault="0001209D" w:rsidP="001B49AC">
            <w:pPr>
              <w:jc w:val="center"/>
              <w:rPr>
                <w:rFonts w:eastAsia="Times New Roman" w:cs="Calibri"/>
                <w:sz w:val="20"/>
                <w:szCs w:val="20"/>
                <w:lang w:eastAsia="en-AU"/>
              </w:rPr>
            </w:pPr>
            <w:r>
              <w:rPr>
                <w:rFonts w:eastAsia="Times New Roman" w:cs="Calibri"/>
                <w:sz w:val="20"/>
                <w:szCs w:val="20"/>
                <w:lang w:eastAsia="en-AU"/>
              </w:rPr>
              <w:t>97.5</w:t>
            </w:r>
            <w:r w:rsidR="001B49AC" w:rsidRPr="001B49AC">
              <w:rPr>
                <w:rFonts w:eastAsia="Times New Roman" w:cs="Calibri"/>
                <w:sz w:val="20"/>
                <w:szCs w:val="20"/>
                <w:lang w:eastAsia="en-AU"/>
              </w:rPr>
              <w:t>%</w:t>
            </w:r>
          </w:p>
        </w:tc>
      </w:tr>
      <w:tr w:rsidR="0001209D" w:rsidRPr="001B49AC" w:rsidTr="000274AB">
        <w:trPr>
          <w:trHeight w:val="50"/>
          <w:jc w:val="center"/>
        </w:trPr>
        <w:tc>
          <w:tcPr>
            <w:tcW w:w="2410"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rPr>
                <w:rFonts w:eastAsia="Times New Roman" w:cs="Calibri"/>
                <w:b/>
                <w:bCs/>
                <w:i/>
                <w:iCs/>
                <w:sz w:val="20"/>
                <w:szCs w:val="20"/>
                <w:lang w:eastAsia="en-AU"/>
              </w:rPr>
            </w:pPr>
            <w:r w:rsidRPr="001B49AC">
              <w:rPr>
                <w:rFonts w:eastAsia="Times New Roman" w:cs="Calibri"/>
                <w:b/>
                <w:bCs/>
                <w:i/>
                <w:iCs/>
                <w:sz w:val="20"/>
                <w:szCs w:val="20"/>
                <w:lang w:eastAsia="en-AU"/>
              </w:rPr>
              <w:t>Total</w:t>
            </w:r>
          </w:p>
        </w:tc>
        <w:tc>
          <w:tcPr>
            <w:tcW w:w="967"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b/>
                <w:bCs/>
                <w:i/>
                <w:iCs/>
                <w:sz w:val="20"/>
                <w:szCs w:val="20"/>
                <w:lang w:eastAsia="en-AU"/>
              </w:rPr>
            </w:pPr>
            <w:r w:rsidRPr="001B49AC">
              <w:rPr>
                <w:rFonts w:eastAsia="Times New Roman" w:cs="Calibri"/>
                <w:b/>
                <w:bCs/>
                <w:i/>
                <w:iCs/>
                <w:sz w:val="20"/>
                <w:szCs w:val="20"/>
                <w:lang w:eastAsia="en-AU"/>
              </w:rPr>
              <w:t>3,433</w:t>
            </w:r>
          </w:p>
        </w:tc>
        <w:tc>
          <w:tcPr>
            <w:tcW w:w="967"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b/>
                <w:bCs/>
                <w:i/>
                <w:iCs/>
                <w:sz w:val="20"/>
                <w:szCs w:val="20"/>
                <w:lang w:eastAsia="en-AU"/>
              </w:rPr>
            </w:pPr>
            <w:r w:rsidRPr="001B49AC">
              <w:rPr>
                <w:rFonts w:eastAsia="Times New Roman" w:cs="Calibri"/>
                <w:b/>
                <w:bCs/>
                <w:i/>
                <w:iCs/>
                <w:sz w:val="20"/>
                <w:szCs w:val="20"/>
                <w:lang w:eastAsia="en-AU"/>
              </w:rPr>
              <w:t>3,532</w:t>
            </w:r>
          </w:p>
        </w:tc>
        <w:tc>
          <w:tcPr>
            <w:tcW w:w="967"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b/>
                <w:bCs/>
                <w:i/>
                <w:iCs/>
                <w:sz w:val="20"/>
                <w:szCs w:val="20"/>
                <w:lang w:eastAsia="en-AU"/>
              </w:rPr>
            </w:pPr>
            <w:r w:rsidRPr="001B49AC">
              <w:rPr>
                <w:rFonts w:eastAsia="Times New Roman" w:cs="Calibri"/>
                <w:b/>
                <w:bCs/>
                <w:i/>
                <w:iCs/>
                <w:sz w:val="20"/>
                <w:szCs w:val="20"/>
                <w:lang w:eastAsia="en-AU"/>
              </w:rPr>
              <w:t>3,514</w:t>
            </w:r>
          </w:p>
        </w:tc>
        <w:tc>
          <w:tcPr>
            <w:tcW w:w="1635"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b/>
                <w:bCs/>
                <w:i/>
                <w:iCs/>
                <w:sz w:val="20"/>
                <w:szCs w:val="20"/>
                <w:lang w:eastAsia="en-AU"/>
              </w:rPr>
            </w:pPr>
            <w:r w:rsidRPr="001B49AC">
              <w:rPr>
                <w:rFonts w:eastAsia="Times New Roman" w:cs="Calibri"/>
                <w:b/>
                <w:bCs/>
                <w:i/>
                <w:iCs/>
                <w:sz w:val="20"/>
                <w:szCs w:val="20"/>
                <w:lang w:eastAsia="en-AU"/>
              </w:rPr>
              <w:t>3,493</w:t>
            </w:r>
          </w:p>
        </w:tc>
        <w:tc>
          <w:tcPr>
            <w:tcW w:w="714" w:type="dxa"/>
            <w:tcBorders>
              <w:top w:val="single" w:sz="4" w:space="0" w:color="1F4E78"/>
              <w:left w:val="nil"/>
              <w:bottom w:val="single" w:sz="4" w:space="0" w:color="1F4E78"/>
              <w:right w:val="nil"/>
            </w:tcBorders>
            <w:shd w:val="clear" w:color="000000" w:fill="FFFFFF"/>
            <w:noWrap/>
            <w:vAlign w:val="bottom"/>
            <w:hideMark/>
          </w:tcPr>
          <w:p w:rsidR="001B49AC" w:rsidRPr="001B49AC" w:rsidRDefault="001B49AC" w:rsidP="001B49AC">
            <w:pPr>
              <w:jc w:val="center"/>
              <w:rPr>
                <w:rFonts w:eastAsia="Times New Roman" w:cs="Calibri"/>
                <w:b/>
                <w:bCs/>
                <w:i/>
                <w:iCs/>
                <w:sz w:val="20"/>
                <w:szCs w:val="20"/>
                <w:lang w:eastAsia="en-AU"/>
              </w:rPr>
            </w:pPr>
            <w:r>
              <w:rPr>
                <w:rFonts w:eastAsia="Times New Roman" w:cs="Calibri"/>
                <w:b/>
                <w:bCs/>
                <w:i/>
                <w:iCs/>
                <w:sz w:val="20"/>
                <w:szCs w:val="20"/>
                <w:lang w:eastAsia="en-AU"/>
              </w:rPr>
              <w:t>100</w:t>
            </w:r>
            <w:r w:rsidRPr="001B49AC">
              <w:rPr>
                <w:rFonts w:eastAsia="Times New Roman" w:cs="Calibri"/>
                <w:b/>
                <w:bCs/>
                <w:i/>
                <w:iCs/>
                <w:sz w:val="20"/>
                <w:szCs w:val="20"/>
                <w:lang w:eastAsia="en-AU"/>
              </w:rPr>
              <w:t>%</w:t>
            </w:r>
          </w:p>
        </w:tc>
      </w:tr>
    </w:tbl>
    <w:p w:rsidR="001B49AC" w:rsidRPr="00AB7BA4" w:rsidRDefault="001B49AC" w:rsidP="005F749C">
      <w:pPr>
        <w:ind w:left="284" w:right="425"/>
        <w:jc w:val="both"/>
        <w:rPr>
          <w:sz w:val="18"/>
        </w:rPr>
      </w:pPr>
      <w:r w:rsidRPr="00AB7BA4">
        <w:rPr>
          <w:b/>
          <w:sz w:val="18"/>
        </w:rPr>
        <w:t>Source:</w:t>
      </w:r>
      <w:r w:rsidRPr="00AB7BA4">
        <w:rPr>
          <w:sz w:val="18"/>
        </w:rPr>
        <w:t xml:space="preserve"> </w:t>
      </w:r>
      <w:r w:rsidR="00EC0751">
        <w:rPr>
          <w:sz w:val="18"/>
        </w:rPr>
        <w:t>GRV data October 2016</w:t>
      </w:r>
      <w:r w:rsidRPr="00AB7BA4">
        <w:rPr>
          <w:sz w:val="18"/>
        </w:rPr>
        <w:t xml:space="preserve"> </w:t>
      </w:r>
      <w:r w:rsidRPr="004B0055">
        <w:rPr>
          <w:sz w:val="18"/>
        </w:rPr>
        <w:t>*</w:t>
      </w:r>
      <w:r w:rsidRPr="00AB7BA4">
        <w:rPr>
          <w:sz w:val="18"/>
          <w:vertAlign w:val="superscript"/>
        </w:rPr>
        <w:t xml:space="preserve"> </w:t>
      </w:r>
      <w:r w:rsidRPr="00AB7BA4">
        <w:rPr>
          <w:sz w:val="18"/>
        </w:rPr>
        <w:t>(10 or more greyhounds that had a start</w:t>
      </w:r>
      <w:r>
        <w:rPr>
          <w:sz w:val="18"/>
        </w:rPr>
        <w:t xml:space="preserve">), </w:t>
      </w:r>
      <w:r w:rsidRPr="004B0055">
        <w:rPr>
          <w:sz w:val="18"/>
        </w:rPr>
        <w:t>**</w:t>
      </w:r>
      <w:r>
        <w:rPr>
          <w:sz w:val="18"/>
        </w:rPr>
        <w:t>(</w:t>
      </w:r>
      <w:r w:rsidR="005F749C">
        <w:rPr>
          <w:sz w:val="18"/>
        </w:rPr>
        <w:t>&lt;</w:t>
      </w:r>
      <w:r w:rsidRPr="00AB7BA4">
        <w:rPr>
          <w:sz w:val="18"/>
        </w:rPr>
        <w:t xml:space="preserve"> 9 greyhounds that had a start</w:t>
      </w:r>
      <w:r>
        <w:rPr>
          <w:sz w:val="18"/>
        </w:rPr>
        <w:t xml:space="preserve">). </w:t>
      </w:r>
      <w:r w:rsidRPr="004B0055">
        <w:rPr>
          <w:sz w:val="18"/>
          <w:vertAlign w:val="superscript"/>
        </w:rPr>
        <w:t>#</w:t>
      </w:r>
      <w:r>
        <w:rPr>
          <w:sz w:val="18"/>
        </w:rPr>
        <w:t>Ownership of greyhounds does automatically constitute care and management of greyhounds.</w:t>
      </w:r>
    </w:p>
    <w:p w:rsidR="00B9118C" w:rsidRDefault="00FF638F" w:rsidP="001B49AC">
      <w:pPr>
        <w:jc w:val="both"/>
      </w:pPr>
      <w:r>
        <w:lastRenderedPageBreak/>
        <w:t xml:space="preserve">The care and management of a greyhound is </w:t>
      </w:r>
      <w:r w:rsidR="00D8544F">
        <w:t>often</w:t>
      </w:r>
      <w:r>
        <w:t xml:space="preserve"> contracted out to specialists</w:t>
      </w:r>
      <w:r w:rsidR="00C81421">
        <w:t xml:space="preserve"> such </w:t>
      </w:r>
      <w:r w:rsidR="004851C1">
        <w:t>as veterinarians</w:t>
      </w:r>
      <w:r w:rsidR="00C81421" w:rsidRPr="00FE399E">
        <w:t>,</w:t>
      </w:r>
      <w:r w:rsidR="00C81421">
        <w:t xml:space="preserve"> whelpers, rearers, </w:t>
      </w:r>
      <w:r w:rsidR="00FD2901">
        <w:t>educators/</w:t>
      </w:r>
      <w:r w:rsidR="006F1BF8">
        <w:t xml:space="preserve">breakers </w:t>
      </w:r>
      <w:r w:rsidR="00C81421">
        <w:t>and trainers</w:t>
      </w:r>
      <w:r w:rsidR="006F1BF8">
        <w:rPr>
          <w:rStyle w:val="FootnoteReference"/>
        </w:rPr>
        <w:footnoteReference w:id="20"/>
      </w:r>
      <w:r w:rsidR="00C81421" w:rsidRPr="00FE399E">
        <w:t xml:space="preserve"> </w:t>
      </w:r>
      <w:r w:rsidR="00C81421">
        <w:t>however some owners, including some who are veterinarians, are vertically integrated and manage the care of greyhounds ‘in-house’</w:t>
      </w:r>
      <w:r w:rsidR="00C1288C">
        <w:t xml:space="preserve">. The </w:t>
      </w:r>
      <w:r w:rsidR="00C1288C" w:rsidRPr="00070EEF">
        <w:t>median cost to look after the health and wellbeing of each greyhound</w:t>
      </w:r>
      <w:r w:rsidR="00C1288C">
        <w:t xml:space="preserve">, of around </w:t>
      </w:r>
      <w:r w:rsidR="00C1288C" w:rsidRPr="00070EEF">
        <w:rPr>
          <w:color w:val="000000" w:themeColor="text1"/>
        </w:rPr>
        <w:t xml:space="preserve">$2,500 </w:t>
      </w:r>
      <w:r w:rsidR="00C1288C">
        <w:rPr>
          <w:color w:val="000000" w:themeColor="text1"/>
        </w:rPr>
        <w:t>to</w:t>
      </w:r>
      <w:r w:rsidR="00C1288C" w:rsidRPr="00070EEF">
        <w:rPr>
          <w:color w:val="000000" w:themeColor="text1"/>
        </w:rPr>
        <w:t xml:space="preserve"> $3,000</w:t>
      </w:r>
      <w:r w:rsidR="00C1288C">
        <w:rPr>
          <w:color w:val="000000" w:themeColor="text1"/>
        </w:rPr>
        <w:t xml:space="preserve"> </w:t>
      </w:r>
      <w:r w:rsidR="007D7A02">
        <w:rPr>
          <w:color w:val="000000" w:themeColor="text1"/>
        </w:rPr>
        <w:t>annually</w:t>
      </w:r>
      <w:r w:rsidR="00C1288C" w:rsidRPr="00070EEF">
        <w:t xml:space="preserve"> </w:t>
      </w:r>
      <w:r w:rsidR="00C1288C">
        <w:t xml:space="preserve">and a maximum of around </w:t>
      </w:r>
      <w:r w:rsidR="00C1288C" w:rsidRPr="00070EEF">
        <w:t>$15,000 annually</w:t>
      </w:r>
      <w:r w:rsidR="00C1288C">
        <w:rPr>
          <w:rStyle w:val="FootnoteReference"/>
        </w:rPr>
        <w:footnoteReference w:id="21"/>
      </w:r>
      <w:r w:rsidR="00C1288C">
        <w:t xml:space="preserve">, with veterinary care being </w:t>
      </w:r>
      <w:r w:rsidR="00F85C9B">
        <w:t xml:space="preserve">a potential costly </w:t>
      </w:r>
      <w:r w:rsidR="00C1288C">
        <w:t>component</w:t>
      </w:r>
      <w:r w:rsidR="00C1288C" w:rsidRPr="0044791A">
        <w:rPr>
          <w:rStyle w:val="FootnoteReference"/>
        </w:rPr>
        <w:footnoteReference w:id="22"/>
      </w:r>
      <w:r w:rsidR="00C1288C">
        <w:t>.</w:t>
      </w:r>
      <w:r w:rsidR="00FD0B75">
        <w:t xml:space="preserve"> </w:t>
      </w:r>
      <w:r w:rsidR="00C81421">
        <w:t xml:space="preserve">Other businesses/specialists related to the industry include </w:t>
      </w:r>
      <w:r w:rsidR="00C81421" w:rsidRPr="00FE399E">
        <w:t>pet suppliers</w:t>
      </w:r>
      <w:r w:rsidR="00F85C9B">
        <w:t xml:space="preserve"> and</w:t>
      </w:r>
      <w:r w:rsidR="00D8544F">
        <w:t xml:space="preserve"> equipment suppliers</w:t>
      </w:r>
      <w:r>
        <w:t>.</w:t>
      </w:r>
      <w:r w:rsidR="007B521C">
        <w:t xml:space="preserve"> </w:t>
      </w:r>
    </w:p>
    <w:p w:rsidR="00B9118C" w:rsidRDefault="00B9118C" w:rsidP="001B49AC">
      <w:pPr>
        <w:jc w:val="both"/>
      </w:pPr>
    </w:p>
    <w:p w:rsidR="00FB1173" w:rsidRDefault="00047665" w:rsidP="00FB1173">
      <w:pPr>
        <w:jc w:val="both"/>
      </w:pPr>
      <w:r>
        <w:t>A</w:t>
      </w:r>
      <w:r w:rsidR="008A4BD7">
        <w:t xml:space="preserve">round 86% of </w:t>
      </w:r>
      <w:r w:rsidR="008A4BD7" w:rsidRPr="00FE399E">
        <w:t>parti</w:t>
      </w:r>
      <w:r w:rsidR="008A4BD7">
        <w:t xml:space="preserve">cipants </w:t>
      </w:r>
      <w:r>
        <w:t>have</w:t>
      </w:r>
      <w:r w:rsidR="008A4BD7">
        <w:t xml:space="preserve"> two</w:t>
      </w:r>
      <w:r w:rsidR="008A4BD7" w:rsidRPr="008A4BD7">
        <w:t xml:space="preserve"> or less people caring for their greyhounds</w:t>
      </w:r>
      <w:r w:rsidR="008A4BD7">
        <w:t xml:space="preserve"> and </w:t>
      </w:r>
      <w:r w:rsidR="008A4BD7" w:rsidRPr="00FE399E">
        <w:t xml:space="preserve">56% </w:t>
      </w:r>
      <w:r>
        <w:t xml:space="preserve">of total participants </w:t>
      </w:r>
      <w:r w:rsidR="004851C1">
        <w:t>rely</w:t>
      </w:r>
      <w:r w:rsidR="008A4BD7">
        <w:t xml:space="preserve"> on a </w:t>
      </w:r>
      <w:r w:rsidR="008A4BD7" w:rsidRPr="00FE399E">
        <w:t xml:space="preserve">family member to assist in </w:t>
      </w:r>
      <w:r w:rsidR="00B9118C">
        <w:t>greyhound care</w:t>
      </w:r>
      <w:r w:rsidR="008A4BD7">
        <w:rPr>
          <w:rStyle w:val="FootnoteReference"/>
        </w:rPr>
        <w:footnoteReference w:id="23"/>
      </w:r>
      <w:r w:rsidR="008A4BD7" w:rsidRPr="00FE399E">
        <w:t>.</w:t>
      </w:r>
      <w:r w:rsidR="007B521C">
        <w:t xml:space="preserve"> </w:t>
      </w:r>
      <w:r w:rsidR="004851C1">
        <w:t>Greyhounds</w:t>
      </w:r>
      <w:r w:rsidR="001B49AC">
        <w:t xml:space="preserve"> </w:t>
      </w:r>
      <w:r w:rsidR="001B49AC" w:rsidRPr="00FE399E">
        <w:t>are generally not treated as ‘pet dogs’ with only 33.29% of participants housing a greyhound within the family home</w:t>
      </w:r>
      <w:r w:rsidR="001B49AC">
        <w:t>.</w:t>
      </w:r>
      <w:r w:rsidR="001B49AC">
        <w:rPr>
          <w:rStyle w:val="FootnoteReference"/>
        </w:rPr>
        <w:footnoteReference w:id="24"/>
      </w:r>
      <w:r w:rsidR="001B49AC" w:rsidRPr="00FE399E">
        <w:t xml:space="preserve"> </w:t>
      </w:r>
      <w:r w:rsidR="001B49AC">
        <w:t>Dogs</w:t>
      </w:r>
      <w:r w:rsidR="001B49AC" w:rsidRPr="00FE399E">
        <w:t xml:space="preserve"> are generally kennelled.</w:t>
      </w:r>
      <w:r w:rsidR="007B521C">
        <w:t xml:space="preserve"> </w:t>
      </w:r>
      <w:r w:rsidR="00FB1173">
        <w:t xml:space="preserve">GRV has identified the following </w:t>
      </w:r>
      <w:r w:rsidR="00B5317B">
        <w:t xml:space="preserve">two </w:t>
      </w:r>
      <w:r w:rsidR="00FB1173">
        <w:t xml:space="preserve">main broad </w:t>
      </w:r>
      <w:r w:rsidR="004851C1">
        <w:t>categories</w:t>
      </w:r>
      <w:r w:rsidR="00B5317B">
        <w:t xml:space="preserve"> </w:t>
      </w:r>
      <w:r w:rsidR="00FB1173">
        <w:t>of</w:t>
      </w:r>
      <w:r w:rsidR="00B5317B">
        <w:t xml:space="preserve"> unique</w:t>
      </w:r>
      <w:r w:rsidR="00B5317B">
        <w:rPr>
          <w:rStyle w:val="FootnoteReference"/>
        </w:rPr>
        <w:footnoteReference w:id="25"/>
      </w:r>
      <w:r w:rsidR="00FB1173">
        <w:t xml:space="preserve"> </w:t>
      </w:r>
      <w:r w:rsidR="004851C1">
        <w:t>participants</w:t>
      </w:r>
      <w:r w:rsidR="00FB1173">
        <w:t xml:space="preserve"> in the industry according to the care and management of greyhounds including:</w:t>
      </w:r>
    </w:p>
    <w:p w:rsidR="00FB1173" w:rsidRPr="00ED573E" w:rsidRDefault="00FB1173" w:rsidP="005E307C">
      <w:pPr>
        <w:pStyle w:val="ListParagraph"/>
        <w:numPr>
          <w:ilvl w:val="0"/>
          <w:numId w:val="12"/>
        </w:numPr>
        <w:ind w:left="426" w:hanging="426"/>
        <w:jc w:val="both"/>
      </w:pPr>
      <w:r w:rsidRPr="004B0055">
        <w:rPr>
          <w:b/>
        </w:rPr>
        <w:t>Breeders</w:t>
      </w:r>
      <w:r>
        <w:t xml:space="preserve"> (including </w:t>
      </w:r>
      <w:r w:rsidR="003258FA" w:rsidRPr="004B0055">
        <w:rPr>
          <w:i/>
        </w:rPr>
        <w:t>mating</w:t>
      </w:r>
      <w:r w:rsidR="003258FA">
        <w:rPr>
          <w:i/>
        </w:rPr>
        <w:t>,</w:t>
      </w:r>
      <w:r w:rsidR="003258FA" w:rsidRPr="004B0055">
        <w:rPr>
          <w:i/>
        </w:rPr>
        <w:t xml:space="preserve"> </w:t>
      </w:r>
      <w:r w:rsidR="003258FA">
        <w:rPr>
          <w:i/>
        </w:rPr>
        <w:t xml:space="preserve">whelping </w:t>
      </w:r>
      <w:r>
        <w:t xml:space="preserve">and </w:t>
      </w:r>
      <w:r w:rsidR="003258FA">
        <w:rPr>
          <w:i/>
        </w:rPr>
        <w:t>rearing</w:t>
      </w:r>
      <w:r>
        <w:t>)</w:t>
      </w:r>
      <w:r w:rsidR="00B5317B">
        <w:t>, and</w:t>
      </w:r>
    </w:p>
    <w:p w:rsidR="00FB1173" w:rsidRPr="00ED573E" w:rsidRDefault="00FB1173" w:rsidP="005E307C">
      <w:pPr>
        <w:pStyle w:val="ListParagraph"/>
        <w:numPr>
          <w:ilvl w:val="0"/>
          <w:numId w:val="12"/>
        </w:numPr>
        <w:ind w:left="426" w:hanging="426"/>
        <w:jc w:val="both"/>
      </w:pPr>
      <w:r w:rsidRPr="004B0055">
        <w:rPr>
          <w:b/>
        </w:rPr>
        <w:t>Trainers</w:t>
      </w:r>
      <w:r>
        <w:t xml:space="preserve"> (including </w:t>
      </w:r>
      <w:r w:rsidR="003258FA">
        <w:rPr>
          <w:i/>
        </w:rPr>
        <w:t>breaking in</w:t>
      </w:r>
      <w:r>
        <w:t xml:space="preserve"> (i.e. </w:t>
      </w:r>
      <w:r w:rsidR="003258FA">
        <w:t>educating</w:t>
      </w:r>
      <w:r w:rsidR="00B5317B">
        <w:t>),</w:t>
      </w:r>
      <w:r w:rsidR="003A3FC8">
        <w:t xml:space="preserve"> </w:t>
      </w:r>
      <w:r w:rsidR="003258FA">
        <w:rPr>
          <w:i/>
        </w:rPr>
        <w:t>trainin</w:t>
      </w:r>
      <w:r w:rsidR="00385A2C">
        <w:rPr>
          <w:i/>
        </w:rPr>
        <w:t>g/</w:t>
      </w:r>
      <w:r w:rsidR="003258FA">
        <w:rPr>
          <w:i/>
        </w:rPr>
        <w:t>racing</w:t>
      </w:r>
      <w:r>
        <w:t>)</w:t>
      </w:r>
      <w:r w:rsidR="00B5317B">
        <w:t>.</w:t>
      </w:r>
    </w:p>
    <w:p w:rsidR="008A4BD7" w:rsidRDefault="008A4BD7" w:rsidP="008A4BD7">
      <w:pPr>
        <w:jc w:val="both"/>
      </w:pPr>
    </w:p>
    <w:p w:rsidR="008A4BD7" w:rsidRDefault="00A921F5" w:rsidP="00FD234B">
      <w:pPr>
        <w:jc w:val="both"/>
      </w:pPr>
      <w:r>
        <w:t>GRV is currently developing enh</w:t>
      </w:r>
      <w:r w:rsidR="000D7882">
        <w:t>anced registration categories which will</w:t>
      </w:r>
      <w:r>
        <w:t xml:space="preserve"> drive enhanced animal welfare and regulatory outcomes, however due to </w:t>
      </w:r>
      <w:r w:rsidR="000D7882">
        <w:t xml:space="preserve">a historical </w:t>
      </w:r>
      <w:r w:rsidR="008A4BD7">
        <w:t xml:space="preserve">lack of specific registration requirements for </w:t>
      </w:r>
      <w:r w:rsidR="00B5317B">
        <w:t>unique</w:t>
      </w:r>
      <w:r w:rsidR="00B5317B" w:rsidRPr="004B0055">
        <w:rPr>
          <w:lang w:val="en-GB"/>
        </w:rPr>
        <w:t xml:space="preserve"> </w:t>
      </w:r>
      <w:r w:rsidR="00FB1173" w:rsidRPr="004B0055">
        <w:rPr>
          <w:lang w:val="en-GB"/>
        </w:rPr>
        <w:t>whelpers</w:t>
      </w:r>
      <w:r w:rsidR="00FB1173">
        <w:t xml:space="preserve"> or rearers</w:t>
      </w:r>
      <w:r w:rsidR="008A4BD7">
        <w:t xml:space="preserve"> within </w:t>
      </w:r>
      <w:r w:rsidR="00FB1173">
        <w:t>the</w:t>
      </w:r>
      <w:r w:rsidR="00B5317B">
        <w:t xml:space="preserve"> industry</w:t>
      </w:r>
      <w:r w:rsidR="008A4BD7">
        <w:t xml:space="preserve">, </w:t>
      </w:r>
      <w:r w:rsidR="000D7882">
        <w:t>it is currently not possible</w:t>
      </w:r>
      <w:r w:rsidR="008A4BD7">
        <w:t xml:space="preserve"> to identify number</w:t>
      </w:r>
      <w:r w:rsidR="00B5317B">
        <w:t>s of participants</w:t>
      </w:r>
      <w:r w:rsidR="00FD2901">
        <w:t xml:space="preserve"> who may be represented in these categories</w:t>
      </w:r>
      <w:r w:rsidR="008A4BD7">
        <w:t>.</w:t>
      </w:r>
      <w:r w:rsidR="007B521C">
        <w:t xml:space="preserve"> </w:t>
      </w:r>
      <w:r w:rsidR="008A4BD7">
        <w:t xml:space="preserve">For </w:t>
      </w:r>
      <w:r w:rsidR="00FB1173">
        <w:t xml:space="preserve">this reason, </w:t>
      </w:r>
      <w:r w:rsidR="008A4BD7">
        <w:t xml:space="preserve">participants are </w:t>
      </w:r>
      <w:r w:rsidR="00FB1173">
        <w:t xml:space="preserve">designated in the </w:t>
      </w:r>
      <w:r w:rsidR="00B9118C">
        <w:t>broad</w:t>
      </w:r>
      <w:r w:rsidR="00FB1173">
        <w:t xml:space="preserve"> ‘breeder’ or ‘</w:t>
      </w:r>
      <w:r w:rsidR="007A2D31">
        <w:t xml:space="preserve">trainer’ </w:t>
      </w:r>
      <w:r w:rsidR="00FB1173">
        <w:t>category for the purpose of this re</w:t>
      </w:r>
      <w:r w:rsidR="001B49AC">
        <w:t>gulatory impact statement (RIS)</w:t>
      </w:r>
      <w:r w:rsidR="00B9118C">
        <w:t>,</w:t>
      </w:r>
      <w:r w:rsidR="001B49AC">
        <w:t xml:space="preserve"> as shown in Table 2.</w:t>
      </w:r>
    </w:p>
    <w:p w:rsidR="008A4BD7" w:rsidRDefault="008A4BD7" w:rsidP="00FD234B">
      <w:pPr>
        <w:jc w:val="both"/>
      </w:pPr>
    </w:p>
    <w:p w:rsidR="00B5317B" w:rsidRDefault="00D301F1" w:rsidP="004B0055">
      <w:pPr>
        <w:jc w:val="center"/>
      </w:pPr>
      <w:r>
        <w:rPr>
          <w:b/>
          <w:sz w:val="20"/>
          <w:szCs w:val="20"/>
        </w:rPr>
        <w:t>Table 2</w:t>
      </w:r>
      <w:r w:rsidR="00B5317B">
        <w:rPr>
          <w:b/>
          <w:sz w:val="20"/>
          <w:szCs w:val="20"/>
        </w:rPr>
        <w:t xml:space="preserve">: </w:t>
      </w:r>
      <w:r>
        <w:rPr>
          <w:b/>
          <w:sz w:val="20"/>
          <w:szCs w:val="20"/>
        </w:rPr>
        <w:t xml:space="preserve">Average </w:t>
      </w:r>
      <w:r w:rsidR="0001209D">
        <w:rPr>
          <w:b/>
          <w:sz w:val="20"/>
          <w:szCs w:val="20"/>
        </w:rPr>
        <w:t xml:space="preserve">No. </w:t>
      </w:r>
      <w:r w:rsidR="00B5317B">
        <w:rPr>
          <w:b/>
          <w:sz w:val="20"/>
          <w:szCs w:val="20"/>
        </w:rPr>
        <w:t xml:space="preserve">registered unique </w:t>
      </w:r>
      <w:r w:rsidR="0001209D">
        <w:rPr>
          <w:b/>
          <w:sz w:val="20"/>
          <w:szCs w:val="20"/>
        </w:rPr>
        <w:t>breeder</w:t>
      </w:r>
      <w:r w:rsidR="007A2D31">
        <w:rPr>
          <w:b/>
          <w:sz w:val="20"/>
          <w:szCs w:val="20"/>
        </w:rPr>
        <w:t>s</w:t>
      </w:r>
      <w:r w:rsidR="0001209D">
        <w:rPr>
          <w:b/>
          <w:sz w:val="20"/>
          <w:szCs w:val="20"/>
        </w:rPr>
        <w:t xml:space="preserve"> and trainers (</w:t>
      </w:r>
      <w:r w:rsidR="00B5317B" w:rsidRPr="00EF4BA7">
        <w:rPr>
          <w:b/>
          <w:sz w:val="20"/>
          <w:szCs w:val="20"/>
        </w:rPr>
        <w:t>participants</w:t>
      </w:r>
      <w:r w:rsidR="0001209D">
        <w:rPr>
          <w:b/>
          <w:sz w:val="20"/>
          <w:szCs w:val="20"/>
        </w:rPr>
        <w:t>)</w:t>
      </w:r>
      <w:r w:rsidR="00B5317B">
        <w:rPr>
          <w:b/>
          <w:sz w:val="20"/>
          <w:szCs w:val="20"/>
        </w:rPr>
        <w:t xml:space="preserve"> by size</w:t>
      </w:r>
      <w:r w:rsidR="00EE4995">
        <w:rPr>
          <w:b/>
          <w:sz w:val="20"/>
          <w:szCs w:val="20"/>
        </w:rPr>
        <w:t xml:space="preserve"> </w:t>
      </w:r>
    </w:p>
    <w:p w:rsidR="00FF638F" w:rsidRDefault="00FF638F" w:rsidP="00FD234B">
      <w:pPr>
        <w:jc w:val="both"/>
      </w:pPr>
    </w:p>
    <w:tbl>
      <w:tblPr>
        <w:tblW w:w="8045" w:type="dxa"/>
        <w:jc w:val="center"/>
        <w:tblLook w:val="04A0" w:firstRow="1" w:lastRow="0" w:firstColumn="1" w:lastColumn="0" w:noHBand="0" w:noVBand="1"/>
      </w:tblPr>
      <w:tblGrid>
        <w:gridCol w:w="2268"/>
        <w:gridCol w:w="992"/>
        <w:gridCol w:w="992"/>
        <w:gridCol w:w="992"/>
        <w:gridCol w:w="1986"/>
        <w:gridCol w:w="815"/>
      </w:tblGrid>
      <w:tr w:rsidR="005E307C" w:rsidRPr="005E307C" w:rsidTr="000274AB">
        <w:trPr>
          <w:trHeight w:val="281"/>
          <w:tblHeader/>
          <w:jc w:val="center"/>
        </w:trPr>
        <w:tc>
          <w:tcPr>
            <w:tcW w:w="2268" w:type="dxa"/>
            <w:tcBorders>
              <w:top w:val="single" w:sz="4" w:space="0" w:color="1F4E78"/>
              <w:left w:val="nil"/>
              <w:bottom w:val="double" w:sz="4" w:space="0" w:color="1F4E78"/>
              <w:right w:val="nil"/>
            </w:tcBorders>
            <w:shd w:val="clear" w:color="000000" w:fill="FFFFFF"/>
            <w:noWrap/>
            <w:vAlign w:val="bottom"/>
            <w:hideMark/>
          </w:tcPr>
          <w:p w:rsidR="009F2B6E" w:rsidRPr="005E307C" w:rsidRDefault="009F2B6E" w:rsidP="009F2B6E">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Category of participants</w:t>
            </w:r>
          </w:p>
        </w:tc>
        <w:tc>
          <w:tcPr>
            <w:tcW w:w="992" w:type="dxa"/>
            <w:tcBorders>
              <w:top w:val="single" w:sz="4" w:space="0" w:color="1F4E78"/>
              <w:left w:val="nil"/>
              <w:bottom w:val="double" w:sz="4" w:space="0" w:color="1F4E78"/>
              <w:right w:val="nil"/>
            </w:tcBorders>
            <w:shd w:val="clear" w:color="000000" w:fill="FFFFFF"/>
            <w:noWrap/>
            <w:vAlign w:val="bottom"/>
            <w:hideMark/>
          </w:tcPr>
          <w:p w:rsidR="009F2B6E" w:rsidRPr="005E307C" w:rsidRDefault="009F2B6E" w:rsidP="009F2B6E">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2015-16</w:t>
            </w:r>
          </w:p>
        </w:tc>
        <w:tc>
          <w:tcPr>
            <w:tcW w:w="992" w:type="dxa"/>
            <w:tcBorders>
              <w:top w:val="single" w:sz="4" w:space="0" w:color="1F4E78"/>
              <w:left w:val="nil"/>
              <w:bottom w:val="double" w:sz="4" w:space="0" w:color="1F4E78"/>
              <w:right w:val="nil"/>
            </w:tcBorders>
            <w:shd w:val="clear" w:color="000000" w:fill="FFFFFF"/>
            <w:noWrap/>
            <w:vAlign w:val="bottom"/>
            <w:hideMark/>
          </w:tcPr>
          <w:p w:rsidR="009F2B6E" w:rsidRPr="005E307C" w:rsidRDefault="009F2B6E" w:rsidP="009F2B6E">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2014-15</w:t>
            </w:r>
          </w:p>
        </w:tc>
        <w:tc>
          <w:tcPr>
            <w:tcW w:w="992" w:type="dxa"/>
            <w:tcBorders>
              <w:top w:val="single" w:sz="4" w:space="0" w:color="1F4E78"/>
              <w:left w:val="nil"/>
              <w:bottom w:val="double" w:sz="4" w:space="0" w:color="1F4E78"/>
              <w:right w:val="nil"/>
            </w:tcBorders>
            <w:shd w:val="clear" w:color="000000" w:fill="FFFFFF"/>
            <w:noWrap/>
            <w:vAlign w:val="bottom"/>
            <w:hideMark/>
          </w:tcPr>
          <w:p w:rsidR="009F2B6E" w:rsidRPr="005E307C" w:rsidRDefault="009F2B6E" w:rsidP="009F2B6E">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2013-14</w:t>
            </w:r>
          </w:p>
        </w:tc>
        <w:tc>
          <w:tcPr>
            <w:tcW w:w="1986" w:type="dxa"/>
            <w:tcBorders>
              <w:top w:val="single" w:sz="4" w:space="0" w:color="1F4E78"/>
              <w:left w:val="nil"/>
              <w:bottom w:val="double" w:sz="4" w:space="0" w:color="1F4E78"/>
              <w:right w:val="nil"/>
            </w:tcBorders>
            <w:shd w:val="clear" w:color="000000" w:fill="FFFFFF"/>
            <w:vAlign w:val="bottom"/>
            <w:hideMark/>
          </w:tcPr>
          <w:p w:rsidR="009F2B6E" w:rsidRPr="005E307C" w:rsidRDefault="00EE4995" w:rsidP="009F2B6E">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Avg</w:t>
            </w:r>
            <w:r w:rsidR="004807E6" w:rsidRPr="005E307C">
              <w:rPr>
                <w:rFonts w:eastAsia="Times New Roman" w:cs="Calibri"/>
                <w:b/>
                <w:bCs/>
                <w:color w:val="53565A"/>
                <w:sz w:val="20"/>
                <w:szCs w:val="20"/>
                <w:lang w:eastAsia="en-AU"/>
              </w:rPr>
              <w:t>.</w:t>
            </w:r>
            <w:r w:rsidRPr="005E307C">
              <w:rPr>
                <w:rFonts w:eastAsia="Times New Roman" w:cs="Calibri"/>
                <w:b/>
                <w:bCs/>
                <w:color w:val="53565A"/>
                <w:sz w:val="20"/>
                <w:szCs w:val="20"/>
                <w:lang w:eastAsia="en-AU"/>
              </w:rPr>
              <w:t xml:space="preserve"> No. </w:t>
            </w:r>
            <w:r w:rsidR="0001209D" w:rsidRPr="005E307C">
              <w:rPr>
                <w:rFonts w:eastAsia="Times New Roman" w:cs="Calibri"/>
                <w:b/>
                <w:bCs/>
                <w:color w:val="53565A"/>
                <w:sz w:val="20"/>
                <w:szCs w:val="20"/>
                <w:lang w:eastAsia="en-AU"/>
              </w:rPr>
              <w:t xml:space="preserve">unique </w:t>
            </w:r>
            <w:r w:rsidR="009F2B6E" w:rsidRPr="005E307C">
              <w:rPr>
                <w:rFonts w:eastAsia="Times New Roman" w:cs="Calibri"/>
                <w:b/>
                <w:bCs/>
                <w:color w:val="53565A"/>
                <w:sz w:val="20"/>
                <w:szCs w:val="20"/>
                <w:lang w:eastAsia="en-AU"/>
              </w:rPr>
              <w:t>participants</w:t>
            </w:r>
          </w:p>
        </w:tc>
        <w:tc>
          <w:tcPr>
            <w:tcW w:w="815" w:type="dxa"/>
            <w:tcBorders>
              <w:top w:val="single" w:sz="4" w:space="0" w:color="1F4E78"/>
              <w:left w:val="nil"/>
              <w:bottom w:val="double" w:sz="4" w:space="0" w:color="1F4E78"/>
              <w:right w:val="nil"/>
            </w:tcBorders>
            <w:shd w:val="clear" w:color="000000" w:fill="FFFFFF"/>
            <w:noWrap/>
            <w:vAlign w:val="bottom"/>
            <w:hideMark/>
          </w:tcPr>
          <w:p w:rsidR="009F2B6E" w:rsidRPr="005E307C" w:rsidRDefault="009F2B6E" w:rsidP="009F2B6E">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w:t>
            </w:r>
          </w:p>
        </w:tc>
      </w:tr>
      <w:tr w:rsidR="00EE4995" w:rsidRPr="009F2B6E" w:rsidTr="000274AB">
        <w:trPr>
          <w:trHeight w:val="148"/>
          <w:jc w:val="center"/>
        </w:trPr>
        <w:tc>
          <w:tcPr>
            <w:tcW w:w="2268" w:type="dxa"/>
            <w:tcBorders>
              <w:top w:val="double" w:sz="4" w:space="0" w:color="1F4E78"/>
              <w:left w:val="nil"/>
              <w:bottom w:val="nil"/>
              <w:right w:val="nil"/>
            </w:tcBorders>
            <w:shd w:val="clear" w:color="000000" w:fill="FFFFFF"/>
            <w:noWrap/>
            <w:vAlign w:val="bottom"/>
            <w:hideMark/>
          </w:tcPr>
          <w:p w:rsidR="00EE4995" w:rsidRPr="009F2B6E" w:rsidRDefault="00EE4995" w:rsidP="00EE4995">
            <w:pPr>
              <w:rPr>
                <w:rFonts w:eastAsia="Times New Roman" w:cs="Calibri"/>
                <w:sz w:val="20"/>
                <w:szCs w:val="20"/>
                <w:lang w:eastAsia="en-AU"/>
              </w:rPr>
            </w:pPr>
            <w:r w:rsidRPr="009F2B6E">
              <w:rPr>
                <w:rFonts w:eastAsia="Times New Roman" w:cs="Calibri"/>
                <w:sz w:val="20"/>
                <w:szCs w:val="20"/>
                <w:lang w:eastAsia="en-AU"/>
              </w:rPr>
              <w:t>Large Breeders</w:t>
            </w:r>
            <w:r w:rsidRPr="004B0055">
              <w:rPr>
                <w:rFonts w:eastAsia="Times New Roman" w:cs="Calibri"/>
                <w:sz w:val="20"/>
                <w:szCs w:val="20"/>
                <w:vertAlign w:val="superscript"/>
                <w:lang w:eastAsia="en-AU"/>
              </w:rPr>
              <w:t xml:space="preserve">* </w:t>
            </w:r>
          </w:p>
        </w:tc>
        <w:tc>
          <w:tcPr>
            <w:tcW w:w="992" w:type="dxa"/>
            <w:tcBorders>
              <w:top w:val="double" w:sz="4" w:space="0" w:color="1F4E78"/>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40</w:t>
            </w:r>
          </w:p>
        </w:tc>
        <w:tc>
          <w:tcPr>
            <w:tcW w:w="992" w:type="dxa"/>
            <w:tcBorders>
              <w:top w:val="double" w:sz="4" w:space="0" w:color="1F4E78"/>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65</w:t>
            </w:r>
          </w:p>
        </w:tc>
        <w:tc>
          <w:tcPr>
            <w:tcW w:w="992" w:type="dxa"/>
            <w:tcBorders>
              <w:top w:val="double" w:sz="4" w:space="0" w:color="1F4E78"/>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69</w:t>
            </w:r>
          </w:p>
        </w:tc>
        <w:tc>
          <w:tcPr>
            <w:tcW w:w="1986" w:type="dxa"/>
            <w:tcBorders>
              <w:top w:val="double" w:sz="4" w:space="0" w:color="1F4E78"/>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58</w:t>
            </w:r>
          </w:p>
        </w:tc>
        <w:tc>
          <w:tcPr>
            <w:tcW w:w="815" w:type="dxa"/>
            <w:tcBorders>
              <w:top w:val="double" w:sz="4" w:space="0" w:color="1F4E78"/>
              <w:left w:val="nil"/>
              <w:bottom w:val="nil"/>
              <w:right w:val="nil"/>
            </w:tcBorders>
            <w:shd w:val="clear" w:color="000000" w:fill="FFFFFF"/>
            <w:noWrap/>
            <w:vAlign w:val="center"/>
            <w:hideMark/>
          </w:tcPr>
          <w:p w:rsidR="00EE4995" w:rsidRPr="00EE4995" w:rsidRDefault="00EE4995">
            <w:pPr>
              <w:jc w:val="center"/>
              <w:rPr>
                <w:rFonts w:eastAsia="Times New Roman" w:cs="Calibri"/>
                <w:sz w:val="20"/>
                <w:szCs w:val="20"/>
                <w:lang w:eastAsia="en-AU"/>
              </w:rPr>
            </w:pPr>
            <w:r w:rsidRPr="004B0055">
              <w:rPr>
                <w:sz w:val="20"/>
              </w:rPr>
              <w:t>2.58%</w:t>
            </w:r>
          </w:p>
        </w:tc>
      </w:tr>
      <w:tr w:rsidR="00EE4995" w:rsidRPr="009F2B6E" w:rsidTr="004B0055">
        <w:trPr>
          <w:trHeight w:val="60"/>
          <w:jc w:val="center"/>
        </w:trPr>
        <w:tc>
          <w:tcPr>
            <w:tcW w:w="2268" w:type="dxa"/>
            <w:tcBorders>
              <w:top w:val="nil"/>
              <w:left w:val="nil"/>
              <w:bottom w:val="nil"/>
              <w:right w:val="nil"/>
            </w:tcBorders>
            <w:shd w:val="clear" w:color="000000" w:fill="FFFFFF"/>
            <w:noWrap/>
            <w:vAlign w:val="bottom"/>
            <w:hideMark/>
          </w:tcPr>
          <w:p w:rsidR="00EE4995" w:rsidRPr="009F2B6E" w:rsidRDefault="004807E6" w:rsidP="00EE4995">
            <w:pPr>
              <w:rPr>
                <w:rFonts w:eastAsia="Times New Roman" w:cs="Calibri"/>
                <w:sz w:val="20"/>
                <w:szCs w:val="20"/>
                <w:lang w:eastAsia="en-AU"/>
              </w:rPr>
            </w:pPr>
            <w:r w:rsidRPr="009F2B6E">
              <w:rPr>
                <w:rFonts w:eastAsia="Times New Roman" w:cs="Calibri"/>
                <w:sz w:val="20"/>
                <w:szCs w:val="20"/>
                <w:lang w:eastAsia="en-AU"/>
              </w:rPr>
              <w:t>Small Breeders</w:t>
            </w:r>
            <w:r w:rsidR="00EE4995" w:rsidRPr="004B0055">
              <w:rPr>
                <w:rFonts w:eastAsia="Times New Roman" w:cs="Calibri"/>
                <w:sz w:val="20"/>
                <w:szCs w:val="20"/>
                <w:vertAlign w:val="superscript"/>
                <w:lang w:eastAsia="en-AU"/>
              </w:rPr>
              <w:t xml:space="preserve">** </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392</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527</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534</w:t>
            </w:r>
          </w:p>
        </w:tc>
        <w:tc>
          <w:tcPr>
            <w:tcW w:w="1986"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484</w:t>
            </w:r>
          </w:p>
        </w:tc>
        <w:tc>
          <w:tcPr>
            <w:tcW w:w="815" w:type="dxa"/>
            <w:tcBorders>
              <w:top w:val="nil"/>
              <w:left w:val="nil"/>
              <w:bottom w:val="nil"/>
              <w:right w:val="nil"/>
            </w:tcBorders>
            <w:shd w:val="clear" w:color="000000" w:fill="FFFFFF"/>
            <w:noWrap/>
            <w:vAlign w:val="center"/>
            <w:hideMark/>
          </w:tcPr>
          <w:p w:rsidR="00EE4995" w:rsidRPr="00EE4995" w:rsidRDefault="00EE4995">
            <w:pPr>
              <w:jc w:val="center"/>
              <w:rPr>
                <w:rFonts w:eastAsia="Times New Roman" w:cs="Calibri"/>
                <w:sz w:val="20"/>
                <w:szCs w:val="20"/>
                <w:lang w:eastAsia="en-AU"/>
              </w:rPr>
            </w:pPr>
            <w:r w:rsidRPr="004B0055">
              <w:rPr>
                <w:sz w:val="20"/>
              </w:rPr>
              <w:t>21.55%</w:t>
            </w:r>
          </w:p>
        </w:tc>
      </w:tr>
      <w:tr w:rsidR="00EE4995" w:rsidRPr="009F2B6E" w:rsidTr="004B0055">
        <w:trPr>
          <w:trHeight w:val="60"/>
          <w:jc w:val="center"/>
        </w:trPr>
        <w:tc>
          <w:tcPr>
            <w:tcW w:w="2268" w:type="dxa"/>
            <w:tcBorders>
              <w:top w:val="nil"/>
              <w:left w:val="nil"/>
              <w:bottom w:val="nil"/>
              <w:right w:val="nil"/>
            </w:tcBorders>
            <w:shd w:val="clear" w:color="000000" w:fill="FFFFFF"/>
            <w:noWrap/>
            <w:vAlign w:val="bottom"/>
            <w:hideMark/>
          </w:tcPr>
          <w:p w:rsidR="00EE4995" w:rsidRPr="009F2B6E" w:rsidRDefault="00EE4995" w:rsidP="00EE4995">
            <w:pPr>
              <w:rPr>
                <w:rFonts w:eastAsia="Times New Roman" w:cs="Calibri"/>
                <w:sz w:val="20"/>
                <w:szCs w:val="20"/>
                <w:lang w:eastAsia="en-AU"/>
              </w:rPr>
            </w:pPr>
            <w:r w:rsidRPr="009F2B6E">
              <w:rPr>
                <w:rFonts w:eastAsia="Times New Roman" w:cs="Calibri"/>
                <w:sz w:val="20"/>
                <w:szCs w:val="20"/>
                <w:lang w:eastAsia="en-AU"/>
              </w:rPr>
              <w:t>Large Trainers</w:t>
            </w:r>
            <w:r w:rsidRPr="004B0055">
              <w:rPr>
                <w:rFonts w:eastAsia="Times New Roman" w:cs="Calibri"/>
                <w:sz w:val="20"/>
                <w:szCs w:val="20"/>
                <w:vertAlign w:val="superscript"/>
                <w:lang w:eastAsia="en-AU"/>
              </w:rPr>
              <w:t>#</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265</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258</w:t>
            </w:r>
          </w:p>
        </w:tc>
        <w:tc>
          <w:tcPr>
            <w:tcW w:w="992"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243</w:t>
            </w:r>
          </w:p>
        </w:tc>
        <w:tc>
          <w:tcPr>
            <w:tcW w:w="1986" w:type="dxa"/>
            <w:tcBorders>
              <w:top w:val="nil"/>
              <w:left w:val="nil"/>
              <w:bottom w:val="nil"/>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255</w:t>
            </w:r>
          </w:p>
        </w:tc>
        <w:tc>
          <w:tcPr>
            <w:tcW w:w="815" w:type="dxa"/>
            <w:tcBorders>
              <w:top w:val="nil"/>
              <w:left w:val="nil"/>
              <w:bottom w:val="nil"/>
              <w:right w:val="nil"/>
            </w:tcBorders>
            <w:shd w:val="clear" w:color="000000" w:fill="FFFFFF"/>
            <w:noWrap/>
            <w:vAlign w:val="center"/>
            <w:hideMark/>
          </w:tcPr>
          <w:p w:rsidR="00EE4995" w:rsidRPr="00EE4995" w:rsidRDefault="00EE4995">
            <w:pPr>
              <w:jc w:val="center"/>
              <w:rPr>
                <w:rFonts w:eastAsia="Times New Roman" w:cs="Calibri"/>
                <w:sz w:val="20"/>
                <w:szCs w:val="20"/>
                <w:lang w:eastAsia="en-AU"/>
              </w:rPr>
            </w:pPr>
            <w:r w:rsidRPr="004B0055">
              <w:rPr>
                <w:sz w:val="20"/>
              </w:rPr>
              <w:t>11.36%</w:t>
            </w:r>
          </w:p>
        </w:tc>
      </w:tr>
      <w:tr w:rsidR="00EE4995" w:rsidRPr="009F2B6E" w:rsidTr="000274AB">
        <w:trPr>
          <w:trHeight w:val="60"/>
          <w:jc w:val="center"/>
        </w:trPr>
        <w:tc>
          <w:tcPr>
            <w:tcW w:w="2268" w:type="dxa"/>
            <w:tcBorders>
              <w:top w:val="nil"/>
              <w:left w:val="nil"/>
              <w:bottom w:val="single" w:sz="4" w:space="0" w:color="1F4E78"/>
              <w:right w:val="nil"/>
            </w:tcBorders>
            <w:shd w:val="clear" w:color="000000" w:fill="FFFFFF"/>
            <w:noWrap/>
            <w:vAlign w:val="bottom"/>
            <w:hideMark/>
          </w:tcPr>
          <w:p w:rsidR="00EE4995" w:rsidRPr="009F2B6E" w:rsidRDefault="00EE4995" w:rsidP="00EE4995">
            <w:pPr>
              <w:rPr>
                <w:rFonts w:eastAsia="Times New Roman" w:cs="Calibri"/>
                <w:sz w:val="20"/>
                <w:szCs w:val="20"/>
                <w:lang w:eastAsia="en-AU"/>
              </w:rPr>
            </w:pPr>
            <w:r w:rsidRPr="009F2B6E">
              <w:rPr>
                <w:rFonts w:eastAsia="Times New Roman" w:cs="Calibri"/>
                <w:sz w:val="20"/>
                <w:szCs w:val="20"/>
                <w:lang w:eastAsia="en-AU"/>
              </w:rPr>
              <w:t>Small Trainers</w:t>
            </w:r>
            <w:r w:rsidRPr="004B0055">
              <w:rPr>
                <w:rFonts w:eastAsia="Times New Roman" w:cs="Calibri"/>
                <w:sz w:val="20"/>
                <w:szCs w:val="20"/>
                <w:vertAlign w:val="superscript"/>
                <w:lang w:eastAsia="en-AU"/>
              </w:rPr>
              <w:t>##</w:t>
            </w:r>
          </w:p>
        </w:tc>
        <w:tc>
          <w:tcPr>
            <w:tcW w:w="992" w:type="dxa"/>
            <w:tcBorders>
              <w:top w:val="nil"/>
              <w:left w:val="nil"/>
              <w:bottom w:val="single" w:sz="4" w:space="0" w:color="1F4E78"/>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1,395</w:t>
            </w:r>
          </w:p>
        </w:tc>
        <w:tc>
          <w:tcPr>
            <w:tcW w:w="992" w:type="dxa"/>
            <w:tcBorders>
              <w:top w:val="nil"/>
              <w:left w:val="nil"/>
              <w:bottom w:val="single" w:sz="4" w:space="0" w:color="1F4E78"/>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1,432</w:t>
            </w:r>
          </w:p>
        </w:tc>
        <w:tc>
          <w:tcPr>
            <w:tcW w:w="992" w:type="dxa"/>
            <w:tcBorders>
              <w:top w:val="nil"/>
              <w:left w:val="nil"/>
              <w:bottom w:val="single" w:sz="4" w:space="0" w:color="1F4E78"/>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1,521</w:t>
            </w:r>
          </w:p>
        </w:tc>
        <w:tc>
          <w:tcPr>
            <w:tcW w:w="1986" w:type="dxa"/>
            <w:tcBorders>
              <w:top w:val="nil"/>
              <w:left w:val="nil"/>
              <w:bottom w:val="single" w:sz="4" w:space="0" w:color="1F4E78"/>
              <w:right w:val="nil"/>
            </w:tcBorders>
            <w:shd w:val="clear" w:color="000000" w:fill="FFFFFF"/>
            <w:noWrap/>
            <w:vAlign w:val="bottom"/>
            <w:hideMark/>
          </w:tcPr>
          <w:p w:rsidR="00EE4995" w:rsidRPr="009F2B6E" w:rsidRDefault="00EE4995" w:rsidP="00EE4995">
            <w:pPr>
              <w:jc w:val="center"/>
              <w:rPr>
                <w:rFonts w:eastAsia="Times New Roman" w:cs="Calibri"/>
                <w:sz w:val="20"/>
                <w:szCs w:val="20"/>
                <w:lang w:eastAsia="en-AU"/>
              </w:rPr>
            </w:pPr>
            <w:r w:rsidRPr="009F2B6E">
              <w:rPr>
                <w:rFonts w:eastAsia="Times New Roman" w:cs="Calibri"/>
                <w:sz w:val="20"/>
                <w:szCs w:val="20"/>
                <w:lang w:eastAsia="en-AU"/>
              </w:rPr>
              <w:t>1,449</w:t>
            </w:r>
          </w:p>
        </w:tc>
        <w:tc>
          <w:tcPr>
            <w:tcW w:w="815" w:type="dxa"/>
            <w:tcBorders>
              <w:top w:val="nil"/>
              <w:left w:val="nil"/>
              <w:bottom w:val="single" w:sz="4" w:space="0" w:color="1F4E78"/>
              <w:right w:val="nil"/>
            </w:tcBorders>
            <w:shd w:val="clear" w:color="000000" w:fill="FFFFFF"/>
            <w:noWrap/>
            <w:vAlign w:val="center"/>
            <w:hideMark/>
          </w:tcPr>
          <w:p w:rsidR="00EE4995" w:rsidRPr="00EE4995" w:rsidRDefault="00EE4995">
            <w:pPr>
              <w:jc w:val="center"/>
              <w:rPr>
                <w:rFonts w:eastAsia="Times New Roman" w:cs="Calibri"/>
                <w:sz w:val="20"/>
                <w:szCs w:val="20"/>
                <w:lang w:eastAsia="en-AU"/>
              </w:rPr>
            </w:pPr>
            <w:r w:rsidRPr="004B0055">
              <w:rPr>
                <w:sz w:val="20"/>
              </w:rPr>
              <w:t>64.50%</w:t>
            </w:r>
          </w:p>
        </w:tc>
      </w:tr>
      <w:tr w:rsidR="00EE4995" w:rsidRPr="009F2B6E" w:rsidTr="000274AB">
        <w:trPr>
          <w:trHeight w:val="50"/>
          <w:jc w:val="center"/>
        </w:trPr>
        <w:tc>
          <w:tcPr>
            <w:tcW w:w="2268" w:type="dxa"/>
            <w:tcBorders>
              <w:top w:val="single" w:sz="4" w:space="0" w:color="1F4E78"/>
              <w:left w:val="nil"/>
              <w:bottom w:val="single" w:sz="4" w:space="0" w:color="1F4E78"/>
              <w:right w:val="nil"/>
            </w:tcBorders>
            <w:shd w:val="clear" w:color="000000" w:fill="FFFFFF"/>
            <w:noWrap/>
            <w:vAlign w:val="bottom"/>
            <w:hideMark/>
          </w:tcPr>
          <w:p w:rsidR="009F2B6E" w:rsidRPr="009F2B6E" w:rsidRDefault="009F2B6E" w:rsidP="009F2B6E">
            <w:pPr>
              <w:rPr>
                <w:rFonts w:eastAsia="Times New Roman" w:cs="Calibri"/>
                <w:b/>
                <w:bCs/>
                <w:i/>
                <w:iCs/>
                <w:sz w:val="20"/>
                <w:szCs w:val="20"/>
                <w:lang w:eastAsia="en-AU"/>
              </w:rPr>
            </w:pPr>
            <w:r w:rsidRPr="009F2B6E">
              <w:rPr>
                <w:rFonts w:eastAsia="Times New Roman" w:cs="Calibri"/>
                <w:b/>
                <w:bCs/>
                <w:i/>
                <w:iCs/>
                <w:sz w:val="20"/>
                <w:szCs w:val="20"/>
                <w:lang w:eastAsia="en-AU"/>
              </w:rPr>
              <w:t>Total</w:t>
            </w:r>
          </w:p>
        </w:tc>
        <w:tc>
          <w:tcPr>
            <w:tcW w:w="992" w:type="dxa"/>
            <w:tcBorders>
              <w:top w:val="single" w:sz="4" w:space="0" w:color="1F4E78"/>
              <w:left w:val="nil"/>
              <w:bottom w:val="single" w:sz="4" w:space="0" w:color="1F4E78"/>
              <w:right w:val="nil"/>
            </w:tcBorders>
            <w:shd w:val="clear" w:color="000000" w:fill="FFFFFF"/>
            <w:noWrap/>
            <w:vAlign w:val="bottom"/>
            <w:hideMark/>
          </w:tcPr>
          <w:p w:rsidR="009F2B6E" w:rsidRPr="009F2B6E" w:rsidRDefault="009F2B6E" w:rsidP="009F2B6E">
            <w:pPr>
              <w:jc w:val="center"/>
              <w:rPr>
                <w:rFonts w:eastAsia="Times New Roman" w:cs="Calibri"/>
                <w:b/>
                <w:bCs/>
                <w:i/>
                <w:iCs/>
                <w:sz w:val="20"/>
                <w:szCs w:val="20"/>
                <w:lang w:eastAsia="en-AU"/>
              </w:rPr>
            </w:pPr>
            <w:r w:rsidRPr="009F2B6E">
              <w:rPr>
                <w:rFonts w:eastAsia="Times New Roman" w:cs="Calibri"/>
                <w:b/>
                <w:bCs/>
                <w:i/>
                <w:iCs/>
                <w:sz w:val="20"/>
                <w:szCs w:val="20"/>
                <w:lang w:eastAsia="en-AU"/>
              </w:rPr>
              <w:t>2,092</w:t>
            </w:r>
          </w:p>
        </w:tc>
        <w:tc>
          <w:tcPr>
            <w:tcW w:w="992" w:type="dxa"/>
            <w:tcBorders>
              <w:top w:val="single" w:sz="4" w:space="0" w:color="1F4E78"/>
              <w:left w:val="nil"/>
              <w:bottom w:val="single" w:sz="4" w:space="0" w:color="1F4E78"/>
              <w:right w:val="nil"/>
            </w:tcBorders>
            <w:shd w:val="clear" w:color="000000" w:fill="FFFFFF"/>
            <w:noWrap/>
            <w:vAlign w:val="bottom"/>
            <w:hideMark/>
          </w:tcPr>
          <w:p w:rsidR="009F2B6E" w:rsidRPr="009F2B6E" w:rsidRDefault="009F2B6E" w:rsidP="009F2B6E">
            <w:pPr>
              <w:jc w:val="center"/>
              <w:rPr>
                <w:rFonts w:eastAsia="Times New Roman" w:cs="Calibri"/>
                <w:b/>
                <w:bCs/>
                <w:i/>
                <w:iCs/>
                <w:sz w:val="20"/>
                <w:szCs w:val="20"/>
                <w:lang w:eastAsia="en-AU"/>
              </w:rPr>
            </w:pPr>
            <w:r w:rsidRPr="009F2B6E">
              <w:rPr>
                <w:rFonts w:eastAsia="Times New Roman" w:cs="Calibri"/>
                <w:b/>
                <w:bCs/>
                <w:i/>
                <w:iCs/>
                <w:sz w:val="20"/>
                <w:szCs w:val="20"/>
                <w:lang w:eastAsia="en-AU"/>
              </w:rPr>
              <w:t>2,282</w:t>
            </w:r>
          </w:p>
        </w:tc>
        <w:tc>
          <w:tcPr>
            <w:tcW w:w="992" w:type="dxa"/>
            <w:tcBorders>
              <w:top w:val="single" w:sz="4" w:space="0" w:color="1F4E78"/>
              <w:left w:val="nil"/>
              <w:bottom w:val="single" w:sz="4" w:space="0" w:color="1F4E78"/>
              <w:right w:val="nil"/>
            </w:tcBorders>
            <w:shd w:val="clear" w:color="000000" w:fill="FFFFFF"/>
            <w:noWrap/>
            <w:vAlign w:val="bottom"/>
            <w:hideMark/>
          </w:tcPr>
          <w:p w:rsidR="009F2B6E" w:rsidRPr="009F2B6E" w:rsidRDefault="009F2B6E" w:rsidP="009F2B6E">
            <w:pPr>
              <w:jc w:val="center"/>
              <w:rPr>
                <w:rFonts w:eastAsia="Times New Roman" w:cs="Calibri"/>
                <w:b/>
                <w:bCs/>
                <w:i/>
                <w:iCs/>
                <w:sz w:val="20"/>
                <w:szCs w:val="20"/>
                <w:lang w:eastAsia="en-AU"/>
              </w:rPr>
            </w:pPr>
            <w:r w:rsidRPr="009F2B6E">
              <w:rPr>
                <w:rFonts w:eastAsia="Times New Roman" w:cs="Calibri"/>
                <w:b/>
                <w:bCs/>
                <w:i/>
                <w:iCs/>
                <w:sz w:val="20"/>
                <w:szCs w:val="20"/>
                <w:lang w:eastAsia="en-AU"/>
              </w:rPr>
              <w:t>2,367</w:t>
            </w:r>
          </w:p>
        </w:tc>
        <w:tc>
          <w:tcPr>
            <w:tcW w:w="1986" w:type="dxa"/>
            <w:tcBorders>
              <w:top w:val="single" w:sz="4" w:space="0" w:color="1F4E78"/>
              <w:left w:val="nil"/>
              <w:bottom w:val="single" w:sz="4" w:space="0" w:color="1F4E78"/>
              <w:right w:val="nil"/>
            </w:tcBorders>
            <w:shd w:val="clear" w:color="000000" w:fill="FFFFFF"/>
            <w:noWrap/>
            <w:vAlign w:val="bottom"/>
            <w:hideMark/>
          </w:tcPr>
          <w:p w:rsidR="009F2B6E" w:rsidRPr="009F2B6E" w:rsidRDefault="009F2B6E" w:rsidP="009F2B6E">
            <w:pPr>
              <w:jc w:val="center"/>
              <w:rPr>
                <w:rFonts w:eastAsia="Times New Roman" w:cs="Calibri"/>
                <w:b/>
                <w:bCs/>
                <w:i/>
                <w:iCs/>
                <w:sz w:val="20"/>
                <w:szCs w:val="20"/>
                <w:lang w:eastAsia="en-AU"/>
              </w:rPr>
            </w:pPr>
            <w:r w:rsidRPr="009F2B6E">
              <w:rPr>
                <w:rFonts w:eastAsia="Times New Roman" w:cs="Calibri"/>
                <w:b/>
                <w:bCs/>
                <w:i/>
                <w:iCs/>
                <w:sz w:val="20"/>
                <w:szCs w:val="20"/>
                <w:lang w:eastAsia="en-AU"/>
              </w:rPr>
              <w:t>2,247</w:t>
            </w:r>
          </w:p>
        </w:tc>
        <w:tc>
          <w:tcPr>
            <w:tcW w:w="815" w:type="dxa"/>
            <w:tcBorders>
              <w:top w:val="single" w:sz="4" w:space="0" w:color="1F4E78"/>
              <w:left w:val="nil"/>
              <w:bottom w:val="single" w:sz="4" w:space="0" w:color="1F4E78"/>
              <w:right w:val="nil"/>
            </w:tcBorders>
            <w:shd w:val="clear" w:color="000000" w:fill="FFFFFF"/>
            <w:noWrap/>
            <w:vAlign w:val="bottom"/>
            <w:hideMark/>
          </w:tcPr>
          <w:p w:rsidR="009F2B6E" w:rsidRPr="004B0055" w:rsidRDefault="009F2B6E" w:rsidP="009F2B6E">
            <w:pPr>
              <w:jc w:val="center"/>
              <w:rPr>
                <w:rFonts w:eastAsia="Times New Roman" w:cs="Calibri"/>
                <w:b/>
                <w:i/>
                <w:sz w:val="20"/>
                <w:szCs w:val="20"/>
                <w:lang w:eastAsia="en-AU"/>
              </w:rPr>
            </w:pPr>
            <w:r w:rsidRPr="004B0055">
              <w:rPr>
                <w:rFonts w:eastAsia="Times New Roman" w:cs="Calibri"/>
                <w:b/>
                <w:i/>
                <w:sz w:val="20"/>
                <w:szCs w:val="20"/>
                <w:lang w:eastAsia="en-AU"/>
              </w:rPr>
              <w:t> </w:t>
            </w:r>
            <w:r w:rsidR="00EE4995" w:rsidRPr="004B0055">
              <w:rPr>
                <w:rFonts w:eastAsia="Times New Roman" w:cs="Calibri"/>
                <w:b/>
                <w:i/>
                <w:sz w:val="20"/>
                <w:szCs w:val="20"/>
                <w:lang w:eastAsia="en-AU"/>
              </w:rPr>
              <w:t>100%</w:t>
            </w:r>
          </w:p>
        </w:tc>
      </w:tr>
    </w:tbl>
    <w:p w:rsidR="00114DD1" w:rsidRPr="004B0055" w:rsidRDefault="00E75371" w:rsidP="004B0055">
      <w:pPr>
        <w:ind w:left="142" w:right="142"/>
        <w:jc w:val="both"/>
        <w:rPr>
          <w:sz w:val="18"/>
        </w:rPr>
      </w:pPr>
      <w:r w:rsidRPr="004B0055">
        <w:rPr>
          <w:b/>
          <w:sz w:val="18"/>
        </w:rPr>
        <w:t>Source:</w:t>
      </w:r>
      <w:r w:rsidRPr="004B0055">
        <w:rPr>
          <w:sz w:val="18"/>
        </w:rPr>
        <w:t xml:space="preserve"> </w:t>
      </w:r>
      <w:r w:rsidR="00EC0751">
        <w:rPr>
          <w:sz w:val="18"/>
        </w:rPr>
        <w:t>GRV data October 2016</w:t>
      </w:r>
      <w:r w:rsidRPr="004B0055">
        <w:rPr>
          <w:sz w:val="18"/>
        </w:rPr>
        <w:t xml:space="preserve"> </w:t>
      </w:r>
      <w:r w:rsidR="00B5317B" w:rsidRPr="004B0055">
        <w:rPr>
          <w:sz w:val="16"/>
        </w:rPr>
        <w:t>*</w:t>
      </w:r>
      <w:r w:rsidR="00B5317B" w:rsidRPr="004B0055">
        <w:rPr>
          <w:sz w:val="18"/>
        </w:rPr>
        <w:t xml:space="preserve"> </w:t>
      </w:r>
      <w:r w:rsidR="00B5317B">
        <w:rPr>
          <w:sz w:val="18"/>
        </w:rPr>
        <w:t>(W</w:t>
      </w:r>
      <w:r w:rsidR="00B5317B" w:rsidRPr="004B0055">
        <w:rPr>
          <w:sz w:val="18"/>
        </w:rPr>
        <w:t>helped 3 or more litters</w:t>
      </w:r>
      <w:r w:rsidR="00B5317B">
        <w:rPr>
          <w:sz w:val="18"/>
        </w:rPr>
        <w:t xml:space="preserve">), </w:t>
      </w:r>
      <w:r w:rsidR="00B5317B" w:rsidRPr="004B0055">
        <w:rPr>
          <w:sz w:val="18"/>
          <w:vertAlign w:val="superscript"/>
        </w:rPr>
        <w:t>**</w:t>
      </w:r>
      <w:r w:rsidR="00B5317B">
        <w:rPr>
          <w:sz w:val="18"/>
        </w:rPr>
        <w:t xml:space="preserve">(Whelped </w:t>
      </w:r>
      <w:r w:rsidR="005F749C">
        <w:rPr>
          <w:sz w:val="18"/>
        </w:rPr>
        <w:t xml:space="preserve">&lt; </w:t>
      </w:r>
      <w:r w:rsidR="004807E6">
        <w:rPr>
          <w:sz w:val="18"/>
        </w:rPr>
        <w:t>3 litters</w:t>
      </w:r>
      <w:r w:rsidR="00B5317B">
        <w:rPr>
          <w:sz w:val="18"/>
        </w:rPr>
        <w:t xml:space="preserve">), </w:t>
      </w:r>
      <w:r w:rsidR="00B5317B" w:rsidRPr="004B0055">
        <w:rPr>
          <w:sz w:val="18"/>
          <w:vertAlign w:val="superscript"/>
        </w:rPr>
        <w:t xml:space="preserve"># </w:t>
      </w:r>
      <w:r w:rsidR="00B5317B">
        <w:rPr>
          <w:sz w:val="18"/>
        </w:rPr>
        <w:t>(</w:t>
      </w:r>
      <w:r w:rsidR="00B5317B" w:rsidRPr="004B0055">
        <w:rPr>
          <w:sz w:val="18"/>
        </w:rPr>
        <w:t>10 or more</w:t>
      </w:r>
      <w:r w:rsidR="00B5317B">
        <w:rPr>
          <w:sz w:val="18"/>
        </w:rPr>
        <w:t xml:space="preserve"> greyhounds that had a start), </w:t>
      </w:r>
      <w:r w:rsidR="00B5317B" w:rsidRPr="004B0055">
        <w:rPr>
          <w:sz w:val="18"/>
          <w:vertAlign w:val="superscript"/>
        </w:rPr>
        <w:t>#</w:t>
      </w:r>
      <w:r w:rsidR="004807E6" w:rsidRPr="00B5317B">
        <w:rPr>
          <w:sz w:val="18"/>
          <w:vertAlign w:val="superscript"/>
        </w:rPr>
        <w:t>#</w:t>
      </w:r>
      <w:r w:rsidR="004807E6">
        <w:rPr>
          <w:sz w:val="18"/>
        </w:rPr>
        <w:t xml:space="preserve"> (</w:t>
      </w:r>
      <w:r w:rsidR="005F749C">
        <w:rPr>
          <w:sz w:val="18"/>
        </w:rPr>
        <w:t>&lt;</w:t>
      </w:r>
      <w:r w:rsidR="00B5317B" w:rsidRPr="004B0055">
        <w:rPr>
          <w:sz w:val="18"/>
        </w:rPr>
        <w:t xml:space="preserve"> 9 greyhounds that had a start</w:t>
      </w:r>
      <w:r w:rsidR="00B5317B">
        <w:rPr>
          <w:sz w:val="18"/>
        </w:rPr>
        <w:t>).</w:t>
      </w:r>
    </w:p>
    <w:p w:rsidR="00114DD1" w:rsidRDefault="00114DD1" w:rsidP="00CF7EF8">
      <w:pPr>
        <w:jc w:val="both"/>
      </w:pPr>
    </w:p>
    <w:p w:rsidR="00523079" w:rsidRPr="00EB03D7" w:rsidRDefault="00B9118C">
      <w:pPr>
        <w:jc w:val="both"/>
        <w:rPr>
          <w:rFonts w:eastAsia="Calibri"/>
        </w:rPr>
      </w:pPr>
      <w:r>
        <w:t xml:space="preserve">According to Table </w:t>
      </w:r>
      <w:r w:rsidR="004851C1">
        <w:t>2, 79.3</w:t>
      </w:r>
      <w:r>
        <w:t xml:space="preserve">% of unique </w:t>
      </w:r>
      <w:r w:rsidR="00D301F1">
        <w:t xml:space="preserve">registered </w:t>
      </w:r>
      <w:r>
        <w:t>participants identified themselves as</w:t>
      </w:r>
      <w:r w:rsidR="00D301F1">
        <w:t xml:space="preserve"> being</w:t>
      </w:r>
      <w:r>
        <w:t xml:space="preserve"> involved with training</w:t>
      </w:r>
      <w:r w:rsidR="00D301F1">
        <w:t xml:space="preserve"> (including racing)</w:t>
      </w:r>
      <w:r w:rsidR="0019737B">
        <w:t xml:space="preserve"> in 2015-16</w:t>
      </w:r>
      <w:r>
        <w:t>.</w:t>
      </w:r>
      <w:r w:rsidR="007B521C">
        <w:t xml:space="preserve"> </w:t>
      </w:r>
      <w:r w:rsidR="00EB03D7">
        <w:t>This estimate</w:t>
      </w:r>
      <w:r w:rsidR="00D301F1">
        <w:t xml:space="preserve"> aligns with </w:t>
      </w:r>
      <w:r w:rsidR="00EE4995">
        <w:t xml:space="preserve">2016 DEDJTR survey </w:t>
      </w:r>
      <w:r w:rsidR="00D301F1">
        <w:t xml:space="preserve">which found that </w:t>
      </w:r>
      <w:r w:rsidR="00EE4995">
        <w:t>80</w:t>
      </w:r>
      <w:r>
        <w:t>.1</w:t>
      </w:r>
      <w:r w:rsidR="00EE4995">
        <w:t xml:space="preserve">% </w:t>
      </w:r>
      <w:r>
        <w:t xml:space="preserve">of </w:t>
      </w:r>
      <w:r w:rsidR="00D301F1" w:rsidRPr="0019737B">
        <w:t xml:space="preserve">724 </w:t>
      </w:r>
      <w:r w:rsidR="004807E6" w:rsidRPr="0019737B">
        <w:t>respondents</w:t>
      </w:r>
      <w:r w:rsidRPr="0019737B">
        <w:t xml:space="preserve"> </w:t>
      </w:r>
      <w:r w:rsidR="00D301F1" w:rsidRPr="0019737B">
        <w:t>indicated</w:t>
      </w:r>
      <w:r w:rsidR="00EE4995">
        <w:t xml:space="preserve"> that </w:t>
      </w:r>
      <w:r w:rsidR="00EE4995">
        <w:rPr>
          <w:rFonts w:eastAsia="Calibri"/>
        </w:rPr>
        <w:t>their primary activity was racing/training</w:t>
      </w:r>
      <w:r w:rsidR="00876FB1">
        <w:rPr>
          <w:rStyle w:val="FootnoteReference"/>
          <w:rFonts w:eastAsia="Calibri"/>
        </w:rPr>
        <w:footnoteReference w:id="26"/>
      </w:r>
      <w:r w:rsidR="00EE4995">
        <w:rPr>
          <w:rFonts w:eastAsia="Calibri"/>
        </w:rPr>
        <w:t>.</w:t>
      </w:r>
      <w:r w:rsidR="007B521C">
        <w:rPr>
          <w:rFonts w:eastAsia="Calibri"/>
        </w:rPr>
        <w:t xml:space="preserve"> </w:t>
      </w:r>
      <w:r w:rsidR="00523079">
        <w:rPr>
          <w:rFonts w:eastAsia="Calibri"/>
        </w:rPr>
        <w:t xml:space="preserve">The distribution of the number of dogs under the care of </w:t>
      </w:r>
      <w:r w:rsidR="003B7711">
        <w:rPr>
          <w:rFonts w:eastAsia="Calibri"/>
        </w:rPr>
        <w:t xml:space="preserve">industry </w:t>
      </w:r>
      <w:r w:rsidR="003B7711">
        <w:rPr>
          <w:rFonts w:eastAsia="Calibri"/>
        </w:rPr>
        <w:lastRenderedPageBreak/>
        <w:t xml:space="preserve">participant </w:t>
      </w:r>
      <w:r w:rsidR="00523079">
        <w:rPr>
          <w:rFonts w:eastAsia="Calibri"/>
        </w:rPr>
        <w:t>is given by</w:t>
      </w:r>
      <w:r w:rsidR="00EB03D7">
        <w:rPr>
          <w:rFonts w:eastAsia="Calibri"/>
        </w:rPr>
        <w:t xml:space="preserve"> the</w:t>
      </w:r>
      <w:r w:rsidR="00523079" w:rsidRPr="00523079">
        <w:t xml:space="preserve"> </w:t>
      </w:r>
      <w:r w:rsidR="00523079">
        <w:t>findings of the 2016 DEDJTR survey</w:t>
      </w:r>
      <w:r w:rsidR="00EB03D7">
        <w:t>,</w:t>
      </w:r>
      <w:r w:rsidR="00523079">
        <w:t xml:space="preserve"> as outlined in Table 3</w:t>
      </w:r>
      <w:r w:rsidR="00EB03D7">
        <w:t>,</w:t>
      </w:r>
      <w:r w:rsidR="00523079">
        <w:t xml:space="preserve"> and varies for dogs under and over 16 weeks of age</w:t>
      </w:r>
      <w:r w:rsidR="0019737B">
        <w:rPr>
          <w:rStyle w:val="FootnoteReference"/>
        </w:rPr>
        <w:footnoteReference w:id="27"/>
      </w:r>
      <w:r w:rsidR="00523079">
        <w:t>.</w:t>
      </w:r>
    </w:p>
    <w:p w:rsidR="00523079" w:rsidRDefault="00523079">
      <w:pPr>
        <w:jc w:val="both"/>
      </w:pPr>
    </w:p>
    <w:p w:rsidR="003B7711" w:rsidRDefault="003B7711" w:rsidP="004B0055">
      <w:pPr>
        <w:jc w:val="center"/>
        <w:rPr>
          <w:b/>
          <w:sz w:val="20"/>
          <w:szCs w:val="20"/>
        </w:rPr>
      </w:pPr>
      <w:r>
        <w:rPr>
          <w:b/>
          <w:sz w:val="20"/>
          <w:szCs w:val="20"/>
        </w:rPr>
        <w:t>Table 3: Distribution of No. dogs under care of industry participants</w:t>
      </w:r>
    </w:p>
    <w:p w:rsidR="003B7711" w:rsidRDefault="003B7711">
      <w:pPr>
        <w:jc w:val="both"/>
      </w:pPr>
    </w:p>
    <w:tbl>
      <w:tblPr>
        <w:tblW w:w="7372" w:type="dxa"/>
        <w:jc w:val="center"/>
        <w:tblLook w:val="04A0" w:firstRow="1" w:lastRow="0" w:firstColumn="1" w:lastColumn="0" w:noHBand="0" w:noVBand="1"/>
      </w:tblPr>
      <w:tblGrid>
        <w:gridCol w:w="1235"/>
        <w:gridCol w:w="1600"/>
        <w:gridCol w:w="993"/>
        <w:gridCol w:w="1134"/>
        <w:gridCol w:w="1134"/>
        <w:gridCol w:w="1276"/>
      </w:tblGrid>
      <w:tr w:rsidR="003B7711" w:rsidRPr="005E307C" w:rsidTr="004B0055">
        <w:trPr>
          <w:trHeight w:val="50"/>
          <w:tblHeader/>
          <w:jc w:val="center"/>
        </w:trPr>
        <w:tc>
          <w:tcPr>
            <w:tcW w:w="1235" w:type="dxa"/>
            <w:tcBorders>
              <w:top w:val="single" w:sz="4" w:space="0" w:color="1F4E78"/>
              <w:left w:val="nil"/>
              <w:bottom w:val="double" w:sz="6" w:space="0" w:color="1F4E78"/>
              <w:right w:val="nil"/>
            </w:tcBorders>
            <w:shd w:val="clear" w:color="000000" w:fill="FFFFFF"/>
            <w:noWrap/>
            <w:hideMark/>
          </w:tcPr>
          <w:p w:rsidR="003B7711" w:rsidRPr="005E307C" w:rsidRDefault="003B7711">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Age of dog</w:t>
            </w:r>
          </w:p>
        </w:tc>
        <w:tc>
          <w:tcPr>
            <w:tcW w:w="1600" w:type="dxa"/>
            <w:tcBorders>
              <w:top w:val="single" w:sz="4" w:space="0" w:color="1F4E78"/>
              <w:left w:val="nil"/>
              <w:bottom w:val="double" w:sz="6" w:space="0" w:color="1F4E78"/>
              <w:right w:val="nil"/>
            </w:tcBorders>
            <w:shd w:val="clear" w:color="000000" w:fill="FFFFFF"/>
          </w:tcPr>
          <w:p w:rsidR="003B7711" w:rsidRPr="005E307C" w:rsidRDefault="003B7711" w:rsidP="00545D9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 xml:space="preserve">No. </w:t>
            </w:r>
            <w:r w:rsidR="004851C1" w:rsidRPr="005E307C">
              <w:rPr>
                <w:rFonts w:eastAsia="Times New Roman" w:cs="Calibri"/>
                <w:b/>
                <w:bCs/>
                <w:color w:val="53565A"/>
                <w:sz w:val="20"/>
                <w:szCs w:val="20"/>
                <w:lang w:eastAsia="en-AU"/>
              </w:rPr>
              <w:t>respon</w:t>
            </w:r>
            <w:r w:rsidR="0019737B" w:rsidRPr="005E307C">
              <w:rPr>
                <w:rFonts w:eastAsia="Times New Roman" w:cs="Calibri"/>
                <w:b/>
                <w:bCs/>
                <w:color w:val="53565A"/>
                <w:sz w:val="20"/>
                <w:szCs w:val="20"/>
                <w:lang w:eastAsia="en-AU"/>
              </w:rPr>
              <w:t>ses</w:t>
            </w:r>
          </w:p>
        </w:tc>
        <w:tc>
          <w:tcPr>
            <w:tcW w:w="993" w:type="dxa"/>
            <w:tcBorders>
              <w:top w:val="single" w:sz="4" w:space="0" w:color="1F4E78"/>
              <w:left w:val="nil"/>
              <w:bottom w:val="double" w:sz="6" w:space="0" w:color="1F4E78"/>
              <w:right w:val="nil"/>
            </w:tcBorders>
            <w:shd w:val="clear" w:color="000000" w:fill="FFFFFF"/>
            <w:noWrap/>
            <w:vAlign w:val="bottom"/>
            <w:hideMark/>
          </w:tcPr>
          <w:p w:rsidR="003B7711" w:rsidRPr="005E307C" w:rsidRDefault="003B7711" w:rsidP="00545D9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1 to 5 dogs</w:t>
            </w:r>
          </w:p>
        </w:tc>
        <w:tc>
          <w:tcPr>
            <w:tcW w:w="1134" w:type="dxa"/>
            <w:tcBorders>
              <w:top w:val="single" w:sz="4" w:space="0" w:color="1F4E78"/>
              <w:left w:val="nil"/>
              <w:bottom w:val="double" w:sz="6" w:space="0" w:color="1F4E78"/>
              <w:right w:val="nil"/>
            </w:tcBorders>
            <w:shd w:val="clear" w:color="000000" w:fill="FFFFFF"/>
            <w:noWrap/>
            <w:vAlign w:val="bottom"/>
            <w:hideMark/>
          </w:tcPr>
          <w:p w:rsidR="003B7711" w:rsidRPr="005E307C" w:rsidRDefault="003B7711" w:rsidP="00545D9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6 to 10</w:t>
            </w:r>
            <w:r w:rsidR="000F5382" w:rsidRPr="005E307C">
              <w:rPr>
                <w:rFonts w:eastAsia="Times New Roman" w:cs="Calibri"/>
                <w:b/>
                <w:bCs/>
                <w:color w:val="53565A"/>
                <w:sz w:val="20"/>
                <w:szCs w:val="20"/>
                <w:lang w:eastAsia="en-AU"/>
              </w:rPr>
              <w:t xml:space="preserve"> dogs</w:t>
            </w:r>
            <w:r w:rsidRPr="005E307C">
              <w:rPr>
                <w:rFonts w:eastAsia="Times New Roman" w:cs="Calibri"/>
                <w:b/>
                <w:bCs/>
                <w:color w:val="53565A"/>
                <w:sz w:val="20"/>
                <w:szCs w:val="20"/>
                <w:lang w:eastAsia="en-AU"/>
              </w:rPr>
              <w:t xml:space="preserve"> </w:t>
            </w:r>
          </w:p>
        </w:tc>
        <w:tc>
          <w:tcPr>
            <w:tcW w:w="1134" w:type="dxa"/>
            <w:tcBorders>
              <w:top w:val="single" w:sz="4" w:space="0" w:color="1F4E78"/>
              <w:left w:val="nil"/>
              <w:bottom w:val="double" w:sz="6" w:space="0" w:color="1F4E78"/>
              <w:right w:val="nil"/>
            </w:tcBorders>
            <w:shd w:val="clear" w:color="000000" w:fill="FFFFFF"/>
            <w:noWrap/>
            <w:vAlign w:val="bottom"/>
            <w:hideMark/>
          </w:tcPr>
          <w:p w:rsidR="003B7711" w:rsidRPr="005E307C" w:rsidRDefault="003B7711" w:rsidP="00545D9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11 to 29</w:t>
            </w:r>
            <w:r w:rsidR="000F5382" w:rsidRPr="005E307C">
              <w:rPr>
                <w:rFonts w:eastAsia="Times New Roman" w:cs="Calibri"/>
                <w:b/>
                <w:bCs/>
                <w:color w:val="53565A"/>
                <w:sz w:val="20"/>
                <w:szCs w:val="20"/>
                <w:lang w:eastAsia="en-AU"/>
              </w:rPr>
              <w:t xml:space="preserve"> dogs</w:t>
            </w:r>
          </w:p>
        </w:tc>
        <w:tc>
          <w:tcPr>
            <w:tcW w:w="1276" w:type="dxa"/>
            <w:tcBorders>
              <w:top w:val="single" w:sz="4" w:space="0" w:color="1F4E78"/>
              <w:left w:val="nil"/>
              <w:bottom w:val="double" w:sz="6" w:space="0" w:color="1F4E78"/>
              <w:right w:val="nil"/>
            </w:tcBorders>
            <w:shd w:val="clear" w:color="000000" w:fill="FFFFFF"/>
            <w:noWrap/>
            <w:vAlign w:val="bottom"/>
            <w:hideMark/>
          </w:tcPr>
          <w:p w:rsidR="003B7711" w:rsidRPr="005E307C" w:rsidRDefault="003B7711" w:rsidP="00545D9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30 or more</w:t>
            </w:r>
            <w:r w:rsidR="000F5382" w:rsidRPr="005E307C">
              <w:rPr>
                <w:rFonts w:eastAsia="Times New Roman" w:cs="Calibri"/>
                <w:b/>
                <w:bCs/>
                <w:color w:val="53565A"/>
                <w:sz w:val="20"/>
                <w:szCs w:val="20"/>
                <w:lang w:eastAsia="en-AU"/>
              </w:rPr>
              <w:t xml:space="preserve"> dogs</w:t>
            </w:r>
          </w:p>
        </w:tc>
      </w:tr>
      <w:tr w:rsidR="003B7711" w:rsidRPr="00545D93" w:rsidTr="004B0055">
        <w:trPr>
          <w:trHeight w:val="25"/>
          <w:jc w:val="center"/>
        </w:trPr>
        <w:tc>
          <w:tcPr>
            <w:tcW w:w="1235" w:type="dxa"/>
            <w:tcBorders>
              <w:top w:val="nil"/>
              <w:left w:val="nil"/>
              <w:right w:val="nil"/>
            </w:tcBorders>
            <w:shd w:val="clear" w:color="000000" w:fill="FFFFFF"/>
            <w:noWrap/>
            <w:vAlign w:val="bottom"/>
            <w:hideMark/>
          </w:tcPr>
          <w:p w:rsidR="003B7711" w:rsidRPr="00545D93" w:rsidRDefault="003B7711" w:rsidP="00545D93">
            <w:pPr>
              <w:rPr>
                <w:rFonts w:eastAsia="Times New Roman" w:cs="Calibri"/>
                <w:sz w:val="20"/>
                <w:szCs w:val="20"/>
                <w:lang w:eastAsia="en-AU"/>
              </w:rPr>
            </w:pPr>
            <w:r w:rsidRPr="00545D93">
              <w:rPr>
                <w:rFonts w:eastAsia="Times New Roman" w:cs="Calibri"/>
                <w:sz w:val="20"/>
                <w:szCs w:val="20"/>
                <w:lang w:eastAsia="en-AU"/>
              </w:rPr>
              <w:t>&lt; 16 weeks</w:t>
            </w:r>
          </w:p>
        </w:tc>
        <w:tc>
          <w:tcPr>
            <w:tcW w:w="1600" w:type="dxa"/>
            <w:tcBorders>
              <w:top w:val="nil"/>
              <w:left w:val="nil"/>
              <w:right w:val="nil"/>
            </w:tcBorders>
            <w:shd w:val="clear" w:color="000000" w:fill="FFFFFF"/>
            <w:vAlign w:val="bottom"/>
          </w:tcPr>
          <w:p w:rsidR="003B7711" w:rsidRPr="00EA5EC3" w:rsidRDefault="003B7711">
            <w:pPr>
              <w:jc w:val="center"/>
              <w:rPr>
                <w:rFonts w:eastAsia="Times New Roman" w:cs="Calibri"/>
                <w:sz w:val="20"/>
                <w:szCs w:val="20"/>
                <w:lang w:eastAsia="en-AU"/>
              </w:rPr>
            </w:pPr>
            <w:r w:rsidRPr="00EA5EC3">
              <w:rPr>
                <w:rFonts w:eastAsia="Times New Roman" w:cs="Calibri"/>
                <w:sz w:val="20"/>
                <w:szCs w:val="20"/>
                <w:lang w:eastAsia="en-AU"/>
              </w:rPr>
              <w:t>300</w:t>
            </w:r>
          </w:p>
        </w:tc>
        <w:tc>
          <w:tcPr>
            <w:tcW w:w="993" w:type="dxa"/>
            <w:tcBorders>
              <w:top w:val="nil"/>
              <w:left w:val="nil"/>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51.30%</w:t>
            </w:r>
          </w:p>
        </w:tc>
        <w:tc>
          <w:tcPr>
            <w:tcW w:w="1134" w:type="dxa"/>
            <w:tcBorders>
              <w:top w:val="nil"/>
              <w:left w:val="nil"/>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29.70%</w:t>
            </w:r>
          </w:p>
        </w:tc>
        <w:tc>
          <w:tcPr>
            <w:tcW w:w="1134" w:type="dxa"/>
            <w:tcBorders>
              <w:top w:val="nil"/>
              <w:left w:val="nil"/>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8.94%</w:t>
            </w:r>
          </w:p>
        </w:tc>
        <w:tc>
          <w:tcPr>
            <w:tcW w:w="1276" w:type="dxa"/>
            <w:tcBorders>
              <w:top w:val="nil"/>
              <w:left w:val="nil"/>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10.06%</w:t>
            </w:r>
          </w:p>
        </w:tc>
      </w:tr>
      <w:tr w:rsidR="003B7711" w:rsidRPr="00545D93" w:rsidTr="004B0055">
        <w:trPr>
          <w:trHeight w:val="60"/>
          <w:jc w:val="center"/>
        </w:trPr>
        <w:tc>
          <w:tcPr>
            <w:tcW w:w="1235" w:type="dxa"/>
            <w:tcBorders>
              <w:top w:val="nil"/>
              <w:left w:val="nil"/>
              <w:bottom w:val="single" w:sz="4" w:space="0" w:color="244061" w:themeColor="accent1" w:themeShade="80"/>
              <w:right w:val="nil"/>
            </w:tcBorders>
            <w:shd w:val="clear" w:color="000000" w:fill="FFFFFF"/>
            <w:noWrap/>
            <w:vAlign w:val="bottom"/>
            <w:hideMark/>
          </w:tcPr>
          <w:p w:rsidR="003B7711" w:rsidRPr="00545D93" w:rsidRDefault="003B7711" w:rsidP="00545D93">
            <w:pPr>
              <w:rPr>
                <w:rFonts w:eastAsia="Times New Roman" w:cs="Calibri"/>
                <w:sz w:val="20"/>
                <w:szCs w:val="20"/>
                <w:lang w:eastAsia="en-AU"/>
              </w:rPr>
            </w:pPr>
            <w:r w:rsidRPr="00545D93">
              <w:rPr>
                <w:rFonts w:eastAsia="Times New Roman" w:cs="Calibri"/>
                <w:sz w:val="20"/>
                <w:szCs w:val="20"/>
                <w:lang w:eastAsia="en-AU"/>
              </w:rPr>
              <w:t>&gt; 16 weeks</w:t>
            </w:r>
          </w:p>
        </w:tc>
        <w:tc>
          <w:tcPr>
            <w:tcW w:w="1600" w:type="dxa"/>
            <w:tcBorders>
              <w:top w:val="nil"/>
              <w:left w:val="nil"/>
              <w:bottom w:val="single" w:sz="4" w:space="0" w:color="244061" w:themeColor="accent1" w:themeShade="80"/>
              <w:right w:val="nil"/>
            </w:tcBorders>
            <w:shd w:val="clear" w:color="000000" w:fill="FFFFFF"/>
            <w:vAlign w:val="bottom"/>
          </w:tcPr>
          <w:p w:rsidR="003B7711" w:rsidRPr="00EA5EC3" w:rsidRDefault="003B7711">
            <w:pPr>
              <w:jc w:val="center"/>
              <w:rPr>
                <w:rFonts w:eastAsia="Times New Roman" w:cs="Calibri"/>
                <w:sz w:val="20"/>
                <w:szCs w:val="20"/>
                <w:lang w:eastAsia="en-AU"/>
              </w:rPr>
            </w:pPr>
            <w:r w:rsidRPr="00EA5EC3">
              <w:rPr>
                <w:rFonts w:eastAsia="Times New Roman" w:cs="Calibri"/>
                <w:sz w:val="20"/>
                <w:szCs w:val="20"/>
                <w:lang w:eastAsia="en-AU"/>
              </w:rPr>
              <w:t>512</w:t>
            </w:r>
          </w:p>
        </w:tc>
        <w:tc>
          <w:tcPr>
            <w:tcW w:w="993" w:type="dxa"/>
            <w:tcBorders>
              <w:top w:val="nil"/>
              <w:left w:val="nil"/>
              <w:bottom w:val="single" w:sz="4" w:space="0" w:color="244061" w:themeColor="accent1" w:themeShade="80"/>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49.50%</w:t>
            </w:r>
          </w:p>
        </w:tc>
        <w:tc>
          <w:tcPr>
            <w:tcW w:w="1134" w:type="dxa"/>
            <w:tcBorders>
              <w:top w:val="nil"/>
              <w:left w:val="nil"/>
              <w:bottom w:val="single" w:sz="4" w:space="0" w:color="244061" w:themeColor="accent1" w:themeShade="80"/>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17.50%</w:t>
            </w:r>
          </w:p>
        </w:tc>
        <w:tc>
          <w:tcPr>
            <w:tcW w:w="1134" w:type="dxa"/>
            <w:tcBorders>
              <w:top w:val="nil"/>
              <w:left w:val="nil"/>
              <w:bottom w:val="single" w:sz="4" w:space="0" w:color="244061" w:themeColor="accent1" w:themeShade="80"/>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23.10%</w:t>
            </w:r>
          </w:p>
        </w:tc>
        <w:tc>
          <w:tcPr>
            <w:tcW w:w="1276" w:type="dxa"/>
            <w:tcBorders>
              <w:top w:val="nil"/>
              <w:left w:val="nil"/>
              <w:bottom w:val="single" w:sz="4" w:space="0" w:color="244061" w:themeColor="accent1" w:themeShade="80"/>
              <w:right w:val="nil"/>
            </w:tcBorders>
            <w:shd w:val="clear" w:color="000000" w:fill="FFFFFF"/>
            <w:noWrap/>
            <w:vAlign w:val="bottom"/>
            <w:hideMark/>
          </w:tcPr>
          <w:p w:rsidR="003B7711" w:rsidRPr="00545D93" w:rsidRDefault="003B7711" w:rsidP="00545D93">
            <w:pPr>
              <w:jc w:val="center"/>
              <w:rPr>
                <w:rFonts w:eastAsia="Times New Roman" w:cs="Calibri"/>
                <w:sz w:val="20"/>
                <w:szCs w:val="20"/>
                <w:lang w:eastAsia="en-AU"/>
              </w:rPr>
            </w:pPr>
            <w:r w:rsidRPr="00545D93">
              <w:rPr>
                <w:rFonts w:eastAsia="Times New Roman" w:cs="Calibri"/>
                <w:sz w:val="20"/>
                <w:szCs w:val="20"/>
                <w:lang w:eastAsia="en-AU"/>
              </w:rPr>
              <w:t>9.90%</w:t>
            </w:r>
          </w:p>
        </w:tc>
      </w:tr>
    </w:tbl>
    <w:p w:rsidR="00523079" w:rsidRPr="004B0055" w:rsidRDefault="003B7711" w:rsidP="004B0055">
      <w:pPr>
        <w:ind w:firstLine="426"/>
        <w:jc w:val="both"/>
        <w:rPr>
          <w:sz w:val="18"/>
        </w:rPr>
      </w:pPr>
      <w:r w:rsidRPr="004B0055">
        <w:rPr>
          <w:b/>
          <w:sz w:val="18"/>
        </w:rPr>
        <w:t>Source:</w:t>
      </w:r>
      <w:r w:rsidRPr="004B0055">
        <w:rPr>
          <w:sz w:val="18"/>
        </w:rPr>
        <w:t xml:space="preserve"> </w:t>
      </w:r>
      <w:r w:rsidR="00951AFB">
        <w:rPr>
          <w:sz w:val="18"/>
        </w:rPr>
        <w:t xml:space="preserve">Data from </w:t>
      </w:r>
      <w:r w:rsidRPr="004B0055">
        <w:rPr>
          <w:sz w:val="18"/>
        </w:rPr>
        <w:t>DEDJTR 2016 survey</w:t>
      </w:r>
    </w:p>
    <w:p w:rsidR="00523079" w:rsidRDefault="00523079">
      <w:pPr>
        <w:jc w:val="both"/>
      </w:pPr>
    </w:p>
    <w:p w:rsidR="008E0A9B" w:rsidRDefault="003B7711" w:rsidP="008A3EE7">
      <w:pPr>
        <w:jc w:val="both"/>
      </w:pPr>
      <w:r>
        <w:t>Table 4</w:t>
      </w:r>
      <w:r w:rsidR="0001209D">
        <w:t xml:space="preserve"> combines this distribution of dogs </w:t>
      </w:r>
      <w:r>
        <w:t>under the</w:t>
      </w:r>
      <w:r w:rsidR="0001209D">
        <w:t xml:space="preserve"> care</w:t>
      </w:r>
      <w:r>
        <w:t xml:space="preserve"> of </w:t>
      </w:r>
      <w:r w:rsidR="004851C1">
        <w:t>participants</w:t>
      </w:r>
      <w:r w:rsidR="0001209D">
        <w:t xml:space="preserve"> with the average number of</w:t>
      </w:r>
      <w:r>
        <w:t xml:space="preserve"> unique participants</w:t>
      </w:r>
      <w:r w:rsidR="000F5382">
        <w:t xml:space="preserve"> (2013-14 to 2015-16)</w:t>
      </w:r>
      <w:r>
        <w:t xml:space="preserve"> in Table 2 and </w:t>
      </w:r>
      <w:r w:rsidR="00EB03D7">
        <w:t>designates</w:t>
      </w:r>
      <w:r>
        <w:t xml:space="preserve"> small breeders </w:t>
      </w:r>
      <w:r w:rsidR="00EB03D7">
        <w:t>as having</w:t>
      </w:r>
      <w:r>
        <w:t xml:space="preserve"> less than 3 litters and small </w:t>
      </w:r>
      <w:r w:rsidR="000F5382">
        <w:t xml:space="preserve">trainers </w:t>
      </w:r>
      <w:r w:rsidR="00EB03D7">
        <w:t>as having</w:t>
      </w:r>
      <w:r w:rsidR="000F5382">
        <w:t xml:space="preserve"> less than 10 dogs as recommended by GRV.</w:t>
      </w:r>
    </w:p>
    <w:p w:rsidR="008E66B4" w:rsidRDefault="008E66B4" w:rsidP="008A3EE7">
      <w:pPr>
        <w:jc w:val="both"/>
      </w:pPr>
    </w:p>
    <w:p w:rsidR="003B7711" w:rsidRDefault="007B29DB" w:rsidP="004B0055">
      <w:pPr>
        <w:jc w:val="center"/>
        <w:rPr>
          <w:b/>
          <w:sz w:val="20"/>
          <w:szCs w:val="20"/>
        </w:rPr>
      </w:pPr>
      <w:r>
        <w:rPr>
          <w:b/>
          <w:sz w:val="20"/>
          <w:szCs w:val="20"/>
        </w:rPr>
        <w:t>Table 4</w:t>
      </w:r>
      <w:r w:rsidR="009B3A79">
        <w:rPr>
          <w:b/>
          <w:sz w:val="20"/>
          <w:szCs w:val="20"/>
        </w:rPr>
        <w:t xml:space="preserve">: Distribution No. </w:t>
      </w:r>
      <w:r w:rsidR="009B3A79" w:rsidRPr="00EF4BA7">
        <w:rPr>
          <w:b/>
          <w:sz w:val="20"/>
          <w:szCs w:val="20"/>
        </w:rPr>
        <w:t xml:space="preserve">registered </w:t>
      </w:r>
      <w:r w:rsidR="009B3A79">
        <w:rPr>
          <w:b/>
          <w:sz w:val="20"/>
          <w:szCs w:val="20"/>
        </w:rPr>
        <w:t xml:space="preserve">breeders and trainers by estimated No. </w:t>
      </w:r>
      <w:r w:rsidR="009B3A79" w:rsidRPr="00EF4BA7">
        <w:rPr>
          <w:b/>
          <w:sz w:val="20"/>
          <w:szCs w:val="20"/>
        </w:rPr>
        <w:t>dogs under care</w:t>
      </w:r>
      <w:r w:rsidR="0019737B">
        <w:rPr>
          <w:rStyle w:val="FootnoteReference"/>
          <w:b/>
          <w:sz w:val="20"/>
          <w:szCs w:val="20"/>
        </w:rPr>
        <w:footnoteReference w:id="28"/>
      </w:r>
    </w:p>
    <w:p w:rsidR="009B3A79" w:rsidRDefault="009B3A79" w:rsidP="008A3EE7">
      <w:pPr>
        <w:jc w:val="both"/>
      </w:pPr>
    </w:p>
    <w:tbl>
      <w:tblPr>
        <w:tblW w:w="7761" w:type="dxa"/>
        <w:jc w:val="center"/>
        <w:tblLook w:val="04A0" w:firstRow="1" w:lastRow="0" w:firstColumn="1" w:lastColumn="0" w:noHBand="0" w:noVBand="1"/>
      </w:tblPr>
      <w:tblGrid>
        <w:gridCol w:w="2977"/>
        <w:gridCol w:w="992"/>
        <w:gridCol w:w="815"/>
        <w:gridCol w:w="1028"/>
        <w:gridCol w:w="1134"/>
        <w:gridCol w:w="815"/>
      </w:tblGrid>
      <w:tr w:rsidR="000F5382" w:rsidRPr="005E307C" w:rsidTr="004B0055">
        <w:trPr>
          <w:trHeight w:val="50"/>
          <w:tblHeader/>
          <w:jc w:val="center"/>
        </w:trPr>
        <w:tc>
          <w:tcPr>
            <w:tcW w:w="2977" w:type="dxa"/>
            <w:tcBorders>
              <w:top w:val="single" w:sz="4" w:space="0" w:color="1F4E78"/>
              <w:left w:val="nil"/>
              <w:bottom w:val="double" w:sz="6" w:space="0" w:color="1F4E78"/>
              <w:right w:val="nil"/>
            </w:tcBorders>
            <w:shd w:val="clear" w:color="000000" w:fill="FFFFFF"/>
            <w:noWrap/>
            <w:vAlign w:val="bottom"/>
            <w:hideMark/>
          </w:tcPr>
          <w:p w:rsidR="000F5382" w:rsidRPr="005E307C" w:rsidRDefault="000F5382" w:rsidP="003B7711">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 xml:space="preserve">Category of </w:t>
            </w:r>
            <w:r w:rsidR="000A7A34" w:rsidRPr="005E307C">
              <w:rPr>
                <w:rFonts w:eastAsia="Times New Roman" w:cs="Calibri"/>
                <w:b/>
                <w:bCs/>
                <w:color w:val="53565A"/>
                <w:sz w:val="20"/>
                <w:szCs w:val="20"/>
                <w:lang w:eastAsia="en-AU"/>
              </w:rPr>
              <w:t>participation</w:t>
            </w:r>
          </w:p>
        </w:tc>
        <w:tc>
          <w:tcPr>
            <w:tcW w:w="992" w:type="dxa"/>
            <w:tcBorders>
              <w:top w:val="single" w:sz="4" w:space="0" w:color="1F4E78"/>
              <w:left w:val="nil"/>
              <w:bottom w:val="double" w:sz="6" w:space="0" w:color="1F4E78"/>
              <w:right w:val="nil"/>
            </w:tcBorders>
            <w:shd w:val="clear" w:color="000000" w:fill="FFFFFF"/>
            <w:noWrap/>
            <w:vAlign w:val="bottom"/>
            <w:hideMark/>
          </w:tcPr>
          <w:p w:rsidR="000F5382" w:rsidRPr="005E307C" w:rsidRDefault="000F5382" w:rsidP="003B7711">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1 to 5 dogs</w:t>
            </w:r>
          </w:p>
        </w:tc>
        <w:tc>
          <w:tcPr>
            <w:tcW w:w="815" w:type="dxa"/>
            <w:tcBorders>
              <w:top w:val="single" w:sz="4" w:space="0" w:color="1F4E78"/>
              <w:left w:val="nil"/>
              <w:bottom w:val="double" w:sz="6" w:space="0" w:color="1F4E78"/>
              <w:right w:val="nil"/>
            </w:tcBorders>
            <w:shd w:val="clear" w:color="000000" w:fill="FFFFFF"/>
            <w:noWrap/>
            <w:vAlign w:val="bottom"/>
            <w:hideMark/>
          </w:tcPr>
          <w:p w:rsidR="000F5382" w:rsidRPr="005E307C" w:rsidRDefault="000F5382" w:rsidP="003B7711">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 xml:space="preserve">6 to 10 dogs </w:t>
            </w:r>
          </w:p>
        </w:tc>
        <w:tc>
          <w:tcPr>
            <w:tcW w:w="1028" w:type="dxa"/>
            <w:tcBorders>
              <w:top w:val="single" w:sz="4" w:space="0" w:color="1F4E78"/>
              <w:left w:val="nil"/>
              <w:bottom w:val="double" w:sz="6" w:space="0" w:color="1F4E78"/>
              <w:right w:val="nil"/>
            </w:tcBorders>
            <w:shd w:val="clear" w:color="000000" w:fill="FFFFFF"/>
            <w:noWrap/>
            <w:vAlign w:val="bottom"/>
            <w:hideMark/>
          </w:tcPr>
          <w:p w:rsidR="000F5382" w:rsidRPr="005E307C" w:rsidRDefault="000F5382" w:rsidP="003B7711">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11 to 29 dogs</w:t>
            </w:r>
          </w:p>
        </w:tc>
        <w:tc>
          <w:tcPr>
            <w:tcW w:w="1134" w:type="dxa"/>
            <w:tcBorders>
              <w:top w:val="single" w:sz="4" w:space="0" w:color="1F4E78"/>
              <w:left w:val="nil"/>
              <w:bottom w:val="double" w:sz="6" w:space="0" w:color="1F4E78"/>
              <w:right w:val="nil"/>
            </w:tcBorders>
            <w:shd w:val="clear" w:color="000000" w:fill="FFFFFF"/>
            <w:noWrap/>
            <w:vAlign w:val="bottom"/>
            <w:hideMark/>
          </w:tcPr>
          <w:p w:rsidR="000F5382" w:rsidRPr="005E307C" w:rsidRDefault="000F5382" w:rsidP="003B7711">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30 or more dogs</w:t>
            </w:r>
          </w:p>
        </w:tc>
        <w:tc>
          <w:tcPr>
            <w:tcW w:w="815" w:type="dxa"/>
            <w:tcBorders>
              <w:top w:val="single" w:sz="4" w:space="0" w:color="1F4E78"/>
              <w:left w:val="nil"/>
              <w:bottom w:val="double" w:sz="6" w:space="0" w:color="1F4E78"/>
              <w:right w:val="nil"/>
            </w:tcBorders>
            <w:shd w:val="clear" w:color="000000" w:fill="FFFFFF"/>
            <w:vAlign w:val="bottom"/>
          </w:tcPr>
          <w:p w:rsidR="000F5382" w:rsidRPr="005E307C" w:rsidRDefault="000F538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Total</w:t>
            </w:r>
          </w:p>
        </w:tc>
      </w:tr>
      <w:tr w:rsidR="000F5382" w:rsidRPr="003B7711" w:rsidTr="0019737B">
        <w:trPr>
          <w:trHeight w:val="304"/>
          <w:jc w:val="center"/>
        </w:trPr>
        <w:tc>
          <w:tcPr>
            <w:tcW w:w="2977" w:type="dxa"/>
            <w:tcBorders>
              <w:top w:val="nil"/>
              <w:left w:val="nil"/>
              <w:bottom w:val="nil"/>
              <w:right w:val="nil"/>
            </w:tcBorders>
            <w:shd w:val="clear" w:color="000000" w:fill="FFFFFF"/>
            <w:noWrap/>
            <w:vAlign w:val="bottom"/>
            <w:hideMark/>
          </w:tcPr>
          <w:p w:rsidR="000F5382" w:rsidRPr="003B7711" w:rsidRDefault="009B3A79" w:rsidP="003B7711">
            <w:pPr>
              <w:rPr>
                <w:rFonts w:eastAsia="Times New Roman" w:cs="Calibri"/>
                <w:sz w:val="20"/>
                <w:szCs w:val="20"/>
                <w:lang w:eastAsia="en-AU"/>
              </w:rPr>
            </w:pPr>
            <w:r>
              <w:rPr>
                <w:rFonts w:eastAsia="Times New Roman" w:cs="Calibri"/>
                <w:sz w:val="20"/>
                <w:szCs w:val="20"/>
                <w:lang w:eastAsia="en-AU"/>
              </w:rPr>
              <w:t>Estimated</w:t>
            </w:r>
            <w:r w:rsidR="000F5382" w:rsidRPr="003B7711">
              <w:rPr>
                <w:rFonts w:eastAsia="Times New Roman" w:cs="Calibri"/>
                <w:sz w:val="20"/>
                <w:szCs w:val="20"/>
                <w:lang w:eastAsia="en-AU"/>
              </w:rPr>
              <w:t xml:space="preserve"> % for large breeders</w:t>
            </w:r>
          </w:p>
        </w:tc>
        <w:tc>
          <w:tcPr>
            <w:tcW w:w="992"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Pr>
                <w:rFonts w:eastAsia="Times New Roman" w:cs="Calibri"/>
                <w:sz w:val="20"/>
                <w:szCs w:val="20"/>
                <w:lang w:eastAsia="en-AU"/>
              </w:rPr>
              <w:t>N/A</w:t>
            </w:r>
          </w:p>
        </w:tc>
        <w:tc>
          <w:tcPr>
            <w:tcW w:w="815"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Pr>
                <w:rFonts w:eastAsia="Times New Roman" w:cs="Calibri"/>
                <w:sz w:val="20"/>
                <w:szCs w:val="20"/>
                <w:lang w:eastAsia="en-AU"/>
              </w:rPr>
              <w:t>N/A</w:t>
            </w:r>
          </w:p>
        </w:tc>
        <w:tc>
          <w:tcPr>
            <w:tcW w:w="1028"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30.76%</w:t>
            </w:r>
          </w:p>
        </w:tc>
        <w:tc>
          <w:tcPr>
            <w:tcW w:w="1134"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69.24%</w:t>
            </w:r>
          </w:p>
        </w:tc>
        <w:tc>
          <w:tcPr>
            <w:tcW w:w="815" w:type="dxa"/>
            <w:tcBorders>
              <w:top w:val="nil"/>
              <w:left w:val="nil"/>
              <w:bottom w:val="nil"/>
              <w:right w:val="nil"/>
            </w:tcBorders>
            <w:shd w:val="clear" w:color="000000" w:fill="FFFFFF"/>
            <w:vAlign w:val="bottom"/>
          </w:tcPr>
          <w:p w:rsidR="000F5382" w:rsidRPr="003B7711" w:rsidRDefault="000F5382">
            <w:pPr>
              <w:jc w:val="center"/>
              <w:rPr>
                <w:rFonts w:eastAsia="Times New Roman" w:cs="Calibri"/>
                <w:sz w:val="20"/>
                <w:szCs w:val="20"/>
                <w:lang w:eastAsia="en-AU"/>
              </w:rPr>
            </w:pPr>
            <w:r>
              <w:rPr>
                <w:rFonts w:eastAsia="Times New Roman" w:cs="Calibri"/>
                <w:sz w:val="20"/>
                <w:szCs w:val="20"/>
                <w:lang w:eastAsia="en-AU"/>
              </w:rPr>
              <w:t>100%</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9B3A79" w:rsidP="000F5382">
            <w:pPr>
              <w:rPr>
                <w:rFonts w:eastAsia="Times New Roman" w:cs="Calibri"/>
                <w:sz w:val="20"/>
                <w:szCs w:val="20"/>
                <w:lang w:eastAsia="en-AU"/>
              </w:rPr>
            </w:pPr>
            <w:r>
              <w:rPr>
                <w:rFonts w:eastAsia="Times New Roman" w:cs="Calibri"/>
                <w:sz w:val="20"/>
                <w:szCs w:val="20"/>
                <w:lang w:eastAsia="en-AU"/>
              </w:rPr>
              <w:t xml:space="preserve">Estimated </w:t>
            </w:r>
            <w:r w:rsidR="000F5382" w:rsidRPr="003B7711">
              <w:rPr>
                <w:rFonts w:eastAsia="Times New Roman" w:cs="Calibri"/>
                <w:sz w:val="20"/>
                <w:szCs w:val="20"/>
                <w:lang w:eastAsia="en-AU"/>
              </w:rPr>
              <w:t>% for small breeders</w:t>
            </w:r>
          </w:p>
        </w:tc>
        <w:tc>
          <w:tcPr>
            <w:tcW w:w="992"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60.02%</w:t>
            </w:r>
          </w:p>
        </w:tc>
        <w:tc>
          <w:tcPr>
            <w:tcW w:w="815"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34.75%</w:t>
            </w:r>
          </w:p>
        </w:tc>
        <w:tc>
          <w:tcPr>
            <w:tcW w:w="1028"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5.23%</w:t>
            </w:r>
          </w:p>
        </w:tc>
        <w:tc>
          <w:tcPr>
            <w:tcW w:w="1134"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0.00%</w:t>
            </w:r>
          </w:p>
        </w:tc>
        <w:tc>
          <w:tcPr>
            <w:tcW w:w="815" w:type="dxa"/>
            <w:tcBorders>
              <w:top w:val="nil"/>
              <w:left w:val="nil"/>
              <w:bottom w:val="nil"/>
              <w:right w:val="nil"/>
            </w:tcBorders>
            <w:shd w:val="clear" w:color="000000" w:fill="FFFFFF"/>
          </w:tcPr>
          <w:p w:rsidR="000F5382" w:rsidRPr="003B7711" w:rsidRDefault="000F5382">
            <w:pPr>
              <w:jc w:val="center"/>
              <w:rPr>
                <w:rFonts w:eastAsia="Times New Roman" w:cs="Calibri"/>
                <w:sz w:val="20"/>
                <w:szCs w:val="20"/>
                <w:lang w:eastAsia="en-AU"/>
              </w:rPr>
            </w:pPr>
            <w:r w:rsidRPr="0003531F">
              <w:rPr>
                <w:rFonts w:eastAsia="Times New Roman" w:cs="Calibri"/>
                <w:sz w:val="20"/>
                <w:szCs w:val="20"/>
                <w:lang w:eastAsia="en-AU"/>
              </w:rPr>
              <w:t>100%</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9B3A79" w:rsidP="000F5382">
            <w:pPr>
              <w:rPr>
                <w:rFonts w:eastAsia="Times New Roman" w:cs="Calibri"/>
                <w:sz w:val="20"/>
                <w:szCs w:val="20"/>
                <w:lang w:eastAsia="en-AU"/>
              </w:rPr>
            </w:pPr>
            <w:r>
              <w:rPr>
                <w:rFonts w:eastAsia="Times New Roman" w:cs="Calibri"/>
                <w:sz w:val="20"/>
                <w:szCs w:val="20"/>
                <w:lang w:eastAsia="en-AU"/>
              </w:rPr>
              <w:t xml:space="preserve">Estimated </w:t>
            </w:r>
            <w:r w:rsidR="000F5382" w:rsidRPr="003B7711">
              <w:rPr>
                <w:rFonts w:eastAsia="Times New Roman" w:cs="Calibri"/>
                <w:sz w:val="20"/>
                <w:szCs w:val="20"/>
                <w:lang w:eastAsia="en-AU"/>
              </w:rPr>
              <w:t>% for large trainers</w:t>
            </w:r>
          </w:p>
        </w:tc>
        <w:tc>
          <w:tcPr>
            <w:tcW w:w="992"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Pr>
                <w:rFonts w:eastAsia="Times New Roman" w:cs="Calibri"/>
                <w:sz w:val="20"/>
                <w:szCs w:val="20"/>
                <w:lang w:eastAsia="en-AU"/>
              </w:rPr>
              <w:t>N/A</w:t>
            </w:r>
          </w:p>
        </w:tc>
        <w:tc>
          <w:tcPr>
            <w:tcW w:w="815"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Pr>
                <w:rFonts w:eastAsia="Times New Roman" w:cs="Calibri"/>
                <w:sz w:val="20"/>
                <w:szCs w:val="20"/>
                <w:lang w:eastAsia="en-AU"/>
              </w:rPr>
              <w:t>N/A</w:t>
            </w:r>
          </w:p>
        </w:tc>
        <w:tc>
          <w:tcPr>
            <w:tcW w:w="1028"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70.00%</w:t>
            </w:r>
          </w:p>
        </w:tc>
        <w:tc>
          <w:tcPr>
            <w:tcW w:w="1134"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30.00%</w:t>
            </w:r>
          </w:p>
        </w:tc>
        <w:tc>
          <w:tcPr>
            <w:tcW w:w="815" w:type="dxa"/>
            <w:tcBorders>
              <w:top w:val="nil"/>
              <w:left w:val="nil"/>
              <w:bottom w:val="nil"/>
              <w:right w:val="nil"/>
            </w:tcBorders>
            <w:shd w:val="clear" w:color="000000" w:fill="FFFFFF"/>
          </w:tcPr>
          <w:p w:rsidR="000F5382" w:rsidRPr="003B7711" w:rsidRDefault="000F5382">
            <w:pPr>
              <w:jc w:val="center"/>
              <w:rPr>
                <w:rFonts w:eastAsia="Times New Roman" w:cs="Calibri"/>
                <w:sz w:val="20"/>
                <w:szCs w:val="20"/>
                <w:lang w:eastAsia="en-AU"/>
              </w:rPr>
            </w:pPr>
            <w:r w:rsidRPr="0003531F">
              <w:rPr>
                <w:rFonts w:eastAsia="Times New Roman" w:cs="Calibri"/>
                <w:sz w:val="20"/>
                <w:szCs w:val="20"/>
                <w:lang w:eastAsia="en-AU"/>
              </w:rPr>
              <w:t>100%</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9B3A79" w:rsidP="000F5382">
            <w:pPr>
              <w:rPr>
                <w:rFonts w:eastAsia="Times New Roman" w:cs="Calibri"/>
                <w:sz w:val="20"/>
                <w:szCs w:val="20"/>
                <w:lang w:eastAsia="en-AU"/>
              </w:rPr>
            </w:pPr>
            <w:r>
              <w:rPr>
                <w:rFonts w:eastAsia="Times New Roman" w:cs="Calibri"/>
                <w:sz w:val="20"/>
                <w:szCs w:val="20"/>
                <w:lang w:eastAsia="en-AU"/>
              </w:rPr>
              <w:t xml:space="preserve">Estimated </w:t>
            </w:r>
            <w:r w:rsidR="000F5382" w:rsidRPr="003B7711">
              <w:rPr>
                <w:rFonts w:eastAsia="Times New Roman" w:cs="Calibri"/>
                <w:sz w:val="20"/>
                <w:szCs w:val="20"/>
                <w:lang w:eastAsia="en-AU"/>
              </w:rPr>
              <w:t xml:space="preserve">% for small trainers </w:t>
            </w:r>
          </w:p>
        </w:tc>
        <w:tc>
          <w:tcPr>
            <w:tcW w:w="992"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73.88%</w:t>
            </w:r>
          </w:p>
        </w:tc>
        <w:tc>
          <w:tcPr>
            <w:tcW w:w="815"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26.12%</w:t>
            </w:r>
          </w:p>
        </w:tc>
        <w:tc>
          <w:tcPr>
            <w:tcW w:w="1028"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0.00%</w:t>
            </w:r>
          </w:p>
        </w:tc>
        <w:tc>
          <w:tcPr>
            <w:tcW w:w="1134" w:type="dxa"/>
            <w:tcBorders>
              <w:top w:val="nil"/>
              <w:left w:val="nil"/>
              <w:bottom w:val="nil"/>
              <w:right w:val="nil"/>
            </w:tcBorders>
            <w:shd w:val="clear" w:color="000000" w:fill="FFFFFF"/>
            <w:noWrap/>
            <w:vAlign w:val="bottom"/>
            <w:hideMark/>
          </w:tcPr>
          <w:p w:rsidR="000F5382" w:rsidRPr="003B7711" w:rsidRDefault="000F5382" w:rsidP="000F5382">
            <w:pPr>
              <w:jc w:val="center"/>
              <w:rPr>
                <w:rFonts w:eastAsia="Times New Roman" w:cs="Calibri"/>
                <w:sz w:val="20"/>
                <w:szCs w:val="20"/>
                <w:lang w:eastAsia="en-AU"/>
              </w:rPr>
            </w:pPr>
            <w:r w:rsidRPr="003B7711">
              <w:rPr>
                <w:rFonts w:eastAsia="Times New Roman" w:cs="Calibri"/>
                <w:sz w:val="20"/>
                <w:szCs w:val="20"/>
                <w:lang w:eastAsia="en-AU"/>
              </w:rPr>
              <w:t>0.00%</w:t>
            </w:r>
          </w:p>
        </w:tc>
        <w:tc>
          <w:tcPr>
            <w:tcW w:w="815" w:type="dxa"/>
            <w:tcBorders>
              <w:top w:val="nil"/>
              <w:left w:val="nil"/>
              <w:bottom w:val="nil"/>
              <w:right w:val="nil"/>
            </w:tcBorders>
            <w:shd w:val="clear" w:color="000000" w:fill="FFFFFF"/>
          </w:tcPr>
          <w:p w:rsidR="000F5382" w:rsidRPr="003B7711" w:rsidRDefault="000F5382">
            <w:pPr>
              <w:jc w:val="center"/>
              <w:rPr>
                <w:rFonts w:eastAsia="Times New Roman" w:cs="Calibri"/>
                <w:sz w:val="20"/>
                <w:szCs w:val="20"/>
                <w:lang w:eastAsia="en-AU"/>
              </w:rPr>
            </w:pPr>
            <w:r w:rsidRPr="0003531F">
              <w:rPr>
                <w:rFonts w:eastAsia="Times New Roman" w:cs="Calibri"/>
                <w:sz w:val="20"/>
                <w:szCs w:val="20"/>
                <w:lang w:eastAsia="en-AU"/>
              </w:rPr>
              <w:t>100%</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0F5382" w:rsidP="003B7711">
            <w:pPr>
              <w:rPr>
                <w:rFonts w:eastAsia="Times New Roman" w:cs="Calibri"/>
                <w:sz w:val="20"/>
                <w:szCs w:val="20"/>
                <w:lang w:eastAsia="en-AU"/>
              </w:rPr>
            </w:pPr>
            <w:r w:rsidRPr="003B7711">
              <w:rPr>
                <w:rFonts w:eastAsia="Times New Roman" w:cs="Calibri"/>
                <w:sz w:val="20"/>
                <w:szCs w:val="20"/>
                <w:lang w:eastAsia="en-AU"/>
              </w:rPr>
              <w:t xml:space="preserve">Large Breeders </w:t>
            </w:r>
          </w:p>
        </w:tc>
        <w:tc>
          <w:tcPr>
            <w:tcW w:w="992"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815"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1028"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18</w:t>
            </w:r>
          </w:p>
        </w:tc>
        <w:tc>
          <w:tcPr>
            <w:tcW w:w="1134"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40</w:t>
            </w:r>
          </w:p>
        </w:tc>
        <w:tc>
          <w:tcPr>
            <w:tcW w:w="815" w:type="dxa"/>
            <w:tcBorders>
              <w:top w:val="nil"/>
              <w:left w:val="nil"/>
              <w:bottom w:val="nil"/>
              <w:right w:val="nil"/>
            </w:tcBorders>
            <w:shd w:val="clear" w:color="000000" w:fill="FFFFFF"/>
            <w:vAlign w:val="bottom"/>
          </w:tcPr>
          <w:p w:rsidR="000F5382" w:rsidRPr="003B7711" w:rsidRDefault="000F5382">
            <w:pPr>
              <w:jc w:val="center"/>
              <w:rPr>
                <w:rFonts w:eastAsia="Times New Roman" w:cs="Calibri"/>
                <w:sz w:val="20"/>
                <w:szCs w:val="20"/>
                <w:lang w:eastAsia="en-AU"/>
              </w:rPr>
            </w:pPr>
            <w:r>
              <w:rPr>
                <w:rFonts w:eastAsia="Times New Roman" w:cs="Calibri"/>
                <w:sz w:val="20"/>
                <w:szCs w:val="20"/>
                <w:lang w:eastAsia="en-AU"/>
              </w:rPr>
              <w:t>58</w:t>
            </w:r>
          </w:p>
        </w:tc>
      </w:tr>
      <w:tr w:rsidR="000F5382" w:rsidRPr="003B7711" w:rsidTr="00C3282D">
        <w:trPr>
          <w:trHeight w:val="80"/>
          <w:jc w:val="center"/>
        </w:trPr>
        <w:tc>
          <w:tcPr>
            <w:tcW w:w="2977" w:type="dxa"/>
            <w:tcBorders>
              <w:top w:val="nil"/>
              <w:left w:val="nil"/>
              <w:bottom w:val="nil"/>
              <w:right w:val="nil"/>
            </w:tcBorders>
            <w:shd w:val="clear" w:color="000000" w:fill="FFFFFF"/>
            <w:noWrap/>
            <w:vAlign w:val="bottom"/>
            <w:hideMark/>
          </w:tcPr>
          <w:p w:rsidR="000F5382" w:rsidRPr="003B7711" w:rsidRDefault="004807E6" w:rsidP="003B7711">
            <w:pPr>
              <w:rPr>
                <w:rFonts w:eastAsia="Times New Roman" w:cs="Calibri"/>
                <w:sz w:val="20"/>
                <w:szCs w:val="20"/>
                <w:lang w:eastAsia="en-AU"/>
              </w:rPr>
            </w:pPr>
            <w:r>
              <w:rPr>
                <w:rFonts w:eastAsia="Times New Roman" w:cs="Calibri"/>
                <w:sz w:val="20"/>
                <w:szCs w:val="20"/>
                <w:lang w:eastAsia="en-AU"/>
              </w:rPr>
              <w:t xml:space="preserve">Small </w:t>
            </w:r>
            <w:r w:rsidR="000F5382" w:rsidRPr="003B7711">
              <w:rPr>
                <w:rFonts w:eastAsia="Times New Roman" w:cs="Calibri"/>
                <w:sz w:val="20"/>
                <w:szCs w:val="20"/>
                <w:lang w:eastAsia="en-AU"/>
              </w:rPr>
              <w:t xml:space="preserve">Breeders </w:t>
            </w:r>
          </w:p>
        </w:tc>
        <w:tc>
          <w:tcPr>
            <w:tcW w:w="992"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291</w:t>
            </w:r>
          </w:p>
        </w:tc>
        <w:tc>
          <w:tcPr>
            <w:tcW w:w="815"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168</w:t>
            </w:r>
          </w:p>
        </w:tc>
        <w:tc>
          <w:tcPr>
            <w:tcW w:w="1028"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25</w:t>
            </w:r>
          </w:p>
        </w:tc>
        <w:tc>
          <w:tcPr>
            <w:tcW w:w="1134"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815" w:type="dxa"/>
            <w:tcBorders>
              <w:top w:val="nil"/>
              <w:left w:val="nil"/>
              <w:bottom w:val="nil"/>
              <w:right w:val="nil"/>
            </w:tcBorders>
            <w:shd w:val="clear" w:color="000000" w:fill="FFFFFF"/>
            <w:vAlign w:val="bottom"/>
          </w:tcPr>
          <w:p w:rsidR="000F5382" w:rsidRPr="003B7711" w:rsidRDefault="000F5382">
            <w:pPr>
              <w:jc w:val="center"/>
              <w:rPr>
                <w:rFonts w:eastAsia="Times New Roman" w:cs="Calibri"/>
                <w:sz w:val="20"/>
                <w:szCs w:val="20"/>
                <w:lang w:eastAsia="en-AU"/>
              </w:rPr>
            </w:pPr>
            <w:r>
              <w:rPr>
                <w:rFonts w:eastAsia="Times New Roman" w:cs="Calibri"/>
                <w:sz w:val="20"/>
                <w:szCs w:val="20"/>
                <w:lang w:eastAsia="en-AU"/>
              </w:rPr>
              <w:t>484</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0F5382" w:rsidP="003B7711">
            <w:pPr>
              <w:rPr>
                <w:rFonts w:eastAsia="Times New Roman" w:cs="Calibri"/>
                <w:sz w:val="20"/>
                <w:szCs w:val="20"/>
                <w:lang w:eastAsia="en-AU"/>
              </w:rPr>
            </w:pPr>
            <w:r w:rsidRPr="003B7711">
              <w:rPr>
                <w:rFonts w:eastAsia="Times New Roman" w:cs="Calibri"/>
                <w:sz w:val="20"/>
                <w:szCs w:val="20"/>
                <w:lang w:eastAsia="en-AU"/>
              </w:rPr>
              <w:t>Large Trainers</w:t>
            </w:r>
          </w:p>
        </w:tc>
        <w:tc>
          <w:tcPr>
            <w:tcW w:w="992"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815"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1028"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179</w:t>
            </w:r>
          </w:p>
        </w:tc>
        <w:tc>
          <w:tcPr>
            <w:tcW w:w="1134"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77</w:t>
            </w:r>
          </w:p>
        </w:tc>
        <w:tc>
          <w:tcPr>
            <w:tcW w:w="815" w:type="dxa"/>
            <w:tcBorders>
              <w:top w:val="nil"/>
              <w:left w:val="nil"/>
              <w:bottom w:val="nil"/>
              <w:right w:val="nil"/>
            </w:tcBorders>
            <w:shd w:val="clear" w:color="000000" w:fill="FFFFFF"/>
            <w:vAlign w:val="bottom"/>
          </w:tcPr>
          <w:p w:rsidR="000F5382" w:rsidRPr="003B7711" w:rsidRDefault="000F5382">
            <w:pPr>
              <w:jc w:val="center"/>
              <w:rPr>
                <w:rFonts w:eastAsia="Times New Roman" w:cs="Calibri"/>
                <w:sz w:val="20"/>
                <w:szCs w:val="20"/>
                <w:lang w:eastAsia="en-AU"/>
              </w:rPr>
            </w:pPr>
            <w:r>
              <w:rPr>
                <w:rFonts w:eastAsia="Times New Roman" w:cs="Calibri"/>
                <w:sz w:val="20"/>
                <w:szCs w:val="20"/>
                <w:lang w:eastAsia="en-AU"/>
              </w:rPr>
              <w:t>255</w:t>
            </w:r>
          </w:p>
        </w:tc>
      </w:tr>
      <w:tr w:rsidR="000F5382" w:rsidRPr="003B7711" w:rsidTr="004B0055">
        <w:trPr>
          <w:trHeight w:val="60"/>
          <w:jc w:val="center"/>
        </w:trPr>
        <w:tc>
          <w:tcPr>
            <w:tcW w:w="2977" w:type="dxa"/>
            <w:tcBorders>
              <w:top w:val="nil"/>
              <w:left w:val="nil"/>
              <w:bottom w:val="nil"/>
              <w:right w:val="nil"/>
            </w:tcBorders>
            <w:shd w:val="clear" w:color="000000" w:fill="FFFFFF"/>
            <w:noWrap/>
            <w:vAlign w:val="bottom"/>
            <w:hideMark/>
          </w:tcPr>
          <w:p w:rsidR="000F5382" w:rsidRPr="003B7711" w:rsidRDefault="000F5382" w:rsidP="003B7711">
            <w:pPr>
              <w:rPr>
                <w:rFonts w:eastAsia="Times New Roman" w:cs="Calibri"/>
                <w:sz w:val="20"/>
                <w:szCs w:val="20"/>
                <w:lang w:eastAsia="en-AU"/>
              </w:rPr>
            </w:pPr>
            <w:r w:rsidRPr="003B7711">
              <w:rPr>
                <w:rFonts w:eastAsia="Times New Roman" w:cs="Calibri"/>
                <w:sz w:val="20"/>
                <w:szCs w:val="20"/>
                <w:lang w:eastAsia="en-AU"/>
              </w:rPr>
              <w:t xml:space="preserve">Small Trainers </w:t>
            </w:r>
          </w:p>
        </w:tc>
        <w:tc>
          <w:tcPr>
            <w:tcW w:w="992"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1,071</w:t>
            </w:r>
          </w:p>
        </w:tc>
        <w:tc>
          <w:tcPr>
            <w:tcW w:w="815"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379</w:t>
            </w:r>
          </w:p>
        </w:tc>
        <w:tc>
          <w:tcPr>
            <w:tcW w:w="1028"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1134" w:type="dxa"/>
            <w:tcBorders>
              <w:top w:val="nil"/>
              <w:left w:val="nil"/>
              <w:bottom w:val="nil"/>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sz w:val="20"/>
                <w:szCs w:val="20"/>
                <w:lang w:eastAsia="en-AU"/>
              </w:rPr>
              <w:t>0</w:t>
            </w:r>
          </w:p>
        </w:tc>
        <w:tc>
          <w:tcPr>
            <w:tcW w:w="815" w:type="dxa"/>
            <w:tcBorders>
              <w:top w:val="nil"/>
              <w:left w:val="nil"/>
              <w:bottom w:val="nil"/>
              <w:right w:val="nil"/>
            </w:tcBorders>
            <w:shd w:val="clear" w:color="000000" w:fill="FFFFFF"/>
            <w:vAlign w:val="bottom"/>
          </w:tcPr>
          <w:p w:rsidR="000F5382" w:rsidRPr="003B7711" w:rsidRDefault="000F5382">
            <w:pPr>
              <w:jc w:val="center"/>
              <w:rPr>
                <w:rFonts w:eastAsia="Times New Roman" w:cs="Calibri"/>
                <w:sz w:val="20"/>
                <w:szCs w:val="20"/>
                <w:lang w:eastAsia="en-AU"/>
              </w:rPr>
            </w:pPr>
            <w:r>
              <w:rPr>
                <w:rFonts w:eastAsia="Times New Roman" w:cs="Calibri"/>
                <w:sz w:val="20"/>
                <w:szCs w:val="20"/>
                <w:lang w:eastAsia="en-AU"/>
              </w:rPr>
              <w:t>1,449</w:t>
            </w:r>
          </w:p>
        </w:tc>
      </w:tr>
      <w:tr w:rsidR="000F5382" w:rsidRPr="003B7711" w:rsidTr="004B0055">
        <w:trPr>
          <w:trHeight w:val="50"/>
          <w:jc w:val="center"/>
        </w:trPr>
        <w:tc>
          <w:tcPr>
            <w:tcW w:w="2977" w:type="dxa"/>
            <w:tcBorders>
              <w:top w:val="single" w:sz="4" w:space="0" w:color="1F4E78"/>
              <w:left w:val="nil"/>
              <w:bottom w:val="single" w:sz="4" w:space="0" w:color="1F4E78"/>
              <w:right w:val="nil"/>
            </w:tcBorders>
            <w:shd w:val="clear" w:color="000000" w:fill="FFFFFF"/>
            <w:noWrap/>
            <w:vAlign w:val="bottom"/>
            <w:hideMark/>
          </w:tcPr>
          <w:p w:rsidR="000F5382" w:rsidRPr="003B7711" w:rsidRDefault="000F5382" w:rsidP="003B7711">
            <w:pPr>
              <w:rPr>
                <w:rFonts w:eastAsia="Times New Roman" w:cs="Calibri"/>
                <w:sz w:val="20"/>
                <w:szCs w:val="20"/>
                <w:lang w:eastAsia="en-AU"/>
              </w:rPr>
            </w:pPr>
            <w:r w:rsidRPr="003B7711">
              <w:rPr>
                <w:rFonts w:eastAsia="Times New Roman" w:cs="Calibri"/>
                <w:b/>
                <w:bCs/>
                <w:i/>
                <w:iCs/>
                <w:sz w:val="20"/>
                <w:szCs w:val="20"/>
                <w:lang w:eastAsia="en-AU"/>
              </w:rPr>
              <w:t>Total</w:t>
            </w:r>
          </w:p>
        </w:tc>
        <w:tc>
          <w:tcPr>
            <w:tcW w:w="992" w:type="dxa"/>
            <w:tcBorders>
              <w:top w:val="single" w:sz="4" w:space="0" w:color="1F4E78"/>
              <w:left w:val="nil"/>
              <w:bottom w:val="single" w:sz="4" w:space="0" w:color="1F4E78"/>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b/>
                <w:bCs/>
                <w:i/>
                <w:iCs/>
                <w:sz w:val="20"/>
                <w:szCs w:val="20"/>
                <w:lang w:eastAsia="en-AU"/>
              </w:rPr>
              <w:t>1,361</w:t>
            </w:r>
          </w:p>
        </w:tc>
        <w:tc>
          <w:tcPr>
            <w:tcW w:w="815" w:type="dxa"/>
            <w:tcBorders>
              <w:top w:val="single" w:sz="4" w:space="0" w:color="1F4E78"/>
              <w:left w:val="nil"/>
              <w:bottom w:val="single" w:sz="4" w:space="0" w:color="1F4E78"/>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b/>
                <w:bCs/>
                <w:i/>
                <w:iCs/>
                <w:sz w:val="20"/>
                <w:szCs w:val="20"/>
                <w:lang w:eastAsia="en-AU"/>
              </w:rPr>
              <w:t>547</w:t>
            </w:r>
          </w:p>
        </w:tc>
        <w:tc>
          <w:tcPr>
            <w:tcW w:w="1028" w:type="dxa"/>
            <w:tcBorders>
              <w:top w:val="single" w:sz="4" w:space="0" w:color="1F4E78"/>
              <w:left w:val="nil"/>
              <w:bottom w:val="single" w:sz="4" w:space="0" w:color="1F4E78"/>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b/>
                <w:bCs/>
                <w:i/>
                <w:iCs/>
                <w:sz w:val="20"/>
                <w:szCs w:val="20"/>
                <w:lang w:eastAsia="en-AU"/>
              </w:rPr>
              <w:t>222</w:t>
            </w:r>
          </w:p>
        </w:tc>
        <w:tc>
          <w:tcPr>
            <w:tcW w:w="1134" w:type="dxa"/>
            <w:tcBorders>
              <w:top w:val="single" w:sz="4" w:space="0" w:color="1F4E78"/>
              <w:left w:val="nil"/>
              <w:bottom w:val="single" w:sz="4" w:space="0" w:color="1F4E78"/>
              <w:right w:val="nil"/>
            </w:tcBorders>
            <w:shd w:val="clear" w:color="000000" w:fill="FFFFFF"/>
            <w:noWrap/>
            <w:vAlign w:val="bottom"/>
            <w:hideMark/>
          </w:tcPr>
          <w:p w:rsidR="000F5382" w:rsidRPr="003B7711" w:rsidRDefault="000F5382" w:rsidP="003B7711">
            <w:pPr>
              <w:jc w:val="center"/>
              <w:rPr>
                <w:rFonts w:eastAsia="Times New Roman" w:cs="Calibri"/>
                <w:sz w:val="20"/>
                <w:szCs w:val="20"/>
                <w:lang w:eastAsia="en-AU"/>
              </w:rPr>
            </w:pPr>
            <w:r w:rsidRPr="003B7711">
              <w:rPr>
                <w:rFonts w:eastAsia="Times New Roman" w:cs="Calibri"/>
                <w:b/>
                <w:bCs/>
                <w:i/>
                <w:iCs/>
                <w:sz w:val="20"/>
                <w:szCs w:val="20"/>
                <w:lang w:eastAsia="en-AU"/>
              </w:rPr>
              <w:t>117</w:t>
            </w:r>
          </w:p>
        </w:tc>
        <w:tc>
          <w:tcPr>
            <w:tcW w:w="815" w:type="dxa"/>
            <w:tcBorders>
              <w:top w:val="single" w:sz="4" w:space="0" w:color="1F4E78"/>
              <w:left w:val="nil"/>
              <w:bottom w:val="single" w:sz="4" w:space="0" w:color="1F4E78"/>
              <w:right w:val="nil"/>
            </w:tcBorders>
            <w:shd w:val="clear" w:color="000000" w:fill="FFFFFF"/>
            <w:vAlign w:val="bottom"/>
          </w:tcPr>
          <w:p w:rsidR="000F5382" w:rsidRPr="004B0055" w:rsidRDefault="000F5382">
            <w:pPr>
              <w:jc w:val="center"/>
              <w:rPr>
                <w:rFonts w:eastAsia="Times New Roman" w:cs="Calibri"/>
                <w:b/>
                <w:i/>
                <w:sz w:val="20"/>
                <w:szCs w:val="20"/>
                <w:lang w:eastAsia="en-AU"/>
              </w:rPr>
            </w:pPr>
            <w:r w:rsidRPr="004B0055">
              <w:rPr>
                <w:rFonts w:eastAsia="Times New Roman" w:cs="Calibri"/>
                <w:b/>
                <w:i/>
                <w:sz w:val="20"/>
                <w:szCs w:val="20"/>
                <w:lang w:eastAsia="en-AU"/>
              </w:rPr>
              <w:t>2,247</w:t>
            </w:r>
          </w:p>
        </w:tc>
      </w:tr>
    </w:tbl>
    <w:p w:rsidR="008E0A9B" w:rsidRDefault="008E0A9B" w:rsidP="008A3EE7">
      <w:pPr>
        <w:jc w:val="both"/>
      </w:pPr>
    </w:p>
    <w:p w:rsidR="00E50757" w:rsidRDefault="00B71AE1" w:rsidP="00E50757">
      <w:pPr>
        <w:autoSpaceDE w:val="0"/>
        <w:autoSpaceDN w:val="0"/>
        <w:adjustRightInd w:val="0"/>
        <w:jc w:val="both"/>
        <w:rPr>
          <w:rFonts w:cs="Arial-BoldMT"/>
          <w:bCs/>
        </w:rPr>
      </w:pPr>
      <w:r>
        <w:t>A</w:t>
      </w:r>
      <w:r w:rsidR="00CF7EF8">
        <w:t xml:space="preserve">s shown in Chart 2, there are </w:t>
      </w:r>
      <w:r w:rsidR="00E50757">
        <w:t>seve</w:t>
      </w:r>
      <w:r w:rsidR="007A2D31">
        <w:t>ral</w:t>
      </w:r>
      <w:r w:rsidR="00CF7EF8">
        <w:t xml:space="preserve"> stages in the lifecycle of greyhounds</w:t>
      </w:r>
      <w:r>
        <w:rPr>
          <w:rFonts w:asciiTheme="majorHAnsi" w:hAnsiTheme="majorHAnsi"/>
        </w:rPr>
        <w:t xml:space="preserve"> with</w:t>
      </w:r>
      <w:r w:rsidR="00CF7EF8">
        <w:rPr>
          <w:rFonts w:asciiTheme="majorHAnsi" w:hAnsiTheme="majorHAnsi"/>
        </w:rPr>
        <w:t xml:space="preserve"> dogs mov</w:t>
      </w:r>
      <w:r>
        <w:rPr>
          <w:rFonts w:asciiTheme="majorHAnsi" w:hAnsiTheme="majorHAnsi"/>
        </w:rPr>
        <w:t>ing</w:t>
      </w:r>
      <w:r w:rsidR="00CF7EF8">
        <w:rPr>
          <w:rFonts w:asciiTheme="majorHAnsi" w:hAnsiTheme="majorHAnsi"/>
        </w:rPr>
        <w:t xml:space="preserve"> through </w:t>
      </w:r>
      <w:r w:rsidR="007A2D31">
        <w:rPr>
          <w:rFonts w:asciiTheme="majorHAnsi" w:hAnsiTheme="majorHAnsi"/>
        </w:rPr>
        <w:t>different</w:t>
      </w:r>
      <w:r w:rsidR="00CF7EF8">
        <w:rPr>
          <w:rFonts w:asciiTheme="majorHAnsi" w:hAnsiTheme="majorHAnsi"/>
        </w:rPr>
        <w:t xml:space="preserve"> carers in a racing life, including; breeders</w:t>
      </w:r>
      <w:r w:rsidR="00D301F1">
        <w:rPr>
          <w:rFonts w:asciiTheme="majorHAnsi" w:hAnsiTheme="majorHAnsi"/>
        </w:rPr>
        <w:t xml:space="preserve"> (whelpers or rearers)</w:t>
      </w:r>
      <w:r w:rsidR="003258FA">
        <w:rPr>
          <w:rFonts w:asciiTheme="majorHAnsi" w:hAnsiTheme="majorHAnsi"/>
        </w:rPr>
        <w:t xml:space="preserve"> and trainers (breakers, pre-t</w:t>
      </w:r>
      <w:r w:rsidR="00D301F1">
        <w:rPr>
          <w:rFonts w:asciiTheme="majorHAnsi" w:hAnsiTheme="majorHAnsi"/>
        </w:rPr>
        <w:t>rainers and racers)</w:t>
      </w:r>
      <w:r w:rsidR="00E50757">
        <w:rPr>
          <w:rFonts w:asciiTheme="majorHAnsi" w:hAnsiTheme="majorHAnsi"/>
        </w:rPr>
        <w:t>.</w:t>
      </w:r>
      <w:r w:rsidR="007B521C">
        <w:rPr>
          <w:rFonts w:asciiTheme="majorHAnsi" w:hAnsiTheme="majorHAnsi"/>
        </w:rPr>
        <w:t xml:space="preserve"> </w:t>
      </w:r>
      <w:r w:rsidR="00E50757">
        <w:rPr>
          <w:rFonts w:cs="Arial-BoldMT"/>
          <w:bCs/>
        </w:rPr>
        <w:t xml:space="preserve">Up to retirement, a greyhound will spend roughly a third of its time being prepared for racing and roughly two thirds of its time racing. </w:t>
      </w:r>
    </w:p>
    <w:p w:rsidR="00CF7EF8" w:rsidRDefault="00CF7EF8" w:rsidP="005E307C"/>
    <w:p w:rsidR="00C02451" w:rsidRDefault="00C02451">
      <w:pPr>
        <w:rPr>
          <w:b/>
          <w:sz w:val="20"/>
        </w:rPr>
      </w:pPr>
      <w:r>
        <w:rPr>
          <w:b/>
          <w:sz w:val="20"/>
        </w:rPr>
        <w:br w:type="page"/>
      </w:r>
    </w:p>
    <w:p w:rsidR="005A7F35" w:rsidRDefault="005A7F35" w:rsidP="007046FB">
      <w:pPr>
        <w:jc w:val="center"/>
        <w:rPr>
          <w:b/>
          <w:sz w:val="20"/>
        </w:rPr>
      </w:pPr>
      <w:r w:rsidRPr="00596689">
        <w:rPr>
          <w:b/>
          <w:sz w:val="20"/>
        </w:rPr>
        <w:lastRenderedPageBreak/>
        <w:t xml:space="preserve">Chart </w:t>
      </w:r>
      <w:r w:rsidR="00D7276D">
        <w:rPr>
          <w:b/>
          <w:sz w:val="20"/>
        </w:rPr>
        <w:t>2</w:t>
      </w:r>
      <w:r w:rsidRPr="00596689">
        <w:rPr>
          <w:b/>
          <w:sz w:val="20"/>
        </w:rPr>
        <w:t>: Lifecycle of a racing greyhound</w:t>
      </w:r>
    </w:p>
    <w:p w:rsidR="00D42190" w:rsidRPr="00596689" w:rsidRDefault="00D42190" w:rsidP="007046FB">
      <w:pPr>
        <w:jc w:val="center"/>
        <w:rPr>
          <w:b/>
          <w:sz w:val="20"/>
        </w:rPr>
      </w:pPr>
    </w:p>
    <w:p w:rsidR="005A7F35" w:rsidRDefault="00385A2C" w:rsidP="004B0055">
      <w:pPr>
        <w:rPr>
          <w:rFonts w:asciiTheme="majorHAnsi" w:eastAsiaTheme="majorEastAsia" w:hAnsiTheme="majorHAnsi" w:cstheme="majorBidi"/>
          <w:color w:val="1F497D" w:themeColor="text2"/>
          <w:sz w:val="32"/>
          <w:szCs w:val="32"/>
        </w:rPr>
      </w:pPr>
      <w:r>
        <w:rPr>
          <w:b/>
          <w:noProof/>
          <w:sz w:val="20"/>
          <w:szCs w:val="20"/>
          <w:lang w:eastAsia="en-AU"/>
        </w:rPr>
        <w:drawing>
          <wp:inline distT="0" distB="0" distL="0" distR="0" wp14:anchorId="1836E7F7" wp14:editId="0D6DB4A4">
            <wp:extent cx="5168900" cy="2981794"/>
            <wp:effectExtent l="0" t="0" r="0" b="0"/>
            <wp:docPr id="8" name="Picture 8" descr="There are several stages in the lifecycle of greyhounds with dogs moving through different carers in a racing life, including; breeders (whelpers or rearers) and trainers (breakers, pre-trainers and racers). Up to retirement, a greyhound will spend roughly a third of its time being prepared for racing and roughly two thirds of its time racing. " title="Greyhound life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4259" cy="2984885"/>
                    </a:xfrm>
                    <a:prstGeom prst="rect">
                      <a:avLst/>
                    </a:prstGeom>
                    <a:noFill/>
                  </pic:spPr>
                </pic:pic>
              </a:graphicData>
            </a:graphic>
          </wp:inline>
        </w:drawing>
      </w:r>
      <w:bookmarkStart w:id="32" w:name="_Toc456126048"/>
    </w:p>
    <w:p w:rsidR="005A7F35" w:rsidRDefault="005A7F35" w:rsidP="005A7F35">
      <w:pPr>
        <w:autoSpaceDE w:val="0"/>
        <w:autoSpaceDN w:val="0"/>
        <w:adjustRightInd w:val="0"/>
        <w:rPr>
          <w:rFonts w:cs="Arial-BoldMT"/>
          <w:bCs/>
          <w:sz w:val="18"/>
        </w:rPr>
      </w:pPr>
      <w:r w:rsidRPr="00B97428">
        <w:rPr>
          <w:b/>
          <w:sz w:val="18"/>
        </w:rPr>
        <w:t xml:space="preserve">Source: </w:t>
      </w:r>
      <w:r w:rsidRPr="00B97428">
        <w:rPr>
          <w:sz w:val="18"/>
        </w:rPr>
        <w:t>Reproduced</w:t>
      </w:r>
      <w:r w:rsidR="00752D00">
        <w:rPr>
          <w:sz w:val="18"/>
        </w:rPr>
        <w:t xml:space="preserve"> in part</w:t>
      </w:r>
      <w:r w:rsidRPr="00B97428">
        <w:rPr>
          <w:sz w:val="18"/>
        </w:rPr>
        <w:t xml:space="preserve"> from</w:t>
      </w:r>
      <w:r w:rsidRPr="00B97428">
        <w:rPr>
          <w:rFonts w:cs="Arial-BoldMT"/>
          <w:bCs/>
          <w:sz w:val="18"/>
        </w:rPr>
        <w:t xml:space="preserve"> Milne, C. Chief Veterinary Officer. 30 April 2015. </w:t>
      </w:r>
      <w:r w:rsidRPr="00B97428">
        <w:rPr>
          <w:rFonts w:cs="Arial-BoldMT"/>
          <w:bCs/>
          <w:i/>
          <w:sz w:val="18"/>
        </w:rPr>
        <w:t xml:space="preserve">Investigation into animal welfare and cruelty in the Victorian greyhound industry. </w:t>
      </w:r>
      <w:r w:rsidRPr="00B97428">
        <w:rPr>
          <w:rFonts w:cs="Arial-BoldMT"/>
          <w:bCs/>
          <w:sz w:val="18"/>
        </w:rPr>
        <w:t>Report to Parliament of Victoria.</w:t>
      </w:r>
    </w:p>
    <w:p w:rsidR="009C5D95" w:rsidRDefault="009C5D95" w:rsidP="007046FB">
      <w:pPr>
        <w:autoSpaceDE w:val="0"/>
        <w:autoSpaceDN w:val="0"/>
        <w:adjustRightInd w:val="0"/>
        <w:jc w:val="both"/>
      </w:pPr>
    </w:p>
    <w:p w:rsidR="00BF4E4D" w:rsidRPr="004B0055" w:rsidRDefault="003E1F72" w:rsidP="00673E43">
      <w:pPr>
        <w:autoSpaceDE w:val="0"/>
        <w:autoSpaceDN w:val="0"/>
        <w:adjustRightInd w:val="0"/>
        <w:jc w:val="both"/>
        <w:rPr>
          <w:rFonts w:cs="Arial-BoldMT"/>
          <w:bCs/>
        </w:rPr>
      </w:pPr>
      <w:r>
        <w:t xml:space="preserve">According to GRV, </w:t>
      </w:r>
      <w:r w:rsidR="006B2692">
        <w:rPr>
          <w:rFonts w:cs="Arial-BoldMT"/>
          <w:bCs/>
        </w:rPr>
        <w:t xml:space="preserve">during 2015-16 </w:t>
      </w:r>
      <w:r w:rsidR="006B2692">
        <w:t>there were 20,706</w:t>
      </w:r>
      <w:r>
        <w:t xml:space="preserve"> registered dogs</w:t>
      </w:r>
      <w:r w:rsidR="006B2692">
        <w:t xml:space="preserve"> in Victoria.</w:t>
      </w:r>
      <w:r w:rsidR="007B521C">
        <w:t xml:space="preserve"> </w:t>
      </w:r>
      <w:r w:rsidR="007B29DB">
        <w:t xml:space="preserve">Table 5 shows </w:t>
      </w:r>
      <w:r w:rsidR="000D7882">
        <w:t>an</w:t>
      </w:r>
      <w:r w:rsidR="007B29DB">
        <w:t xml:space="preserve"> </w:t>
      </w:r>
      <w:r w:rsidR="000D7882">
        <w:t xml:space="preserve">estimated </w:t>
      </w:r>
      <w:r w:rsidR="007B29DB">
        <w:t>distribution of those dogs during the various stages of the lifecycle</w:t>
      </w:r>
      <w:r w:rsidR="000D7882">
        <w:t xml:space="preserve"> based on the assumptions above</w:t>
      </w:r>
      <w:r w:rsidR="007B29DB">
        <w:t xml:space="preserve">. </w:t>
      </w:r>
    </w:p>
    <w:p w:rsidR="00584B37" w:rsidRDefault="00584B37">
      <w:pPr>
        <w:rPr>
          <w:rFonts w:cs="Arial-BoldMT"/>
          <w:b/>
          <w:bCs/>
          <w:sz w:val="20"/>
        </w:rPr>
      </w:pPr>
    </w:p>
    <w:p w:rsidR="008475E4" w:rsidRPr="00A210A1" w:rsidRDefault="008475E4" w:rsidP="008475E4">
      <w:pPr>
        <w:autoSpaceDE w:val="0"/>
        <w:autoSpaceDN w:val="0"/>
        <w:adjustRightInd w:val="0"/>
        <w:jc w:val="center"/>
        <w:rPr>
          <w:rFonts w:cs="Arial-BoldMT"/>
          <w:b/>
          <w:bCs/>
          <w:sz w:val="20"/>
        </w:rPr>
      </w:pPr>
      <w:r w:rsidRPr="00A210A1">
        <w:rPr>
          <w:rFonts w:cs="Arial-BoldMT"/>
          <w:b/>
          <w:bCs/>
          <w:sz w:val="20"/>
        </w:rPr>
        <w:t xml:space="preserve">Table </w:t>
      </w:r>
      <w:r w:rsidR="00D7276D" w:rsidRPr="00A210A1">
        <w:rPr>
          <w:rFonts w:cs="Arial-BoldMT"/>
          <w:b/>
          <w:bCs/>
          <w:sz w:val="20"/>
        </w:rPr>
        <w:t>5</w:t>
      </w:r>
      <w:r w:rsidRPr="00A210A1">
        <w:rPr>
          <w:rFonts w:cs="Arial-BoldMT"/>
          <w:b/>
          <w:bCs/>
          <w:sz w:val="20"/>
        </w:rPr>
        <w:t xml:space="preserve">: </w:t>
      </w:r>
      <w:r w:rsidR="00951AFB">
        <w:rPr>
          <w:rFonts w:cs="Arial-BoldMT"/>
          <w:b/>
          <w:bCs/>
          <w:sz w:val="20"/>
        </w:rPr>
        <w:t>D</w:t>
      </w:r>
      <w:r w:rsidRPr="00A210A1">
        <w:rPr>
          <w:rFonts w:cs="Arial-BoldMT"/>
          <w:b/>
          <w:bCs/>
          <w:sz w:val="20"/>
        </w:rPr>
        <w:t>istribution of greyhounds</w:t>
      </w:r>
      <w:r w:rsidR="00E96E42" w:rsidRPr="00A210A1">
        <w:rPr>
          <w:rFonts w:cs="Arial-BoldMT"/>
          <w:b/>
          <w:bCs/>
          <w:sz w:val="20"/>
        </w:rPr>
        <w:t xml:space="preserve"> </w:t>
      </w:r>
      <w:r w:rsidRPr="00A210A1">
        <w:rPr>
          <w:rFonts w:cs="Arial-BoldMT"/>
          <w:b/>
          <w:bCs/>
          <w:sz w:val="20"/>
        </w:rPr>
        <w:t>by stage in lifecycle</w:t>
      </w:r>
      <w:r w:rsidR="00DE51D7">
        <w:rPr>
          <w:rStyle w:val="FootnoteReference"/>
          <w:rFonts w:cs="Arial-BoldMT"/>
          <w:b/>
          <w:bCs/>
          <w:sz w:val="20"/>
        </w:rPr>
        <w:footnoteReference w:id="29"/>
      </w:r>
      <w:r w:rsidR="00FD2901">
        <w:rPr>
          <w:rFonts w:cs="Arial-BoldMT"/>
          <w:b/>
          <w:bCs/>
          <w:sz w:val="20"/>
        </w:rPr>
        <w:t xml:space="preserve"> </w:t>
      </w:r>
    </w:p>
    <w:p w:rsidR="00436DAE" w:rsidRDefault="00436DAE" w:rsidP="008475E4">
      <w:pPr>
        <w:autoSpaceDE w:val="0"/>
        <w:autoSpaceDN w:val="0"/>
        <w:adjustRightInd w:val="0"/>
        <w:jc w:val="both"/>
        <w:rPr>
          <w:rFonts w:cs="Arial-BoldMT"/>
          <w:bCs/>
        </w:rPr>
      </w:pPr>
    </w:p>
    <w:tbl>
      <w:tblPr>
        <w:tblW w:w="7007" w:type="dxa"/>
        <w:jc w:val="center"/>
        <w:tblLook w:val="04A0" w:firstRow="1" w:lastRow="0" w:firstColumn="1" w:lastColumn="0" w:noHBand="0" w:noVBand="1"/>
      </w:tblPr>
      <w:tblGrid>
        <w:gridCol w:w="1560"/>
        <w:gridCol w:w="1134"/>
        <w:gridCol w:w="992"/>
        <w:gridCol w:w="1134"/>
        <w:gridCol w:w="993"/>
        <w:gridCol w:w="1194"/>
      </w:tblGrid>
      <w:tr w:rsidR="006B2692" w:rsidRPr="005E307C" w:rsidTr="004B0055">
        <w:trPr>
          <w:trHeight w:val="50"/>
          <w:tblHeader/>
          <w:jc w:val="center"/>
        </w:trPr>
        <w:tc>
          <w:tcPr>
            <w:tcW w:w="1560" w:type="dxa"/>
            <w:tcBorders>
              <w:top w:val="single" w:sz="4" w:space="0" w:color="1F4E78"/>
              <w:left w:val="nil"/>
              <w:bottom w:val="double" w:sz="6" w:space="0" w:color="1F4E78"/>
              <w:right w:val="nil"/>
            </w:tcBorders>
            <w:shd w:val="clear" w:color="000000" w:fill="FFFFFF"/>
            <w:noWrap/>
            <w:vAlign w:val="bottom"/>
            <w:hideMark/>
          </w:tcPr>
          <w:p w:rsidR="006B2692" w:rsidRPr="005E307C" w:rsidRDefault="006B2692" w:rsidP="006B2692">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Lifecycle stage</w:t>
            </w:r>
          </w:p>
        </w:tc>
        <w:tc>
          <w:tcPr>
            <w:tcW w:w="1134" w:type="dxa"/>
            <w:tcBorders>
              <w:top w:val="single" w:sz="4" w:space="0" w:color="1F4E78"/>
              <w:left w:val="nil"/>
              <w:bottom w:val="double" w:sz="6" w:space="0" w:color="1F4E78"/>
              <w:right w:val="nil"/>
            </w:tcBorders>
            <w:shd w:val="clear" w:color="000000" w:fill="FFFFFF"/>
            <w:noWrap/>
            <w:vAlign w:val="bottom"/>
            <w:hideMark/>
          </w:tcPr>
          <w:p w:rsidR="006B2692" w:rsidRPr="005E307C" w:rsidRDefault="006B2692" w:rsidP="006B2692">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 </w:t>
            </w:r>
          </w:p>
        </w:tc>
        <w:tc>
          <w:tcPr>
            <w:tcW w:w="992" w:type="dxa"/>
            <w:tcBorders>
              <w:top w:val="single" w:sz="4" w:space="0" w:color="1F4E78"/>
              <w:left w:val="nil"/>
              <w:bottom w:val="double" w:sz="6" w:space="0" w:color="1F4E78"/>
              <w:right w:val="nil"/>
            </w:tcBorders>
            <w:shd w:val="clear" w:color="000000" w:fill="FFFFFF"/>
            <w:noWrap/>
            <w:vAlign w:val="bottom"/>
            <w:hideMark/>
          </w:tcPr>
          <w:p w:rsidR="006B2692" w:rsidRPr="005E307C" w:rsidRDefault="006B2692" w:rsidP="006B269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2015-16</w:t>
            </w:r>
          </w:p>
        </w:tc>
        <w:tc>
          <w:tcPr>
            <w:tcW w:w="1134" w:type="dxa"/>
            <w:tcBorders>
              <w:top w:val="single" w:sz="4" w:space="0" w:color="1F4E78"/>
              <w:left w:val="nil"/>
              <w:bottom w:val="double" w:sz="6" w:space="0" w:color="1F4E78"/>
              <w:right w:val="nil"/>
            </w:tcBorders>
            <w:shd w:val="clear" w:color="000000" w:fill="FFFFFF"/>
            <w:noWrap/>
            <w:vAlign w:val="bottom"/>
            <w:hideMark/>
          </w:tcPr>
          <w:p w:rsidR="006B2692" w:rsidRPr="005E307C" w:rsidRDefault="006B2692" w:rsidP="006B269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2014-15</w:t>
            </w:r>
          </w:p>
        </w:tc>
        <w:tc>
          <w:tcPr>
            <w:tcW w:w="993" w:type="dxa"/>
            <w:tcBorders>
              <w:top w:val="single" w:sz="4" w:space="0" w:color="1F4E78"/>
              <w:left w:val="nil"/>
              <w:bottom w:val="double" w:sz="6" w:space="0" w:color="1F4E78"/>
              <w:right w:val="nil"/>
            </w:tcBorders>
            <w:shd w:val="clear" w:color="000000" w:fill="FFFFFF"/>
            <w:noWrap/>
            <w:vAlign w:val="bottom"/>
            <w:hideMark/>
          </w:tcPr>
          <w:p w:rsidR="006B2692" w:rsidRPr="005E307C" w:rsidRDefault="006B2692" w:rsidP="006B269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2013-14</w:t>
            </w:r>
          </w:p>
        </w:tc>
        <w:tc>
          <w:tcPr>
            <w:tcW w:w="1194" w:type="dxa"/>
            <w:tcBorders>
              <w:top w:val="single" w:sz="4" w:space="0" w:color="1F4E78"/>
              <w:left w:val="nil"/>
              <w:bottom w:val="double" w:sz="6" w:space="0" w:color="1F4E78"/>
              <w:right w:val="nil"/>
            </w:tcBorders>
            <w:shd w:val="clear" w:color="000000" w:fill="FFFFFF"/>
            <w:vAlign w:val="bottom"/>
            <w:hideMark/>
          </w:tcPr>
          <w:p w:rsidR="006B2692" w:rsidRPr="005E307C" w:rsidRDefault="006B2692" w:rsidP="006B269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Avg. No. greyhounds</w:t>
            </w:r>
          </w:p>
        </w:tc>
      </w:tr>
      <w:tr w:rsidR="006B2692" w:rsidRPr="006B2692" w:rsidTr="004B0055">
        <w:trPr>
          <w:trHeight w:val="25"/>
          <w:jc w:val="center"/>
        </w:trPr>
        <w:tc>
          <w:tcPr>
            <w:tcW w:w="1560"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r w:rsidRPr="006B2692">
              <w:rPr>
                <w:rFonts w:eastAsia="Times New Roman" w:cs="Calibri"/>
                <w:sz w:val="20"/>
                <w:szCs w:val="20"/>
                <w:lang w:eastAsia="en-AU"/>
              </w:rPr>
              <w:t>Whelping</w:t>
            </w:r>
            <w:r w:rsidR="00584B37">
              <w:rPr>
                <w:rFonts w:eastAsia="Times New Roman" w:cs="Calibri"/>
                <w:sz w:val="20"/>
                <w:szCs w:val="20"/>
                <w:lang w:eastAsia="en-AU"/>
              </w:rPr>
              <w:t>*</w:t>
            </w:r>
          </w:p>
        </w:tc>
        <w:tc>
          <w:tcPr>
            <w:tcW w:w="1134"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p>
        </w:tc>
        <w:tc>
          <w:tcPr>
            <w:tcW w:w="992"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4,068</w:t>
            </w:r>
          </w:p>
        </w:tc>
        <w:tc>
          <w:tcPr>
            <w:tcW w:w="113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5,810</w:t>
            </w:r>
          </w:p>
        </w:tc>
        <w:tc>
          <w:tcPr>
            <w:tcW w:w="993"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6,065</w:t>
            </w:r>
          </w:p>
        </w:tc>
        <w:tc>
          <w:tcPr>
            <w:tcW w:w="119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5,314</w:t>
            </w:r>
          </w:p>
        </w:tc>
      </w:tr>
      <w:tr w:rsidR="006B2692" w:rsidRPr="006B2692" w:rsidTr="004B0055">
        <w:trPr>
          <w:trHeight w:val="60"/>
          <w:jc w:val="center"/>
        </w:trPr>
        <w:tc>
          <w:tcPr>
            <w:tcW w:w="1560"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r w:rsidRPr="006B2692">
              <w:rPr>
                <w:rFonts w:eastAsia="Times New Roman" w:cs="Calibri"/>
                <w:sz w:val="20"/>
                <w:szCs w:val="20"/>
                <w:lang w:eastAsia="en-AU"/>
              </w:rPr>
              <w:t>Rearing</w:t>
            </w:r>
            <w:r w:rsidR="00D347E0">
              <w:rPr>
                <w:rFonts w:eastAsia="Times New Roman" w:cs="Calibri"/>
                <w:sz w:val="20"/>
                <w:szCs w:val="20"/>
                <w:lang w:eastAsia="en-AU"/>
              </w:rPr>
              <w:t>*</w:t>
            </w:r>
            <w:r w:rsidR="00584B37">
              <w:rPr>
                <w:rFonts w:eastAsia="Times New Roman" w:cs="Calibri"/>
                <w:sz w:val="20"/>
                <w:szCs w:val="20"/>
                <w:lang w:eastAsia="en-AU"/>
              </w:rPr>
              <w:t>*</w:t>
            </w:r>
          </w:p>
        </w:tc>
        <w:tc>
          <w:tcPr>
            <w:tcW w:w="1134"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p>
        </w:tc>
        <w:tc>
          <w:tcPr>
            <w:tcW w:w="992"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3,913</w:t>
            </w:r>
          </w:p>
        </w:tc>
        <w:tc>
          <w:tcPr>
            <w:tcW w:w="113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5,589</w:t>
            </w:r>
          </w:p>
        </w:tc>
        <w:tc>
          <w:tcPr>
            <w:tcW w:w="993"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5,834</w:t>
            </w:r>
          </w:p>
        </w:tc>
        <w:tc>
          <w:tcPr>
            <w:tcW w:w="119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5,112</w:t>
            </w:r>
          </w:p>
        </w:tc>
      </w:tr>
      <w:tr w:rsidR="006B2692" w:rsidRPr="006B2692" w:rsidTr="004B0055">
        <w:trPr>
          <w:trHeight w:val="60"/>
          <w:jc w:val="center"/>
        </w:trPr>
        <w:tc>
          <w:tcPr>
            <w:tcW w:w="1560"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r w:rsidRPr="006B2692">
              <w:rPr>
                <w:rFonts w:eastAsia="Times New Roman" w:cs="Calibri"/>
                <w:sz w:val="20"/>
                <w:szCs w:val="20"/>
                <w:lang w:eastAsia="en-AU"/>
              </w:rPr>
              <w:t>Breaking in</w:t>
            </w:r>
          </w:p>
        </w:tc>
        <w:tc>
          <w:tcPr>
            <w:tcW w:w="1134"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p>
        </w:tc>
        <w:tc>
          <w:tcPr>
            <w:tcW w:w="992"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3,913</w:t>
            </w:r>
          </w:p>
        </w:tc>
        <w:tc>
          <w:tcPr>
            <w:tcW w:w="113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5,589</w:t>
            </w:r>
          </w:p>
        </w:tc>
        <w:tc>
          <w:tcPr>
            <w:tcW w:w="993"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5,834</w:t>
            </w:r>
          </w:p>
        </w:tc>
        <w:tc>
          <w:tcPr>
            <w:tcW w:w="119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5,112</w:t>
            </w:r>
          </w:p>
        </w:tc>
      </w:tr>
      <w:tr w:rsidR="006B2692" w:rsidRPr="006B2692" w:rsidTr="004B0055">
        <w:trPr>
          <w:trHeight w:val="60"/>
          <w:jc w:val="center"/>
        </w:trPr>
        <w:tc>
          <w:tcPr>
            <w:tcW w:w="1560" w:type="dxa"/>
            <w:tcBorders>
              <w:top w:val="nil"/>
              <w:left w:val="nil"/>
              <w:bottom w:val="nil"/>
              <w:right w:val="nil"/>
            </w:tcBorders>
            <w:shd w:val="clear" w:color="000000" w:fill="FFFFFF"/>
            <w:noWrap/>
            <w:vAlign w:val="bottom"/>
            <w:hideMark/>
          </w:tcPr>
          <w:p w:rsidR="006B2692" w:rsidRPr="006B2692" w:rsidRDefault="004807E6">
            <w:pPr>
              <w:rPr>
                <w:rFonts w:eastAsia="Times New Roman" w:cs="Calibri"/>
                <w:sz w:val="20"/>
                <w:szCs w:val="20"/>
                <w:lang w:eastAsia="en-AU"/>
              </w:rPr>
            </w:pPr>
            <w:r>
              <w:rPr>
                <w:rFonts w:eastAsia="Times New Roman" w:cs="Calibri"/>
                <w:sz w:val="20"/>
                <w:szCs w:val="20"/>
                <w:lang w:eastAsia="en-AU"/>
              </w:rPr>
              <w:t>T</w:t>
            </w:r>
            <w:r w:rsidR="006B2692" w:rsidRPr="006B2692">
              <w:rPr>
                <w:rFonts w:eastAsia="Times New Roman" w:cs="Calibri"/>
                <w:sz w:val="20"/>
                <w:szCs w:val="20"/>
                <w:lang w:eastAsia="en-AU"/>
              </w:rPr>
              <w:t>raining</w:t>
            </w:r>
            <w:r w:rsidR="00584B37">
              <w:rPr>
                <w:rFonts w:eastAsia="Times New Roman" w:cs="Calibri"/>
                <w:sz w:val="20"/>
                <w:szCs w:val="20"/>
                <w:lang w:eastAsia="en-AU"/>
              </w:rPr>
              <w:t>***</w:t>
            </w:r>
          </w:p>
        </w:tc>
        <w:tc>
          <w:tcPr>
            <w:tcW w:w="1134"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p>
        </w:tc>
        <w:tc>
          <w:tcPr>
            <w:tcW w:w="992"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3,052</w:t>
            </w:r>
          </w:p>
        </w:tc>
        <w:tc>
          <w:tcPr>
            <w:tcW w:w="113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4,360</w:t>
            </w:r>
          </w:p>
        </w:tc>
        <w:tc>
          <w:tcPr>
            <w:tcW w:w="993"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4,551</w:t>
            </w:r>
          </w:p>
        </w:tc>
        <w:tc>
          <w:tcPr>
            <w:tcW w:w="119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3,988</w:t>
            </w:r>
          </w:p>
        </w:tc>
      </w:tr>
      <w:tr w:rsidR="006B2692" w:rsidRPr="006B2692" w:rsidTr="004B0055">
        <w:trPr>
          <w:trHeight w:val="60"/>
          <w:jc w:val="center"/>
        </w:trPr>
        <w:tc>
          <w:tcPr>
            <w:tcW w:w="1560"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r w:rsidRPr="006B2692">
              <w:rPr>
                <w:rFonts w:eastAsia="Times New Roman" w:cs="Calibri"/>
                <w:sz w:val="20"/>
                <w:szCs w:val="20"/>
                <w:lang w:eastAsia="en-AU"/>
              </w:rPr>
              <w:t>Racing</w:t>
            </w:r>
            <w:r w:rsidR="00584B37">
              <w:rPr>
                <w:rFonts w:eastAsia="Times New Roman" w:cs="Calibri"/>
                <w:sz w:val="20"/>
                <w:szCs w:val="20"/>
                <w:lang w:eastAsia="en-AU"/>
              </w:rPr>
              <w:t>****</w:t>
            </w:r>
          </w:p>
        </w:tc>
        <w:tc>
          <w:tcPr>
            <w:tcW w:w="1134" w:type="dxa"/>
            <w:tcBorders>
              <w:top w:val="nil"/>
              <w:left w:val="nil"/>
              <w:bottom w:val="nil"/>
              <w:right w:val="nil"/>
            </w:tcBorders>
            <w:shd w:val="clear" w:color="000000" w:fill="FFFFFF"/>
            <w:noWrap/>
            <w:vAlign w:val="bottom"/>
            <w:hideMark/>
          </w:tcPr>
          <w:p w:rsidR="006B2692" w:rsidRPr="006B2692" w:rsidRDefault="006B2692">
            <w:pPr>
              <w:rPr>
                <w:rFonts w:eastAsia="Times New Roman" w:cs="Calibri"/>
                <w:sz w:val="20"/>
                <w:szCs w:val="20"/>
                <w:lang w:eastAsia="en-AU"/>
              </w:rPr>
            </w:pPr>
          </w:p>
        </w:tc>
        <w:tc>
          <w:tcPr>
            <w:tcW w:w="992"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5,759</w:t>
            </w:r>
          </w:p>
        </w:tc>
        <w:tc>
          <w:tcPr>
            <w:tcW w:w="113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5,786</w:t>
            </w:r>
          </w:p>
        </w:tc>
        <w:tc>
          <w:tcPr>
            <w:tcW w:w="993"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5,853</w:t>
            </w:r>
          </w:p>
        </w:tc>
        <w:tc>
          <w:tcPr>
            <w:tcW w:w="1194" w:type="dxa"/>
            <w:tcBorders>
              <w:top w:val="nil"/>
              <w:left w:val="nil"/>
              <w:bottom w:val="nil"/>
              <w:right w:val="nil"/>
            </w:tcBorders>
            <w:shd w:val="clear" w:color="000000" w:fill="FFFFFF"/>
            <w:noWrap/>
            <w:vAlign w:val="bottom"/>
            <w:hideMark/>
          </w:tcPr>
          <w:p w:rsidR="006B2692" w:rsidRPr="006B2692" w:rsidRDefault="006B2692">
            <w:pPr>
              <w:jc w:val="center"/>
              <w:rPr>
                <w:rFonts w:eastAsia="Times New Roman" w:cs="Calibri"/>
                <w:sz w:val="20"/>
                <w:szCs w:val="20"/>
                <w:lang w:eastAsia="en-AU"/>
              </w:rPr>
            </w:pPr>
            <w:r w:rsidRPr="006B2692">
              <w:rPr>
                <w:rFonts w:eastAsia="Times New Roman" w:cs="Calibri"/>
                <w:sz w:val="20"/>
                <w:szCs w:val="20"/>
                <w:lang w:eastAsia="en-AU"/>
              </w:rPr>
              <w:t>5,799</w:t>
            </w:r>
          </w:p>
        </w:tc>
      </w:tr>
      <w:tr w:rsidR="006B2692" w:rsidRPr="006B2692" w:rsidTr="004B0055">
        <w:trPr>
          <w:trHeight w:val="50"/>
          <w:jc w:val="center"/>
        </w:trPr>
        <w:tc>
          <w:tcPr>
            <w:tcW w:w="1560"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rPr>
                <w:rFonts w:eastAsia="Times New Roman" w:cs="Calibri"/>
                <w:b/>
                <w:bCs/>
                <w:i/>
                <w:iCs/>
                <w:sz w:val="20"/>
                <w:szCs w:val="20"/>
                <w:lang w:eastAsia="en-AU"/>
              </w:rPr>
            </w:pPr>
            <w:r w:rsidRPr="006B2692">
              <w:rPr>
                <w:rFonts w:eastAsia="Times New Roman" w:cs="Calibri"/>
                <w:b/>
                <w:bCs/>
                <w:i/>
                <w:iCs/>
                <w:sz w:val="20"/>
                <w:szCs w:val="20"/>
                <w:lang w:eastAsia="en-AU"/>
              </w:rPr>
              <w:t>Total</w:t>
            </w:r>
          </w:p>
        </w:tc>
        <w:tc>
          <w:tcPr>
            <w:tcW w:w="1134"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rPr>
                <w:rFonts w:eastAsia="Times New Roman" w:cs="Calibri"/>
                <w:b/>
                <w:bCs/>
                <w:i/>
                <w:iCs/>
                <w:sz w:val="20"/>
                <w:szCs w:val="20"/>
                <w:lang w:eastAsia="en-AU"/>
              </w:rPr>
            </w:pPr>
          </w:p>
        </w:tc>
        <w:tc>
          <w:tcPr>
            <w:tcW w:w="992"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jc w:val="center"/>
              <w:rPr>
                <w:rFonts w:eastAsia="Times New Roman" w:cs="Calibri"/>
                <w:b/>
                <w:bCs/>
                <w:i/>
                <w:iCs/>
                <w:sz w:val="20"/>
                <w:szCs w:val="20"/>
                <w:lang w:eastAsia="en-AU"/>
              </w:rPr>
            </w:pPr>
            <w:r w:rsidRPr="006B2692">
              <w:rPr>
                <w:rFonts w:eastAsia="Times New Roman" w:cs="Calibri"/>
                <w:b/>
                <w:bCs/>
                <w:i/>
                <w:iCs/>
                <w:sz w:val="20"/>
                <w:szCs w:val="20"/>
                <w:lang w:eastAsia="en-AU"/>
              </w:rPr>
              <w:t>20,706</w:t>
            </w:r>
          </w:p>
        </w:tc>
        <w:tc>
          <w:tcPr>
            <w:tcW w:w="1134"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jc w:val="center"/>
              <w:rPr>
                <w:rFonts w:eastAsia="Times New Roman" w:cs="Calibri"/>
                <w:b/>
                <w:bCs/>
                <w:i/>
                <w:iCs/>
                <w:sz w:val="20"/>
                <w:szCs w:val="20"/>
                <w:lang w:eastAsia="en-AU"/>
              </w:rPr>
            </w:pPr>
            <w:r w:rsidRPr="006B2692">
              <w:rPr>
                <w:rFonts w:eastAsia="Times New Roman" w:cs="Calibri"/>
                <w:b/>
                <w:bCs/>
                <w:i/>
                <w:iCs/>
                <w:sz w:val="20"/>
                <w:szCs w:val="20"/>
                <w:lang w:eastAsia="en-AU"/>
              </w:rPr>
              <w:t>27,134</w:t>
            </w:r>
          </w:p>
        </w:tc>
        <w:tc>
          <w:tcPr>
            <w:tcW w:w="993"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jc w:val="center"/>
              <w:rPr>
                <w:rFonts w:eastAsia="Times New Roman" w:cs="Calibri"/>
                <w:b/>
                <w:bCs/>
                <w:i/>
                <w:iCs/>
                <w:sz w:val="20"/>
                <w:szCs w:val="20"/>
                <w:lang w:eastAsia="en-AU"/>
              </w:rPr>
            </w:pPr>
            <w:r w:rsidRPr="006B2692">
              <w:rPr>
                <w:rFonts w:eastAsia="Times New Roman" w:cs="Calibri"/>
                <w:b/>
                <w:bCs/>
                <w:i/>
                <w:iCs/>
                <w:sz w:val="20"/>
                <w:szCs w:val="20"/>
                <w:lang w:eastAsia="en-AU"/>
              </w:rPr>
              <w:t>28,138</w:t>
            </w:r>
          </w:p>
        </w:tc>
        <w:tc>
          <w:tcPr>
            <w:tcW w:w="1194" w:type="dxa"/>
            <w:tcBorders>
              <w:top w:val="single" w:sz="4" w:space="0" w:color="1F4E78"/>
              <w:left w:val="nil"/>
              <w:bottom w:val="single" w:sz="4" w:space="0" w:color="1F4E78"/>
              <w:right w:val="nil"/>
            </w:tcBorders>
            <w:shd w:val="clear" w:color="000000" w:fill="FFFFFF"/>
            <w:noWrap/>
            <w:vAlign w:val="bottom"/>
            <w:hideMark/>
          </w:tcPr>
          <w:p w:rsidR="006B2692" w:rsidRPr="006B2692" w:rsidRDefault="006B2692">
            <w:pPr>
              <w:jc w:val="center"/>
              <w:rPr>
                <w:rFonts w:eastAsia="Times New Roman" w:cs="Calibri"/>
                <w:b/>
                <w:bCs/>
                <w:i/>
                <w:iCs/>
                <w:sz w:val="20"/>
                <w:szCs w:val="20"/>
                <w:lang w:eastAsia="en-AU"/>
              </w:rPr>
            </w:pPr>
            <w:r w:rsidRPr="006B2692">
              <w:rPr>
                <w:rFonts w:eastAsia="Times New Roman" w:cs="Calibri"/>
                <w:b/>
                <w:bCs/>
                <w:i/>
                <w:iCs/>
                <w:sz w:val="20"/>
                <w:szCs w:val="20"/>
                <w:lang w:eastAsia="en-AU"/>
              </w:rPr>
              <w:t>25,326</w:t>
            </w:r>
          </w:p>
        </w:tc>
      </w:tr>
    </w:tbl>
    <w:p w:rsidR="00584B37" w:rsidRDefault="00584B37" w:rsidP="00D347E0">
      <w:pPr>
        <w:autoSpaceDE w:val="0"/>
        <w:autoSpaceDN w:val="0"/>
        <w:adjustRightInd w:val="0"/>
        <w:ind w:left="567" w:right="567"/>
        <w:jc w:val="both"/>
        <w:rPr>
          <w:rFonts w:cs="Arial-BoldMT"/>
          <w:b/>
          <w:bCs/>
          <w:sz w:val="18"/>
        </w:rPr>
      </w:pPr>
    </w:p>
    <w:p w:rsidR="00584B37" w:rsidRDefault="00261766" w:rsidP="00584B37">
      <w:pPr>
        <w:autoSpaceDE w:val="0"/>
        <w:autoSpaceDN w:val="0"/>
        <w:adjustRightInd w:val="0"/>
        <w:ind w:left="567" w:right="567"/>
        <w:jc w:val="both"/>
        <w:rPr>
          <w:rFonts w:cs="Arial-BoldMT"/>
          <w:bCs/>
          <w:sz w:val="18"/>
        </w:rPr>
      </w:pPr>
      <w:r w:rsidRPr="004B0055">
        <w:rPr>
          <w:rFonts w:cs="Arial-BoldMT"/>
          <w:b/>
          <w:bCs/>
          <w:sz w:val="18"/>
        </w:rPr>
        <w:t>Source:</w:t>
      </w:r>
      <w:r w:rsidRPr="004B0055">
        <w:rPr>
          <w:rFonts w:cs="Arial-BoldMT"/>
          <w:bCs/>
          <w:sz w:val="18"/>
        </w:rPr>
        <w:t xml:space="preserve"> </w:t>
      </w:r>
      <w:r w:rsidR="00951AFB">
        <w:rPr>
          <w:rFonts w:cs="Arial-BoldMT"/>
          <w:bCs/>
          <w:sz w:val="18"/>
        </w:rPr>
        <w:t xml:space="preserve">Based on actual </w:t>
      </w:r>
      <w:r w:rsidR="00EC0751">
        <w:rPr>
          <w:rFonts w:cs="Arial-BoldMT"/>
          <w:bCs/>
          <w:sz w:val="18"/>
        </w:rPr>
        <w:t>GRV data October 2016</w:t>
      </w:r>
    </w:p>
    <w:p w:rsidR="00584B37" w:rsidRDefault="00584B37" w:rsidP="00D347E0">
      <w:pPr>
        <w:autoSpaceDE w:val="0"/>
        <w:autoSpaceDN w:val="0"/>
        <w:adjustRightInd w:val="0"/>
        <w:ind w:left="567" w:right="567"/>
        <w:jc w:val="both"/>
        <w:rPr>
          <w:rFonts w:cs="Arial-BoldMT"/>
          <w:bCs/>
          <w:sz w:val="18"/>
        </w:rPr>
      </w:pPr>
      <w:r>
        <w:rPr>
          <w:rFonts w:cs="Arial-BoldMT"/>
          <w:bCs/>
          <w:sz w:val="18"/>
        </w:rPr>
        <w:t>*</w:t>
      </w:r>
      <w:r w:rsidR="00DE51D7" w:rsidRPr="00DE51D7">
        <w:rPr>
          <w:rFonts w:cs="Arial-BoldMT"/>
          <w:bCs/>
          <w:sz w:val="18"/>
        </w:rPr>
        <w:t>4,068 dogs represent total amount whel</w:t>
      </w:r>
      <w:r w:rsidR="00DE51D7">
        <w:rPr>
          <w:rFonts w:cs="Arial-BoldMT"/>
          <w:bCs/>
          <w:sz w:val="18"/>
        </w:rPr>
        <w:t xml:space="preserve">ped and registered in 2015-16. </w:t>
      </w:r>
      <w:r w:rsidR="00DE51D7" w:rsidRPr="00DE51D7">
        <w:rPr>
          <w:rFonts w:cs="Arial-BoldMT"/>
          <w:bCs/>
          <w:sz w:val="18"/>
        </w:rPr>
        <w:t>Registration captures the number of dogs in the litter as well as sex</w:t>
      </w:r>
      <w:r w:rsidR="009B3356">
        <w:rPr>
          <w:rFonts w:cs="Arial-BoldMT"/>
          <w:bCs/>
          <w:sz w:val="18"/>
        </w:rPr>
        <w:t xml:space="preserve"> of the dog</w:t>
      </w:r>
      <w:r w:rsidR="00DE51D7" w:rsidRPr="00DE51D7">
        <w:rPr>
          <w:rFonts w:cs="Arial-BoldMT"/>
          <w:bCs/>
          <w:sz w:val="18"/>
        </w:rPr>
        <w:t>.</w:t>
      </w:r>
      <w:r w:rsidR="007B521C">
        <w:rPr>
          <w:rFonts w:cs="Arial-BoldMT"/>
          <w:bCs/>
          <w:sz w:val="18"/>
        </w:rPr>
        <w:t xml:space="preserve"> </w:t>
      </w:r>
    </w:p>
    <w:p w:rsidR="00584B37" w:rsidRDefault="004807E6" w:rsidP="00D347E0">
      <w:pPr>
        <w:autoSpaceDE w:val="0"/>
        <w:autoSpaceDN w:val="0"/>
        <w:adjustRightInd w:val="0"/>
        <w:ind w:left="567" w:right="567"/>
        <w:jc w:val="both"/>
        <w:rPr>
          <w:rFonts w:cs="Arial-BoldMT"/>
          <w:bCs/>
          <w:sz w:val="18"/>
        </w:rPr>
      </w:pPr>
      <w:r>
        <w:rPr>
          <w:rFonts w:cs="Arial-BoldMT"/>
          <w:bCs/>
          <w:sz w:val="18"/>
        </w:rPr>
        <w:t>*</w:t>
      </w:r>
      <w:r w:rsidR="00584B37">
        <w:rPr>
          <w:rFonts w:cs="Arial-BoldMT"/>
          <w:bCs/>
          <w:sz w:val="18"/>
        </w:rPr>
        <w:t>*</w:t>
      </w:r>
      <w:r w:rsidR="00D347E0">
        <w:rPr>
          <w:rFonts w:cs="Arial-BoldMT"/>
          <w:bCs/>
          <w:sz w:val="18"/>
        </w:rPr>
        <w:t>The percentage</w:t>
      </w:r>
      <w:r w:rsidR="00D347E0" w:rsidRPr="00D347E0">
        <w:rPr>
          <w:rFonts w:cs="Arial-BoldMT"/>
          <w:bCs/>
          <w:sz w:val="18"/>
        </w:rPr>
        <w:t xml:space="preserve"> of dogs whelped but not reared as a proportion of average dogs whelped</w:t>
      </w:r>
      <w:r w:rsidR="008A5D1B">
        <w:rPr>
          <w:rFonts w:cs="Arial-BoldMT"/>
          <w:bCs/>
          <w:sz w:val="18"/>
        </w:rPr>
        <w:t xml:space="preserve"> between 2013-14 and 2015-16 </w:t>
      </w:r>
      <w:r w:rsidR="00D347E0">
        <w:rPr>
          <w:rFonts w:cs="Arial-BoldMT"/>
          <w:bCs/>
          <w:sz w:val="18"/>
        </w:rPr>
        <w:t>is 3.8%</w:t>
      </w:r>
      <w:r w:rsidR="00DE51D7">
        <w:rPr>
          <w:rFonts w:cs="Arial-BoldMT"/>
          <w:bCs/>
          <w:sz w:val="18"/>
        </w:rPr>
        <w:t>.</w:t>
      </w:r>
      <w:r w:rsidR="007B521C">
        <w:rPr>
          <w:rFonts w:cs="Arial-BoldMT"/>
          <w:bCs/>
          <w:sz w:val="18"/>
        </w:rPr>
        <w:t xml:space="preserve"> </w:t>
      </w:r>
    </w:p>
    <w:p w:rsidR="00584B37" w:rsidRDefault="00584B37" w:rsidP="00D347E0">
      <w:pPr>
        <w:autoSpaceDE w:val="0"/>
        <w:autoSpaceDN w:val="0"/>
        <w:adjustRightInd w:val="0"/>
        <w:ind w:left="567" w:right="567"/>
        <w:jc w:val="both"/>
        <w:rPr>
          <w:rFonts w:cs="Arial-BoldMT"/>
          <w:bCs/>
          <w:sz w:val="18"/>
        </w:rPr>
      </w:pPr>
      <w:r>
        <w:rPr>
          <w:rFonts w:cs="Arial-BoldMT"/>
          <w:bCs/>
          <w:sz w:val="18"/>
        </w:rPr>
        <w:t>***</w:t>
      </w:r>
      <w:r w:rsidRPr="00584B37">
        <w:t xml:space="preserve"> </w:t>
      </w:r>
      <w:r w:rsidRPr="00584B37">
        <w:rPr>
          <w:rFonts w:cs="Arial-BoldMT"/>
          <w:bCs/>
          <w:sz w:val="18"/>
        </w:rPr>
        <w:t>The training stage is prior to racing and includes pre-training (just before racing).</w:t>
      </w:r>
      <w:r w:rsidR="007B521C">
        <w:rPr>
          <w:rFonts w:cs="Arial-BoldMT"/>
          <w:bCs/>
          <w:sz w:val="18"/>
        </w:rPr>
        <w:t xml:space="preserve"> </w:t>
      </w:r>
    </w:p>
    <w:p w:rsidR="00A96C15" w:rsidRDefault="00584B37" w:rsidP="00D347E0">
      <w:pPr>
        <w:autoSpaceDE w:val="0"/>
        <w:autoSpaceDN w:val="0"/>
        <w:adjustRightInd w:val="0"/>
        <w:ind w:left="567" w:right="567"/>
        <w:jc w:val="both"/>
        <w:rPr>
          <w:rFonts w:cs="Arial-BoldMT"/>
          <w:bCs/>
          <w:sz w:val="18"/>
        </w:rPr>
      </w:pPr>
      <w:r>
        <w:rPr>
          <w:rFonts w:cs="Arial-BoldMT"/>
          <w:bCs/>
          <w:sz w:val="18"/>
        </w:rPr>
        <w:t>****</w:t>
      </w:r>
      <w:r w:rsidRPr="00584B37">
        <w:rPr>
          <w:rFonts w:cs="Arial-BoldMT"/>
          <w:bCs/>
          <w:sz w:val="18"/>
        </w:rPr>
        <w:t>The number of dogs that are racing 5,759 are unique dogs (associated only with racing).</w:t>
      </w:r>
      <w:r w:rsidR="007B521C">
        <w:rPr>
          <w:rFonts w:cs="Arial-BoldMT"/>
          <w:bCs/>
          <w:sz w:val="18"/>
        </w:rPr>
        <w:t xml:space="preserve"> </w:t>
      </w:r>
    </w:p>
    <w:p w:rsidR="00C02451" w:rsidRDefault="00C02451">
      <w:pPr>
        <w:rPr>
          <w:rFonts w:cs="Arial-BoldMT"/>
          <w:bCs/>
          <w:sz w:val="18"/>
        </w:rPr>
      </w:pPr>
      <w:r>
        <w:rPr>
          <w:rFonts w:cs="Arial-BoldMT"/>
          <w:bCs/>
          <w:sz w:val="18"/>
        </w:rPr>
        <w:br w:type="page"/>
      </w:r>
    </w:p>
    <w:tbl>
      <w:tblPr>
        <w:tblW w:w="0" w:type="auto"/>
        <w:tblLook w:val="04A0" w:firstRow="1" w:lastRow="0" w:firstColumn="1" w:lastColumn="0" w:noHBand="0" w:noVBand="1"/>
      </w:tblPr>
      <w:tblGrid>
        <w:gridCol w:w="8437"/>
      </w:tblGrid>
      <w:tr w:rsidR="00FE7700" w:rsidTr="00FE7700">
        <w:tc>
          <w:tcPr>
            <w:tcW w:w="8437" w:type="dxa"/>
            <w:shd w:val="clear" w:color="auto" w:fill="D9D9D9" w:themeFill="background1" w:themeFillShade="D9"/>
          </w:tcPr>
          <w:p w:rsidR="00FE7700" w:rsidRDefault="00FE7700" w:rsidP="00FE7700">
            <w:pPr>
              <w:rPr>
                <w:b/>
              </w:rPr>
            </w:pPr>
            <w:r>
              <w:rPr>
                <w:b/>
              </w:rPr>
              <w:lastRenderedPageBreak/>
              <w:t>Comment by GRV</w:t>
            </w:r>
            <w:r w:rsidRPr="00457D62">
              <w:rPr>
                <w:b/>
              </w:rPr>
              <w:t>;</w:t>
            </w:r>
          </w:p>
          <w:p w:rsidR="00FE7700" w:rsidRPr="00FE7700" w:rsidRDefault="00FE7700" w:rsidP="00FE7700">
            <w:r>
              <w:t>GRV has undertaken an extensive program of reform following animal welfare issues identified in the industry. This program of reform has already delivered significant benefits, including a reduction in breeding.</w:t>
            </w:r>
          </w:p>
        </w:tc>
      </w:tr>
    </w:tbl>
    <w:p w:rsidR="00FE7700" w:rsidRDefault="00FE7700" w:rsidP="00436DAE">
      <w:pPr>
        <w:jc w:val="both"/>
        <w:rPr>
          <w:rFonts w:cs="Arial-BoldMT"/>
          <w:bCs/>
        </w:rPr>
      </w:pPr>
    </w:p>
    <w:p w:rsidR="00436DAE" w:rsidRDefault="004851C1" w:rsidP="00436DAE">
      <w:pPr>
        <w:jc w:val="both"/>
      </w:pPr>
      <w:r>
        <w:rPr>
          <w:rFonts w:cs="Arial-BoldMT"/>
          <w:bCs/>
        </w:rPr>
        <w:t>GRV</w:t>
      </w:r>
      <w:r w:rsidR="00EA0780">
        <w:rPr>
          <w:rFonts w:cs="Arial-BoldMT"/>
          <w:bCs/>
        </w:rPr>
        <w:t xml:space="preserve"> has recommended that </w:t>
      </w:r>
      <w:r w:rsidR="006B2692">
        <w:rPr>
          <w:rFonts w:cs="Arial-BoldMT"/>
          <w:bCs/>
        </w:rPr>
        <w:t>2015-16 figures</w:t>
      </w:r>
      <w:r w:rsidR="00E85C09">
        <w:rPr>
          <w:rFonts w:cs="Arial-BoldMT"/>
          <w:bCs/>
        </w:rPr>
        <w:t xml:space="preserve"> (rather than a three-year average of greyhound numbers)</w:t>
      </w:r>
      <w:r w:rsidR="006B2692">
        <w:rPr>
          <w:rFonts w:cs="Arial-BoldMT"/>
          <w:bCs/>
        </w:rPr>
        <w:t xml:space="preserve"> </w:t>
      </w:r>
      <w:r w:rsidR="00EA0780">
        <w:rPr>
          <w:rFonts w:cs="Arial-BoldMT"/>
          <w:bCs/>
        </w:rPr>
        <w:t xml:space="preserve">be </w:t>
      </w:r>
      <w:r w:rsidR="006B2692">
        <w:rPr>
          <w:rFonts w:cs="Arial-BoldMT"/>
          <w:bCs/>
        </w:rPr>
        <w:t xml:space="preserve">used </w:t>
      </w:r>
      <w:r w:rsidR="000D7882">
        <w:rPr>
          <w:rFonts w:cs="Arial-BoldMT"/>
          <w:bCs/>
        </w:rPr>
        <w:t xml:space="preserve">as the baseline </w:t>
      </w:r>
      <w:r w:rsidR="00EA0780">
        <w:rPr>
          <w:rFonts w:cs="Arial-BoldMT"/>
          <w:bCs/>
        </w:rPr>
        <w:t xml:space="preserve">for the purpose of other </w:t>
      </w:r>
      <w:r>
        <w:rPr>
          <w:rFonts w:cs="Arial-BoldMT"/>
          <w:bCs/>
        </w:rPr>
        <w:t>estimations</w:t>
      </w:r>
      <w:r w:rsidR="00EA0780">
        <w:rPr>
          <w:rFonts w:cs="Arial-BoldMT"/>
          <w:bCs/>
        </w:rPr>
        <w:t xml:space="preserve"> in this </w:t>
      </w:r>
      <w:r w:rsidR="006B2692">
        <w:rPr>
          <w:rFonts w:cs="Arial-BoldMT"/>
          <w:bCs/>
        </w:rPr>
        <w:t>RIS</w:t>
      </w:r>
      <w:r>
        <w:rPr>
          <w:rFonts w:cs="Arial-BoldMT"/>
          <w:bCs/>
        </w:rPr>
        <w:t>,</w:t>
      </w:r>
      <w:r w:rsidR="006B2692">
        <w:rPr>
          <w:rFonts w:cs="Arial-BoldMT"/>
          <w:bCs/>
        </w:rPr>
        <w:t xml:space="preserve"> as these are more ref</w:t>
      </w:r>
      <w:r w:rsidR="00436DAE">
        <w:rPr>
          <w:rFonts w:cs="Arial-BoldMT"/>
          <w:bCs/>
        </w:rPr>
        <w:t>l</w:t>
      </w:r>
      <w:r w:rsidR="006B2692">
        <w:rPr>
          <w:rFonts w:cs="Arial-BoldMT"/>
          <w:bCs/>
        </w:rPr>
        <w:t xml:space="preserve">ective of current breeding and </w:t>
      </w:r>
      <w:r w:rsidR="00F16366">
        <w:rPr>
          <w:rFonts w:cs="Arial-BoldMT"/>
          <w:bCs/>
        </w:rPr>
        <w:t>t</w:t>
      </w:r>
      <w:r w:rsidR="00436DAE">
        <w:rPr>
          <w:rFonts w:cs="Arial-BoldMT"/>
          <w:bCs/>
        </w:rPr>
        <w:t>r</w:t>
      </w:r>
      <w:r w:rsidR="00F16366">
        <w:rPr>
          <w:rFonts w:cs="Arial-BoldMT"/>
          <w:bCs/>
        </w:rPr>
        <w:t xml:space="preserve">aining </w:t>
      </w:r>
      <w:r w:rsidR="00436DAE">
        <w:rPr>
          <w:rFonts w:cs="Arial-BoldMT"/>
          <w:bCs/>
        </w:rPr>
        <w:t>activities in the industry</w:t>
      </w:r>
      <w:r w:rsidR="000D7882">
        <w:rPr>
          <w:rFonts w:cs="Arial-BoldMT"/>
          <w:bCs/>
        </w:rPr>
        <w:t xml:space="preserve"> following the successful delivery of a number of GRV strategies</w:t>
      </w:r>
      <w:r w:rsidR="00FD0B75">
        <w:rPr>
          <w:rFonts w:cs="Arial-BoldMT"/>
          <w:bCs/>
        </w:rPr>
        <w:t xml:space="preserve">. </w:t>
      </w:r>
      <w:r w:rsidR="00FE666B">
        <w:t>T</w:t>
      </w:r>
      <w:r w:rsidR="00436DAE">
        <w:t>here was a substantive reduction in t</w:t>
      </w:r>
      <w:r w:rsidR="00FE666B">
        <w:t>he number of pups whelped by 1,742 (just over 30% compared to the previous year) due to a reduction in the number of litters from 926 in 2014-15 to 634 in 2015-16 and coinciding with the</w:t>
      </w:r>
      <w:r w:rsidR="00436DAE">
        <w:t xml:space="preserve"> removal of the GOBIS breeding incentive </w:t>
      </w:r>
      <w:r w:rsidR="007823A2">
        <w:t>scheme</w:t>
      </w:r>
      <w:r w:rsidR="00FE666B">
        <w:t xml:space="preserve"> in 2016</w:t>
      </w:r>
      <w:r w:rsidR="007823A2">
        <w:rPr>
          <w:rStyle w:val="FootnoteReference"/>
        </w:rPr>
        <w:footnoteReference w:id="30"/>
      </w:r>
      <w:r w:rsidR="00436DAE">
        <w:t>.</w:t>
      </w:r>
    </w:p>
    <w:p w:rsidR="00A96C15" w:rsidRDefault="00A96C15" w:rsidP="008475E4">
      <w:pPr>
        <w:autoSpaceDE w:val="0"/>
        <w:autoSpaceDN w:val="0"/>
        <w:adjustRightInd w:val="0"/>
        <w:jc w:val="both"/>
        <w:rPr>
          <w:rFonts w:cs="Arial-BoldMT"/>
          <w:bCs/>
        </w:rPr>
      </w:pPr>
    </w:p>
    <w:p w:rsidR="002B4D5C" w:rsidRDefault="002B4D5C" w:rsidP="00673E43">
      <w:pPr>
        <w:autoSpaceDE w:val="0"/>
        <w:autoSpaceDN w:val="0"/>
        <w:adjustRightInd w:val="0"/>
        <w:jc w:val="both"/>
        <w:rPr>
          <w:rFonts w:cs="Arial-BoldMT"/>
          <w:bCs/>
        </w:rPr>
      </w:pPr>
      <w:r>
        <w:rPr>
          <w:rFonts w:cs="Arial-BoldMT"/>
          <w:bCs/>
        </w:rPr>
        <w:t>The apportionment of greyhounds in Table 5 for 2015-16 against the unique breeder and trainer participants in Table 4 is provided in Table 6.</w:t>
      </w:r>
      <w:r w:rsidR="00FD0B75">
        <w:rPr>
          <w:rFonts w:cs="Arial-BoldMT"/>
          <w:bCs/>
        </w:rPr>
        <w:t xml:space="preserve"> </w:t>
      </w:r>
      <w:r w:rsidR="0031334A">
        <w:rPr>
          <w:rFonts w:cs="Arial-BoldMT"/>
          <w:bCs/>
        </w:rPr>
        <w:t>Table 6 assumes an even apportionment between large and small operators due to the current lack of data on the number of typical greyhounds managed by large breeders and trainers versus small breeders and trainers.</w:t>
      </w:r>
      <w:r w:rsidR="007B521C">
        <w:rPr>
          <w:rFonts w:cs="Arial-BoldMT"/>
          <w:bCs/>
        </w:rPr>
        <w:t xml:space="preserve"> </w:t>
      </w:r>
      <w:r w:rsidR="0031334A">
        <w:rPr>
          <w:rFonts w:cs="Arial-BoldMT"/>
          <w:bCs/>
        </w:rPr>
        <w:t>Whilst the DEDJTR 2016 survey allows the distribution of numbers of breeders and trainers against groupings in the range of dogs under their care (one of them being 30 or more dogs) in Table 4, it is limited in its ability to determine the actual number of dogs being cared for.</w:t>
      </w:r>
    </w:p>
    <w:p w:rsidR="00A97302" w:rsidRPr="00A210A1" w:rsidRDefault="00A97302" w:rsidP="004B0055">
      <w:pPr>
        <w:autoSpaceDE w:val="0"/>
        <w:autoSpaceDN w:val="0"/>
        <w:adjustRightInd w:val="0"/>
        <w:jc w:val="center"/>
        <w:rPr>
          <w:rFonts w:cs="Arial-BoldMT"/>
          <w:b/>
          <w:bCs/>
          <w:sz w:val="20"/>
        </w:rPr>
      </w:pPr>
      <w:r w:rsidRPr="00A210A1">
        <w:rPr>
          <w:rFonts w:cs="Arial-BoldMT"/>
          <w:b/>
          <w:bCs/>
          <w:sz w:val="20"/>
        </w:rPr>
        <w:t xml:space="preserve">Table 6: Apportionment </w:t>
      </w:r>
      <w:r w:rsidR="00951AFB">
        <w:rPr>
          <w:rFonts w:cs="Arial-BoldMT"/>
          <w:b/>
          <w:bCs/>
          <w:sz w:val="20"/>
        </w:rPr>
        <w:t xml:space="preserve">of </w:t>
      </w:r>
      <w:r w:rsidRPr="00A210A1">
        <w:rPr>
          <w:rFonts w:cs="Arial-BoldMT"/>
          <w:b/>
          <w:bCs/>
          <w:sz w:val="20"/>
        </w:rPr>
        <w:t>greyhounds against unique breeder and trainer participants</w:t>
      </w:r>
      <w:r w:rsidRPr="00A210A1">
        <w:rPr>
          <w:rStyle w:val="FootnoteReference"/>
          <w:rFonts w:cs="Arial-BoldMT"/>
          <w:b/>
          <w:bCs/>
          <w:sz w:val="20"/>
        </w:rPr>
        <w:footnoteReference w:id="31"/>
      </w:r>
    </w:p>
    <w:p w:rsidR="002B4D5C" w:rsidRDefault="002B4D5C" w:rsidP="00673E43">
      <w:pPr>
        <w:autoSpaceDE w:val="0"/>
        <w:autoSpaceDN w:val="0"/>
        <w:adjustRightInd w:val="0"/>
        <w:jc w:val="both"/>
        <w:rPr>
          <w:rFonts w:cs="Arial-BoldMT"/>
          <w:bCs/>
        </w:rPr>
      </w:pPr>
    </w:p>
    <w:tbl>
      <w:tblPr>
        <w:tblW w:w="8222" w:type="dxa"/>
        <w:tblLook w:val="04A0" w:firstRow="1" w:lastRow="0" w:firstColumn="1" w:lastColumn="0" w:noHBand="0" w:noVBand="1"/>
      </w:tblPr>
      <w:tblGrid>
        <w:gridCol w:w="1983"/>
        <w:gridCol w:w="2068"/>
        <w:gridCol w:w="2977"/>
        <w:gridCol w:w="1194"/>
      </w:tblGrid>
      <w:tr w:rsidR="006A5C15" w:rsidRPr="005E307C" w:rsidTr="004B0055">
        <w:trPr>
          <w:trHeight w:val="50"/>
        </w:trPr>
        <w:tc>
          <w:tcPr>
            <w:tcW w:w="2036" w:type="dxa"/>
            <w:tcBorders>
              <w:top w:val="single" w:sz="4" w:space="0" w:color="1F4E78"/>
              <w:left w:val="nil"/>
              <w:bottom w:val="double" w:sz="6" w:space="0" w:color="1F4E78"/>
              <w:right w:val="nil"/>
            </w:tcBorders>
            <w:shd w:val="clear" w:color="000000" w:fill="FFFFFF"/>
            <w:vAlign w:val="bottom"/>
            <w:hideMark/>
          </w:tcPr>
          <w:p w:rsidR="006A5C15" w:rsidRPr="005E307C" w:rsidRDefault="006A5C15" w:rsidP="004B0055">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Category of participants</w:t>
            </w:r>
          </w:p>
        </w:tc>
        <w:tc>
          <w:tcPr>
            <w:tcW w:w="2122" w:type="dxa"/>
            <w:tcBorders>
              <w:top w:val="single" w:sz="4" w:space="0" w:color="1F4E78"/>
              <w:left w:val="nil"/>
              <w:bottom w:val="double" w:sz="6" w:space="0" w:color="1F4E78"/>
              <w:right w:val="nil"/>
            </w:tcBorders>
            <w:shd w:val="clear" w:color="000000" w:fill="FFFFFF"/>
          </w:tcPr>
          <w:p w:rsidR="006A5C15" w:rsidRPr="005E307C" w:rsidRDefault="006A5C15" w:rsidP="006A5C15">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No. participants</w:t>
            </w:r>
            <w:r w:rsidRPr="005E307C">
              <w:rPr>
                <w:rFonts w:eastAsia="Times New Roman" w:cs="Calibri"/>
                <w:b/>
                <w:bCs/>
                <w:color w:val="53565A"/>
                <w:sz w:val="20"/>
                <w:szCs w:val="20"/>
                <w:vertAlign w:val="superscript"/>
                <w:lang w:eastAsia="en-AU"/>
              </w:rPr>
              <w:t>*</w:t>
            </w:r>
          </w:p>
        </w:tc>
        <w:tc>
          <w:tcPr>
            <w:tcW w:w="2977" w:type="dxa"/>
            <w:tcBorders>
              <w:top w:val="single" w:sz="4" w:space="0" w:color="1F4E78"/>
              <w:left w:val="nil"/>
              <w:bottom w:val="double" w:sz="6" w:space="0" w:color="1F4E78"/>
              <w:right w:val="nil"/>
            </w:tcBorders>
            <w:shd w:val="clear" w:color="000000" w:fill="FFFFFF"/>
            <w:vAlign w:val="bottom"/>
            <w:hideMark/>
          </w:tcPr>
          <w:p w:rsidR="006A5C15" w:rsidRPr="005E307C" w:rsidRDefault="006A5C15" w:rsidP="006A5C15">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Apportionment of registered greyhounds 2015-16</w:t>
            </w:r>
            <w:r w:rsidRPr="005E307C">
              <w:rPr>
                <w:rFonts w:eastAsia="Times New Roman" w:cs="Calibri"/>
                <w:b/>
                <w:bCs/>
                <w:color w:val="53565A"/>
                <w:sz w:val="20"/>
                <w:szCs w:val="20"/>
                <w:vertAlign w:val="superscript"/>
                <w:lang w:eastAsia="en-AU"/>
              </w:rPr>
              <w:t>#</w:t>
            </w:r>
          </w:p>
        </w:tc>
        <w:tc>
          <w:tcPr>
            <w:tcW w:w="1087" w:type="dxa"/>
            <w:tcBorders>
              <w:top w:val="single" w:sz="4" w:space="0" w:color="1F4E78"/>
              <w:left w:val="nil"/>
              <w:bottom w:val="double" w:sz="6" w:space="0" w:color="1F4E78"/>
              <w:right w:val="nil"/>
            </w:tcBorders>
            <w:shd w:val="clear" w:color="000000" w:fill="FFFFFF"/>
            <w:vAlign w:val="bottom"/>
            <w:hideMark/>
          </w:tcPr>
          <w:p w:rsidR="006A5C15" w:rsidRPr="005E307C" w:rsidRDefault="006A5C15" w:rsidP="004B0055">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 of greyhounds</w:t>
            </w:r>
          </w:p>
        </w:tc>
      </w:tr>
      <w:tr w:rsidR="006A5C15" w:rsidRPr="006A5C15" w:rsidTr="004B0055">
        <w:trPr>
          <w:trHeight w:val="25"/>
        </w:trPr>
        <w:tc>
          <w:tcPr>
            <w:tcW w:w="2036" w:type="dxa"/>
            <w:tcBorders>
              <w:top w:val="nil"/>
              <w:left w:val="nil"/>
              <w:bottom w:val="nil"/>
              <w:right w:val="nil"/>
            </w:tcBorders>
            <w:shd w:val="clear" w:color="000000" w:fill="FFFFFF"/>
            <w:vAlign w:val="bottom"/>
            <w:hideMark/>
          </w:tcPr>
          <w:p w:rsidR="006A5C15" w:rsidRPr="006A5C15" w:rsidRDefault="006A5C15" w:rsidP="006A5C15">
            <w:pPr>
              <w:rPr>
                <w:rFonts w:eastAsia="Times New Roman" w:cs="Calibri"/>
                <w:sz w:val="20"/>
                <w:szCs w:val="20"/>
                <w:lang w:eastAsia="en-AU"/>
              </w:rPr>
            </w:pPr>
            <w:r w:rsidRPr="006A5C15">
              <w:rPr>
                <w:rFonts w:eastAsia="Times New Roman" w:cs="Calibri"/>
                <w:sz w:val="20"/>
                <w:szCs w:val="20"/>
                <w:lang w:eastAsia="en-AU"/>
              </w:rPr>
              <w:t xml:space="preserve">Large Breeders </w:t>
            </w:r>
          </w:p>
        </w:tc>
        <w:tc>
          <w:tcPr>
            <w:tcW w:w="2122" w:type="dxa"/>
            <w:tcBorders>
              <w:top w:val="nil"/>
              <w:left w:val="nil"/>
              <w:bottom w:val="nil"/>
              <w:right w:val="nil"/>
            </w:tcBorders>
            <w:shd w:val="clear" w:color="000000" w:fill="FFFFFF"/>
          </w:tcPr>
          <w:p w:rsidR="006A5C15" w:rsidRPr="006A5C15" w:rsidRDefault="006A5C15" w:rsidP="00ED7BD7">
            <w:pPr>
              <w:jc w:val="center"/>
              <w:rPr>
                <w:rFonts w:eastAsia="Times New Roman" w:cs="Calibri"/>
                <w:sz w:val="20"/>
                <w:szCs w:val="20"/>
                <w:lang w:eastAsia="en-AU"/>
              </w:rPr>
            </w:pPr>
            <w:r w:rsidRPr="004B0055">
              <w:rPr>
                <w:sz w:val="20"/>
              </w:rPr>
              <w:t>58</w:t>
            </w:r>
          </w:p>
        </w:tc>
        <w:tc>
          <w:tcPr>
            <w:tcW w:w="297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854</w:t>
            </w:r>
          </w:p>
        </w:tc>
        <w:tc>
          <w:tcPr>
            <w:tcW w:w="108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4.12%</w:t>
            </w:r>
          </w:p>
        </w:tc>
      </w:tr>
      <w:tr w:rsidR="006A5C15" w:rsidRPr="006A5C15" w:rsidTr="004B0055">
        <w:trPr>
          <w:trHeight w:val="60"/>
        </w:trPr>
        <w:tc>
          <w:tcPr>
            <w:tcW w:w="2036" w:type="dxa"/>
            <w:tcBorders>
              <w:top w:val="nil"/>
              <w:left w:val="nil"/>
              <w:bottom w:val="nil"/>
              <w:right w:val="nil"/>
            </w:tcBorders>
            <w:shd w:val="clear" w:color="000000" w:fill="FFFFFF"/>
            <w:vAlign w:val="bottom"/>
            <w:hideMark/>
          </w:tcPr>
          <w:p w:rsidR="006A5C15" w:rsidRPr="006A5C15" w:rsidRDefault="006A5C15" w:rsidP="006A5C15">
            <w:pPr>
              <w:rPr>
                <w:rFonts w:eastAsia="Times New Roman" w:cs="Calibri"/>
                <w:sz w:val="20"/>
                <w:szCs w:val="20"/>
                <w:lang w:eastAsia="en-AU"/>
              </w:rPr>
            </w:pPr>
            <w:r>
              <w:rPr>
                <w:rFonts w:eastAsia="Times New Roman" w:cs="Calibri"/>
                <w:sz w:val="20"/>
                <w:szCs w:val="20"/>
                <w:lang w:eastAsia="en-AU"/>
              </w:rPr>
              <w:t xml:space="preserve">Small </w:t>
            </w:r>
            <w:r w:rsidRPr="006A5C15">
              <w:rPr>
                <w:rFonts w:eastAsia="Times New Roman" w:cs="Calibri"/>
                <w:sz w:val="20"/>
                <w:szCs w:val="20"/>
                <w:lang w:eastAsia="en-AU"/>
              </w:rPr>
              <w:t>Breeders</w:t>
            </w:r>
          </w:p>
        </w:tc>
        <w:tc>
          <w:tcPr>
            <w:tcW w:w="2122" w:type="dxa"/>
            <w:tcBorders>
              <w:top w:val="nil"/>
              <w:left w:val="nil"/>
              <w:bottom w:val="nil"/>
              <w:right w:val="nil"/>
            </w:tcBorders>
            <w:shd w:val="clear" w:color="000000" w:fill="FFFFFF"/>
          </w:tcPr>
          <w:p w:rsidR="006A5C15" w:rsidRPr="006A5C15" w:rsidRDefault="006A5C15" w:rsidP="00ED7BD7">
            <w:pPr>
              <w:jc w:val="center"/>
              <w:rPr>
                <w:rFonts w:eastAsia="Times New Roman" w:cs="Calibri"/>
                <w:sz w:val="20"/>
                <w:szCs w:val="20"/>
                <w:lang w:eastAsia="en-AU"/>
              </w:rPr>
            </w:pPr>
            <w:r w:rsidRPr="004B0055">
              <w:rPr>
                <w:sz w:val="20"/>
              </w:rPr>
              <w:t>484</w:t>
            </w:r>
          </w:p>
        </w:tc>
        <w:tc>
          <w:tcPr>
            <w:tcW w:w="297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7,128</w:t>
            </w:r>
          </w:p>
        </w:tc>
        <w:tc>
          <w:tcPr>
            <w:tcW w:w="108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34.42%</w:t>
            </w:r>
          </w:p>
        </w:tc>
      </w:tr>
      <w:tr w:rsidR="006A5C15" w:rsidRPr="006A5C15" w:rsidTr="004B0055">
        <w:trPr>
          <w:trHeight w:val="60"/>
        </w:trPr>
        <w:tc>
          <w:tcPr>
            <w:tcW w:w="2036" w:type="dxa"/>
            <w:tcBorders>
              <w:top w:val="nil"/>
              <w:left w:val="nil"/>
              <w:bottom w:val="nil"/>
              <w:right w:val="nil"/>
            </w:tcBorders>
            <w:shd w:val="clear" w:color="000000" w:fill="FFFFFF"/>
            <w:vAlign w:val="bottom"/>
            <w:hideMark/>
          </w:tcPr>
          <w:p w:rsidR="006A5C15" w:rsidRPr="006A5C15" w:rsidRDefault="006A5C15" w:rsidP="006A5C15">
            <w:pPr>
              <w:rPr>
                <w:rFonts w:eastAsia="Times New Roman" w:cs="Calibri"/>
                <w:sz w:val="20"/>
                <w:szCs w:val="20"/>
                <w:lang w:eastAsia="en-AU"/>
              </w:rPr>
            </w:pPr>
            <w:r w:rsidRPr="006A5C15">
              <w:rPr>
                <w:rFonts w:eastAsia="Times New Roman" w:cs="Calibri"/>
                <w:sz w:val="20"/>
                <w:szCs w:val="20"/>
                <w:lang w:eastAsia="en-AU"/>
              </w:rPr>
              <w:t>Large Trainers</w:t>
            </w:r>
          </w:p>
        </w:tc>
        <w:tc>
          <w:tcPr>
            <w:tcW w:w="2122" w:type="dxa"/>
            <w:tcBorders>
              <w:top w:val="nil"/>
              <w:left w:val="nil"/>
              <w:bottom w:val="nil"/>
              <w:right w:val="nil"/>
            </w:tcBorders>
            <w:shd w:val="clear" w:color="000000" w:fill="FFFFFF"/>
          </w:tcPr>
          <w:p w:rsidR="006A5C15" w:rsidRPr="006A5C15" w:rsidRDefault="006A5C15" w:rsidP="00ED7BD7">
            <w:pPr>
              <w:jc w:val="center"/>
              <w:rPr>
                <w:rFonts w:eastAsia="Times New Roman" w:cs="Calibri"/>
                <w:sz w:val="20"/>
                <w:szCs w:val="20"/>
                <w:lang w:eastAsia="en-AU"/>
              </w:rPr>
            </w:pPr>
            <w:r w:rsidRPr="004B0055">
              <w:rPr>
                <w:sz w:val="20"/>
              </w:rPr>
              <w:t>255</w:t>
            </w:r>
          </w:p>
        </w:tc>
        <w:tc>
          <w:tcPr>
            <w:tcW w:w="297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1,906</w:t>
            </w:r>
          </w:p>
        </w:tc>
        <w:tc>
          <w:tcPr>
            <w:tcW w:w="108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9.20%</w:t>
            </w:r>
          </w:p>
        </w:tc>
      </w:tr>
      <w:tr w:rsidR="006A5C15" w:rsidRPr="006A5C15" w:rsidTr="004B0055">
        <w:trPr>
          <w:trHeight w:val="60"/>
        </w:trPr>
        <w:tc>
          <w:tcPr>
            <w:tcW w:w="2036" w:type="dxa"/>
            <w:tcBorders>
              <w:top w:val="nil"/>
              <w:left w:val="nil"/>
              <w:bottom w:val="nil"/>
              <w:right w:val="nil"/>
            </w:tcBorders>
            <w:shd w:val="clear" w:color="000000" w:fill="FFFFFF"/>
            <w:vAlign w:val="bottom"/>
            <w:hideMark/>
          </w:tcPr>
          <w:p w:rsidR="006A5C15" w:rsidRPr="006A5C15" w:rsidRDefault="006A5C15" w:rsidP="006A5C15">
            <w:pPr>
              <w:rPr>
                <w:rFonts w:eastAsia="Times New Roman" w:cs="Calibri"/>
                <w:sz w:val="20"/>
                <w:szCs w:val="20"/>
                <w:lang w:eastAsia="en-AU"/>
              </w:rPr>
            </w:pPr>
            <w:r w:rsidRPr="006A5C15">
              <w:rPr>
                <w:rFonts w:eastAsia="Times New Roman" w:cs="Calibri"/>
                <w:sz w:val="20"/>
                <w:szCs w:val="20"/>
                <w:lang w:eastAsia="en-AU"/>
              </w:rPr>
              <w:t>Small Trainers</w:t>
            </w:r>
          </w:p>
        </w:tc>
        <w:tc>
          <w:tcPr>
            <w:tcW w:w="2122" w:type="dxa"/>
            <w:tcBorders>
              <w:top w:val="nil"/>
              <w:left w:val="nil"/>
              <w:bottom w:val="nil"/>
              <w:right w:val="nil"/>
            </w:tcBorders>
            <w:shd w:val="clear" w:color="000000" w:fill="FFFFFF"/>
          </w:tcPr>
          <w:p w:rsidR="006A5C15" w:rsidRPr="006A5C15" w:rsidRDefault="006A5C15" w:rsidP="00ED7BD7">
            <w:pPr>
              <w:jc w:val="center"/>
              <w:rPr>
                <w:rFonts w:eastAsia="Times New Roman" w:cs="Calibri"/>
                <w:sz w:val="20"/>
                <w:szCs w:val="20"/>
                <w:lang w:eastAsia="en-AU"/>
              </w:rPr>
            </w:pPr>
            <w:r w:rsidRPr="004B0055">
              <w:rPr>
                <w:sz w:val="20"/>
              </w:rPr>
              <w:t>1,449</w:t>
            </w:r>
          </w:p>
        </w:tc>
        <w:tc>
          <w:tcPr>
            <w:tcW w:w="297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10,819</w:t>
            </w:r>
          </w:p>
        </w:tc>
        <w:tc>
          <w:tcPr>
            <w:tcW w:w="1087" w:type="dxa"/>
            <w:tcBorders>
              <w:top w:val="nil"/>
              <w:left w:val="nil"/>
              <w:bottom w:val="nil"/>
              <w:right w:val="nil"/>
            </w:tcBorders>
            <w:shd w:val="clear" w:color="000000" w:fill="FFFFFF"/>
            <w:noWrap/>
            <w:vAlign w:val="bottom"/>
            <w:hideMark/>
          </w:tcPr>
          <w:p w:rsidR="006A5C15" w:rsidRPr="006A5C15" w:rsidRDefault="006A5C15" w:rsidP="00ED7BD7">
            <w:pPr>
              <w:jc w:val="center"/>
              <w:rPr>
                <w:rFonts w:eastAsia="Times New Roman" w:cs="Calibri"/>
                <w:sz w:val="20"/>
                <w:szCs w:val="20"/>
                <w:lang w:eastAsia="en-AU"/>
              </w:rPr>
            </w:pPr>
            <w:r w:rsidRPr="006A5C15">
              <w:rPr>
                <w:rFonts w:eastAsia="Times New Roman" w:cs="Calibri"/>
                <w:sz w:val="20"/>
                <w:szCs w:val="20"/>
                <w:lang w:eastAsia="en-AU"/>
              </w:rPr>
              <w:t>52.25%</w:t>
            </w:r>
          </w:p>
        </w:tc>
      </w:tr>
      <w:tr w:rsidR="006A5C15" w:rsidRPr="006A5C15" w:rsidTr="004B0055">
        <w:trPr>
          <w:trHeight w:val="50"/>
        </w:trPr>
        <w:tc>
          <w:tcPr>
            <w:tcW w:w="2036" w:type="dxa"/>
            <w:tcBorders>
              <w:top w:val="single" w:sz="4" w:space="0" w:color="1F4E78"/>
              <w:left w:val="nil"/>
              <w:bottom w:val="single" w:sz="4" w:space="0" w:color="1F4E78"/>
              <w:right w:val="nil"/>
            </w:tcBorders>
            <w:shd w:val="clear" w:color="000000" w:fill="FFFFFF"/>
            <w:vAlign w:val="bottom"/>
            <w:hideMark/>
          </w:tcPr>
          <w:p w:rsidR="006A5C15" w:rsidRPr="006A5C15" w:rsidRDefault="006A5C15" w:rsidP="006A5C15">
            <w:pPr>
              <w:rPr>
                <w:rFonts w:eastAsia="Times New Roman" w:cs="Calibri"/>
                <w:b/>
                <w:bCs/>
                <w:i/>
                <w:iCs/>
                <w:sz w:val="20"/>
                <w:szCs w:val="20"/>
                <w:lang w:eastAsia="en-AU"/>
              </w:rPr>
            </w:pPr>
            <w:r w:rsidRPr="006A5C15">
              <w:rPr>
                <w:rFonts w:eastAsia="Times New Roman" w:cs="Calibri"/>
                <w:b/>
                <w:bCs/>
                <w:i/>
                <w:iCs/>
                <w:sz w:val="20"/>
                <w:szCs w:val="20"/>
                <w:lang w:eastAsia="en-AU"/>
              </w:rPr>
              <w:t>Total</w:t>
            </w:r>
          </w:p>
        </w:tc>
        <w:tc>
          <w:tcPr>
            <w:tcW w:w="2122" w:type="dxa"/>
            <w:tcBorders>
              <w:top w:val="single" w:sz="4" w:space="0" w:color="1F4E78"/>
              <w:left w:val="nil"/>
              <w:bottom w:val="single" w:sz="4" w:space="0" w:color="1F4E78"/>
              <w:right w:val="nil"/>
            </w:tcBorders>
            <w:shd w:val="clear" w:color="000000" w:fill="FFFFFF"/>
          </w:tcPr>
          <w:p w:rsidR="006A5C15" w:rsidRPr="006A5C15" w:rsidRDefault="006A5C15" w:rsidP="00ED7BD7">
            <w:pPr>
              <w:jc w:val="center"/>
              <w:rPr>
                <w:rFonts w:eastAsia="Times New Roman" w:cs="Calibri"/>
                <w:b/>
                <w:bCs/>
                <w:i/>
                <w:iCs/>
                <w:sz w:val="20"/>
                <w:szCs w:val="20"/>
                <w:lang w:eastAsia="en-AU"/>
              </w:rPr>
            </w:pPr>
            <w:r w:rsidRPr="004B0055">
              <w:rPr>
                <w:b/>
                <w:i/>
                <w:sz w:val="20"/>
              </w:rPr>
              <w:t>2,247</w:t>
            </w:r>
          </w:p>
        </w:tc>
        <w:tc>
          <w:tcPr>
            <w:tcW w:w="2977" w:type="dxa"/>
            <w:tcBorders>
              <w:top w:val="single" w:sz="4" w:space="0" w:color="1F4E78"/>
              <w:left w:val="nil"/>
              <w:bottom w:val="single" w:sz="4" w:space="0" w:color="1F4E78"/>
              <w:right w:val="nil"/>
            </w:tcBorders>
            <w:shd w:val="clear" w:color="000000" w:fill="FFFFFF"/>
            <w:noWrap/>
            <w:vAlign w:val="bottom"/>
            <w:hideMark/>
          </w:tcPr>
          <w:p w:rsidR="006A5C15" w:rsidRPr="006A5C15" w:rsidRDefault="006A5C15" w:rsidP="00ED7BD7">
            <w:pPr>
              <w:jc w:val="center"/>
              <w:rPr>
                <w:rFonts w:eastAsia="Times New Roman" w:cs="Calibri"/>
                <w:b/>
                <w:bCs/>
                <w:i/>
                <w:iCs/>
                <w:sz w:val="20"/>
                <w:szCs w:val="20"/>
                <w:lang w:eastAsia="en-AU"/>
              </w:rPr>
            </w:pPr>
            <w:r w:rsidRPr="006A5C15">
              <w:rPr>
                <w:rFonts w:eastAsia="Times New Roman" w:cs="Calibri"/>
                <w:b/>
                <w:bCs/>
                <w:i/>
                <w:iCs/>
                <w:sz w:val="20"/>
                <w:szCs w:val="20"/>
                <w:lang w:eastAsia="en-AU"/>
              </w:rPr>
              <w:t>20,706</w:t>
            </w:r>
          </w:p>
        </w:tc>
        <w:tc>
          <w:tcPr>
            <w:tcW w:w="1087" w:type="dxa"/>
            <w:tcBorders>
              <w:top w:val="single" w:sz="4" w:space="0" w:color="1F4E78"/>
              <w:left w:val="nil"/>
              <w:bottom w:val="single" w:sz="4" w:space="0" w:color="1F4E78"/>
              <w:right w:val="nil"/>
            </w:tcBorders>
            <w:shd w:val="clear" w:color="000000" w:fill="FFFFFF"/>
            <w:noWrap/>
            <w:vAlign w:val="bottom"/>
            <w:hideMark/>
          </w:tcPr>
          <w:p w:rsidR="006A5C15" w:rsidRPr="006A5C15" w:rsidRDefault="006A5C15" w:rsidP="00ED7BD7">
            <w:pPr>
              <w:jc w:val="center"/>
              <w:rPr>
                <w:rFonts w:eastAsia="Times New Roman" w:cs="Calibri"/>
                <w:b/>
                <w:bCs/>
                <w:i/>
                <w:iCs/>
                <w:sz w:val="20"/>
                <w:szCs w:val="20"/>
                <w:lang w:eastAsia="en-AU"/>
              </w:rPr>
            </w:pPr>
            <w:r w:rsidRPr="006A5C15">
              <w:rPr>
                <w:rFonts w:eastAsia="Times New Roman" w:cs="Calibri"/>
                <w:b/>
                <w:bCs/>
                <w:i/>
                <w:iCs/>
                <w:sz w:val="20"/>
                <w:szCs w:val="20"/>
                <w:lang w:eastAsia="en-AU"/>
              </w:rPr>
              <w:t>100.00%</w:t>
            </w:r>
          </w:p>
        </w:tc>
      </w:tr>
    </w:tbl>
    <w:p w:rsidR="002B4D5C" w:rsidRPr="004B0055" w:rsidRDefault="00A97302">
      <w:pPr>
        <w:autoSpaceDE w:val="0"/>
        <w:autoSpaceDN w:val="0"/>
        <w:adjustRightInd w:val="0"/>
        <w:jc w:val="both"/>
        <w:rPr>
          <w:rFonts w:cs="Arial-BoldMT"/>
          <w:bCs/>
          <w:sz w:val="18"/>
        </w:rPr>
      </w:pPr>
      <w:r w:rsidRPr="004F3854">
        <w:rPr>
          <w:rFonts w:cs="Arial-BoldMT"/>
          <w:bCs/>
          <w:sz w:val="18"/>
        </w:rPr>
        <w:t>*</w:t>
      </w:r>
      <w:r>
        <w:rPr>
          <w:rFonts w:cs="Arial-BoldMT"/>
          <w:bCs/>
          <w:sz w:val="18"/>
        </w:rPr>
        <w:t>S</w:t>
      </w:r>
      <w:r w:rsidR="004F3854">
        <w:rPr>
          <w:rFonts w:cs="Arial-BoldMT"/>
          <w:bCs/>
          <w:sz w:val="18"/>
        </w:rPr>
        <w:t>ee Table 4 for estimates.</w:t>
      </w:r>
      <w:r w:rsidR="006A5C15" w:rsidRPr="004B0055">
        <w:rPr>
          <w:rFonts w:cs="Arial-BoldMT"/>
          <w:bCs/>
          <w:sz w:val="18"/>
        </w:rPr>
        <w:t xml:space="preserve"> </w:t>
      </w:r>
      <w:r w:rsidR="006A5C15" w:rsidRPr="004B0055">
        <w:rPr>
          <w:rFonts w:cs="Arial-BoldMT"/>
          <w:bCs/>
          <w:sz w:val="18"/>
          <w:vertAlign w:val="superscript"/>
        </w:rPr>
        <w:t>#</w:t>
      </w:r>
      <w:r w:rsidRPr="004B0055">
        <w:rPr>
          <w:rFonts w:cs="Arial-BoldMT"/>
          <w:bCs/>
          <w:sz w:val="18"/>
        </w:rPr>
        <w:t>See Table 5 for source of estimates</w:t>
      </w:r>
      <w:r w:rsidR="004F3854">
        <w:rPr>
          <w:rFonts w:cs="Arial-BoldMT"/>
          <w:bCs/>
          <w:sz w:val="18"/>
        </w:rPr>
        <w:t>.</w:t>
      </w:r>
    </w:p>
    <w:p w:rsidR="002B4D5C" w:rsidRDefault="002B4D5C" w:rsidP="00673E43">
      <w:pPr>
        <w:autoSpaceDE w:val="0"/>
        <w:autoSpaceDN w:val="0"/>
        <w:adjustRightInd w:val="0"/>
        <w:jc w:val="both"/>
        <w:rPr>
          <w:rFonts w:cs="Arial-BoldMT"/>
          <w:bCs/>
        </w:rPr>
      </w:pPr>
    </w:p>
    <w:p w:rsidR="00F865D0" w:rsidRPr="004B0055" w:rsidRDefault="00F865D0" w:rsidP="00673E43">
      <w:pPr>
        <w:autoSpaceDE w:val="0"/>
        <w:autoSpaceDN w:val="0"/>
        <w:adjustRightInd w:val="0"/>
        <w:jc w:val="both"/>
        <w:rPr>
          <w:rFonts w:cs="Arial-BoldMT"/>
          <w:bCs/>
        </w:rPr>
      </w:pPr>
      <w:r>
        <w:rPr>
          <w:rFonts w:cs="Arial-BoldMT"/>
          <w:bCs/>
        </w:rPr>
        <w:t xml:space="preserve">Greyhounds that do not participate in the </w:t>
      </w:r>
      <w:r w:rsidRPr="00F865D0">
        <w:rPr>
          <w:rFonts w:cs="Arial-BoldMT"/>
          <w:bCs/>
        </w:rPr>
        <w:t>racing industry have a life expectancy of between approximately 12 and 15 years</w:t>
      </w:r>
      <w:r>
        <w:rPr>
          <w:rFonts w:cs="Arial-BoldMT"/>
          <w:bCs/>
        </w:rPr>
        <w:t xml:space="preserve"> and for those that do participate racing </w:t>
      </w:r>
      <w:r w:rsidR="007A2D31">
        <w:rPr>
          <w:rFonts w:cs="Arial-BoldMT"/>
          <w:bCs/>
        </w:rPr>
        <w:t xml:space="preserve">usually </w:t>
      </w:r>
      <w:r>
        <w:rPr>
          <w:rFonts w:cs="Arial-BoldMT"/>
          <w:bCs/>
        </w:rPr>
        <w:t>begin</w:t>
      </w:r>
      <w:r w:rsidR="00261766">
        <w:rPr>
          <w:rFonts w:cs="Arial-BoldMT"/>
          <w:bCs/>
        </w:rPr>
        <w:t>s at 16 months</w:t>
      </w:r>
      <w:r w:rsidR="007A2D31">
        <w:rPr>
          <w:rFonts w:cs="Arial-BoldMT"/>
          <w:bCs/>
        </w:rPr>
        <w:t>, after breaking in</w:t>
      </w:r>
      <w:r w:rsidR="00FD0B75">
        <w:rPr>
          <w:rFonts w:cs="Arial-BoldMT"/>
          <w:bCs/>
        </w:rPr>
        <w:t>.</w:t>
      </w:r>
      <w:r w:rsidR="00261766">
        <w:rPr>
          <w:rFonts w:cs="Arial-BoldMT"/>
          <w:bCs/>
        </w:rPr>
        <w:t xml:space="preserve"> R</w:t>
      </w:r>
      <w:r w:rsidR="00673E43" w:rsidRPr="00006521">
        <w:rPr>
          <w:rFonts w:cs="Arial-BoldMT"/>
          <w:bCs/>
        </w:rPr>
        <w:t>etirement</w:t>
      </w:r>
      <w:r w:rsidR="0099432E">
        <w:rPr>
          <w:rFonts w:cs="Arial-BoldMT"/>
          <w:bCs/>
        </w:rPr>
        <w:t xml:space="preserve">, from racing, </w:t>
      </w:r>
      <w:r w:rsidR="007A2D31">
        <w:rPr>
          <w:rFonts w:cs="Arial-BoldMT"/>
          <w:bCs/>
        </w:rPr>
        <w:t xml:space="preserve">most commonly </w:t>
      </w:r>
      <w:r>
        <w:rPr>
          <w:rFonts w:cs="Arial-BoldMT"/>
          <w:bCs/>
        </w:rPr>
        <w:t>occur</w:t>
      </w:r>
      <w:r w:rsidR="007A2D31">
        <w:rPr>
          <w:rFonts w:cs="Arial-BoldMT"/>
          <w:bCs/>
        </w:rPr>
        <w:t>s</w:t>
      </w:r>
      <w:r>
        <w:rPr>
          <w:rFonts w:cs="Arial-BoldMT"/>
          <w:bCs/>
        </w:rPr>
        <w:t xml:space="preserve"> </w:t>
      </w:r>
      <w:r w:rsidR="00673E43" w:rsidRPr="00006521">
        <w:rPr>
          <w:rFonts w:cs="Arial-BoldMT"/>
          <w:bCs/>
        </w:rPr>
        <w:t>anywhere between two and five years of age.</w:t>
      </w:r>
      <w:r w:rsidR="007B521C">
        <w:rPr>
          <w:rFonts w:cs="Arial-BoldMT"/>
          <w:bCs/>
        </w:rPr>
        <w:t xml:space="preserve"> </w:t>
      </w:r>
      <w:r w:rsidR="00673E43" w:rsidRPr="00006521">
        <w:rPr>
          <w:rFonts w:cs="Arial-BoldMT"/>
          <w:bCs/>
        </w:rPr>
        <w:t>Each stage in the animal’s lifecycle presents a potential risk of ‘failure’ to</w:t>
      </w:r>
      <w:r w:rsidR="00006521">
        <w:rPr>
          <w:rFonts w:cs="Arial-BoldMT"/>
          <w:bCs/>
        </w:rPr>
        <w:t xml:space="preserve"> become or</w:t>
      </w:r>
      <w:r w:rsidR="00673E43" w:rsidRPr="00006521">
        <w:rPr>
          <w:rFonts w:cs="Arial-BoldMT"/>
          <w:bCs/>
        </w:rPr>
        <w:t xml:space="preserve"> stay on as a racing animal</w:t>
      </w:r>
      <w:r w:rsidR="00751CAF">
        <w:rPr>
          <w:rFonts w:cs="Arial-BoldMT"/>
          <w:bCs/>
        </w:rPr>
        <w:t>;</w:t>
      </w:r>
      <w:r w:rsidR="00673E43" w:rsidRPr="00006521">
        <w:rPr>
          <w:rFonts w:cs="Arial-BoldMT"/>
          <w:bCs/>
        </w:rPr>
        <w:t xml:space="preserve"> </w:t>
      </w:r>
      <w:r w:rsidR="00751CAF">
        <w:rPr>
          <w:rFonts w:cs="Arial-BoldMT"/>
          <w:bCs/>
        </w:rPr>
        <w:t>resulting in an</w:t>
      </w:r>
      <w:r w:rsidR="00673E43" w:rsidRPr="00006521">
        <w:rPr>
          <w:rFonts w:cs="Arial-BoldMT"/>
          <w:bCs/>
        </w:rPr>
        <w:t xml:space="preserve"> ‘exit’ from the industry.</w:t>
      </w:r>
      <w:r w:rsidR="00385A2C">
        <w:rPr>
          <w:rFonts w:cs="Arial-BoldMT"/>
          <w:bCs/>
        </w:rPr>
        <w:t xml:space="preserve"> </w:t>
      </w:r>
      <w:r>
        <w:rPr>
          <w:rFonts w:cs="Arial-BoldMT"/>
          <w:bCs/>
        </w:rPr>
        <w:t>The stages of the</w:t>
      </w:r>
      <w:r w:rsidR="00461EF3">
        <w:rPr>
          <w:rFonts w:cs="Arial-BoldMT"/>
          <w:bCs/>
        </w:rPr>
        <w:t xml:space="preserve"> greyhound</w:t>
      </w:r>
      <w:r>
        <w:rPr>
          <w:rFonts w:cs="Arial-BoldMT"/>
          <w:bCs/>
        </w:rPr>
        <w:t xml:space="preserve"> </w:t>
      </w:r>
      <w:r w:rsidR="004851C1">
        <w:rPr>
          <w:rFonts w:cs="Arial-BoldMT"/>
          <w:bCs/>
        </w:rPr>
        <w:t>lifecycle</w:t>
      </w:r>
      <w:r>
        <w:rPr>
          <w:rFonts w:cs="Arial-BoldMT"/>
          <w:bCs/>
        </w:rPr>
        <w:t xml:space="preserve"> are outlined in more detail in the following sections.</w:t>
      </w:r>
    </w:p>
    <w:p w:rsidR="001E34D4" w:rsidRPr="00B97428" w:rsidRDefault="001E34D4" w:rsidP="00673E43">
      <w:pPr>
        <w:autoSpaceDE w:val="0"/>
        <w:autoSpaceDN w:val="0"/>
        <w:adjustRightInd w:val="0"/>
        <w:jc w:val="both"/>
        <w:rPr>
          <w:rFonts w:cs="Arial-BoldMT"/>
          <w:bCs/>
          <w:sz w:val="18"/>
        </w:rPr>
      </w:pPr>
    </w:p>
    <w:p w:rsidR="00C02451" w:rsidRDefault="00C02451">
      <w:pPr>
        <w:rPr>
          <w:rStyle w:val="Heading3Char"/>
        </w:rPr>
      </w:pPr>
      <w:bookmarkStart w:id="33" w:name="_Toc469529135"/>
      <w:r>
        <w:rPr>
          <w:rStyle w:val="Heading3Char"/>
        </w:rPr>
        <w:br w:type="page"/>
      </w:r>
    </w:p>
    <w:p w:rsidR="00361051" w:rsidRPr="005E307C" w:rsidRDefault="007D66E7" w:rsidP="005E307C">
      <w:pPr>
        <w:pStyle w:val="Heading3"/>
      </w:pPr>
      <w:bookmarkStart w:id="34" w:name="_Toc477190146"/>
      <w:r w:rsidRPr="005E307C">
        <w:lastRenderedPageBreak/>
        <w:t>1.2.1 Mating stage</w:t>
      </w:r>
      <w:bookmarkEnd w:id="33"/>
      <w:bookmarkEnd w:id="34"/>
      <w:r w:rsidR="00A17077" w:rsidRPr="005E307C">
        <w:t xml:space="preserve"> </w:t>
      </w:r>
      <w:r w:rsidR="00361051" w:rsidRPr="005E307C">
        <w:tab/>
      </w:r>
    </w:p>
    <w:p w:rsidR="00666486" w:rsidRPr="00544E01" w:rsidRDefault="00697276" w:rsidP="006279DD">
      <w:pPr>
        <w:jc w:val="both"/>
      </w:pPr>
      <w:r>
        <w:rPr>
          <w:rFonts w:asciiTheme="majorHAnsi" w:hAnsiTheme="majorHAnsi"/>
        </w:rPr>
        <w:t xml:space="preserve">The mating stage </w:t>
      </w:r>
      <w:r w:rsidR="00822F30">
        <w:rPr>
          <w:rFonts w:asciiTheme="majorHAnsi" w:hAnsiTheme="majorHAnsi"/>
        </w:rPr>
        <w:t xml:space="preserve">involves </w:t>
      </w:r>
      <w:r>
        <w:rPr>
          <w:rFonts w:asciiTheme="majorHAnsi" w:hAnsiTheme="majorHAnsi"/>
        </w:rPr>
        <w:t xml:space="preserve">the need to breed more greyhounds, </w:t>
      </w:r>
      <w:r w:rsidR="00822F30">
        <w:rPr>
          <w:rFonts w:asciiTheme="majorHAnsi" w:hAnsiTheme="majorHAnsi"/>
        </w:rPr>
        <w:t xml:space="preserve">through </w:t>
      </w:r>
      <w:r>
        <w:rPr>
          <w:rFonts w:asciiTheme="majorHAnsi" w:hAnsiTheme="majorHAnsi"/>
        </w:rPr>
        <w:t>the selection of the right male and female, the care of the bitch during pregnancy and the care and management of the pups in the very early stages of their life.</w:t>
      </w:r>
      <w:r w:rsidR="002C31C9">
        <w:rPr>
          <w:rFonts w:asciiTheme="majorHAnsi" w:hAnsiTheme="majorHAnsi"/>
        </w:rPr>
        <w:t xml:space="preserve"> </w:t>
      </w:r>
      <w:r w:rsidR="0031762B">
        <w:rPr>
          <w:rFonts w:asciiTheme="majorHAnsi" w:hAnsiTheme="majorHAnsi"/>
        </w:rPr>
        <w:t>GRV require</w:t>
      </w:r>
      <w:r w:rsidR="007A2D31">
        <w:rPr>
          <w:rFonts w:asciiTheme="majorHAnsi" w:hAnsiTheme="majorHAnsi"/>
        </w:rPr>
        <w:t>s</w:t>
      </w:r>
      <w:r w:rsidR="0031762B">
        <w:rPr>
          <w:rFonts w:asciiTheme="majorHAnsi" w:hAnsiTheme="majorHAnsi"/>
        </w:rPr>
        <w:t xml:space="preserve"> every breeder to be registered</w:t>
      </w:r>
      <w:r w:rsidR="00646E11">
        <w:rPr>
          <w:rFonts w:asciiTheme="majorHAnsi" w:hAnsiTheme="majorHAnsi"/>
        </w:rPr>
        <w:t xml:space="preserve"> with a breeder prefix.</w:t>
      </w:r>
      <w:r w:rsidR="0031762B">
        <w:rPr>
          <w:rFonts w:asciiTheme="majorHAnsi" w:hAnsiTheme="majorHAnsi"/>
        </w:rPr>
        <w:t xml:space="preserve"> </w:t>
      </w:r>
      <w:r w:rsidR="00646E11">
        <w:rPr>
          <w:rFonts w:asciiTheme="majorHAnsi" w:hAnsiTheme="majorHAnsi"/>
        </w:rPr>
        <w:t>T</w:t>
      </w:r>
      <w:r w:rsidR="0031762B" w:rsidRPr="00666486">
        <w:t xml:space="preserve">here </w:t>
      </w:r>
      <w:r w:rsidR="004851C1">
        <w:t>were</w:t>
      </w:r>
      <w:r w:rsidR="0031762B" w:rsidRPr="00666486">
        <w:rPr>
          <w:color w:val="00B050"/>
        </w:rPr>
        <w:t xml:space="preserve"> </w:t>
      </w:r>
      <w:r w:rsidR="00941200">
        <w:t>2,377</w:t>
      </w:r>
      <w:r w:rsidR="0031762B" w:rsidRPr="00666486">
        <w:t xml:space="preserve"> </w:t>
      </w:r>
      <w:r w:rsidR="00FD2901">
        <w:t>registered</w:t>
      </w:r>
      <w:r w:rsidR="00FD2901" w:rsidRPr="00666486">
        <w:t xml:space="preserve"> </w:t>
      </w:r>
      <w:r w:rsidR="0031762B" w:rsidRPr="00666486">
        <w:t>breeders</w:t>
      </w:r>
      <w:r w:rsidR="002C31C9">
        <w:t xml:space="preserve"> as at 30 June 2016</w:t>
      </w:r>
      <w:r w:rsidR="0031762B" w:rsidRPr="004B0055">
        <w:rPr>
          <w:vertAlign w:val="superscript"/>
        </w:rPr>
        <w:footnoteReference w:id="32"/>
      </w:r>
      <w:r w:rsidR="0031762B" w:rsidRPr="004B0055">
        <w:t>.</w:t>
      </w:r>
      <w:r w:rsidR="007B521C">
        <w:t xml:space="preserve"> </w:t>
      </w:r>
      <w:r w:rsidR="006279DD">
        <w:t>To be able to participate in any aspect of the industry a person has to be registered as a participant. Registration peri</w:t>
      </w:r>
      <w:r w:rsidR="00C059D6">
        <w:t xml:space="preserve">ods </w:t>
      </w:r>
      <w:r w:rsidR="008C6428">
        <w:t xml:space="preserve">are </w:t>
      </w:r>
      <w:r w:rsidR="00FD2901">
        <w:t xml:space="preserve">typically </w:t>
      </w:r>
      <w:r w:rsidR="00C059D6">
        <w:t>as follows; Owner – 5 Years; Catcher/Attendant/ Owner Trainer/Public Trainer/Breeder/</w:t>
      </w:r>
      <w:r w:rsidR="006279DD">
        <w:t xml:space="preserve">Owner Breeder – either 1 or 3 years depending on </w:t>
      </w:r>
      <w:r w:rsidR="008C6428">
        <w:t xml:space="preserve">the </w:t>
      </w:r>
      <w:r w:rsidR="006279DD">
        <w:t>option</w:t>
      </w:r>
      <w:r w:rsidR="00C059D6">
        <w:t xml:space="preserve"> chosen</w:t>
      </w:r>
      <w:r w:rsidR="006279DD">
        <w:t>.</w:t>
      </w:r>
      <w:r w:rsidR="007B521C">
        <w:t xml:space="preserve"> </w:t>
      </w:r>
      <w:r w:rsidR="00D27FD5">
        <w:t>Most breeders are small scale operators (breeding 1 or 2 litters in a year)</w:t>
      </w:r>
      <w:r w:rsidR="00646E11">
        <w:t>.</w:t>
      </w:r>
      <w:r w:rsidR="007B521C">
        <w:t xml:space="preserve"> </w:t>
      </w:r>
      <w:r w:rsidR="00F319C2">
        <w:t>Around 12</w:t>
      </w:r>
      <w:r w:rsidR="00D27FD5">
        <w:t xml:space="preserve">% </w:t>
      </w:r>
      <w:r w:rsidR="00646E11">
        <w:t xml:space="preserve">of </w:t>
      </w:r>
      <w:r w:rsidR="00F319C2">
        <w:t xml:space="preserve">unique </w:t>
      </w:r>
      <w:r w:rsidR="00646E11">
        <w:t>breeders would be considered</w:t>
      </w:r>
      <w:r w:rsidR="00D27FD5">
        <w:t xml:space="preserve"> large </w:t>
      </w:r>
      <w:r w:rsidR="00646E11">
        <w:t xml:space="preserve">breeders </w:t>
      </w:r>
      <w:r w:rsidR="00D27FD5">
        <w:t>(3 or more litters in a year)</w:t>
      </w:r>
      <w:r w:rsidR="00D27FD5" w:rsidRPr="00666486">
        <w:rPr>
          <w:color w:val="000000" w:themeColor="text1"/>
          <w:vertAlign w:val="superscript"/>
        </w:rPr>
        <w:footnoteReference w:id="33"/>
      </w:r>
      <w:r w:rsidR="00F319C2">
        <w:t xml:space="preserve"> (see ratio of small to large breeders in Table 2)</w:t>
      </w:r>
      <w:r w:rsidR="00646E11">
        <w:t>. Thus,</w:t>
      </w:r>
      <w:r w:rsidR="00D27FD5">
        <w:t xml:space="preserve"> breeding is generally carried out by small</w:t>
      </w:r>
      <w:r w:rsidR="00304CF0">
        <w:t>er</w:t>
      </w:r>
      <w:r w:rsidR="00D27FD5">
        <w:t xml:space="preserve"> operators w</w:t>
      </w:r>
      <w:r w:rsidR="00FC397D">
        <w:t xml:space="preserve">ho may have </w:t>
      </w:r>
      <w:r w:rsidR="00D27FD5">
        <w:t>limited insight</w:t>
      </w:r>
      <w:r w:rsidR="00FC397D">
        <w:t xml:space="preserve"> and resources</w:t>
      </w:r>
      <w:r w:rsidR="00D27FD5">
        <w:t xml:space="preserve"> to developing strategic breeding plans.</w:t>
      </w:r>
    </w:p>
    <w:p w:rsidR="00666486" w:rsidRDefault="00666486" w:rsidP="00666486">
      <w:pPr>
        <w:jc w:val="both"/>
        <w:rPr>
          <w:rFonts w:asciiTheme="majorHAnsi" w:hAnsiTheme="majorHAnsi"/>
        </w:rPr>
      </w:pPr>
    </w:p>
    <w:p w:rsidR="007D66E7" w:rsidRDefault="007D66E7" w:rsidP="005E307C">
      <w:pPr>
        <w:pStyle w:val="Heading3"/>
      </w:pPr>
      <w:bookmarkStart w:id="35" w:name="_Toc469529136"/>
      <w:bookmarkStart w:id="36" w:name="_Toc477190147"/>
      <w:r>
        <w:t>1.2.2 Whelping Stage</w:t>
      </w:r>
      <w:bookmarkEnd w:id="35"/>
      <w:bookmarkEnd w:id="36"/>
    </w:p>
    <w:p w:rsidR="00CE2BCB" w:rsidRDefault="00CE2BCB" w:rsidP="00CE2BCB">
      <w:pPr>
        <w:jc w:val="both"/>
      </w:pPr>
      <w:r>
        <w:t>There were 4,068 pups whelped in 2015-16 (see Table 5).</w:t>
      </w:r>
      <w:r w:rsidR="007B521C">
        <w:t xml:space="preserve"> </w:t>
      </w:r>
      <w:r w:rsidR="0031762B">
        <w:t>The whelping stage covers birth to 1</w:t>
      </w:r>
      <w:r w:rsidR="004B22EF">
        <w:t>6</w:t>
      </w:r>
      <w:r w:rsidR="0031762B">
        <w:t xml:space="preserve"> weeks of age</w:t>
      </w:r>
      <w:r w:rsidR="00DE6968">
        <w:t xml:space="preserve"> and is carried out by a breeder</w:t>
      </w:r>
      <w:r w:rsidR="00DE6968">
        <w:rPr>
          <w:rStyle w:val="FootnoteReference"/>
        </w:rPr>
        <w:footnoteReference w:id="34"/>
      </w:r>
      <w:r w:rsidR="00DE6968">
        <w:t>.</w:t>
      </w:r>
      <w:r w:rsidR="007B521C">
        <w:t xml:space="preserve"> </w:t>
      </w:r>
      <w:r w:rsidR="00822F30">
        <w:t xml:space="preserve">Pups </w:t>
      </w:r>
      <w:r w:rsidR="000C6A80">
        <w:t xml:space="preserve">are </w:t>
      </w:r>
      <w:r>
        <w:t xml:space="preserve">raised in litters and </w:t>
      </w:r>
      <w:r w:rsidR="000C6A80">
        <w:t xml:space="preserve">generally weaned at around </w:t>
      </w:r>
      <w:r w:rsidR="004B22EF">
        <w:t>6 to 12</w:t>
      </w:r>
      <w:r w:rsidR="000C6A80">
        <w:t xml:space="preserve"> weeks of age, </w:t>
      </w:r>
      <w:r>
        <w:t xml:space="preserve">when </w:t>
      </w:r>
      <w:r w:rsidR="000C6A80">
        <w:t xml:space="preserve">they </w:t>
      </w:r>
      <w:r w:rsidR="00FD2901">
        <w:t xml:space="preserve">may be </w:t>
      </w:r>
      <w:r w:rsidR="000C6A80">
        <w:t xml:space="preserve">sold </w:t>
      </w:r>
      <w:r w:rsidR="00FD2901">
        <w:t xml:space="preserve">or transferred </w:t>
      </w:r>
      <w:r w:rsidR="000C6A80">
        <w:t>and move to the rearing stage (</w:t>
      </w:r>
      <w:r>
        <w:t xml:space="preserve">see </w:t>
      </w:r>
      <w:r w:rsidR="000C6A80">
        <w:t xml:space="preserve">1.2.3), </w:t>
      </w:r>
      <w:r>
        <w:t xml:space="preserve">and </w:t>
      </w:r>
      <w:r w:rsidR="007A2D31">
        <w:t>often</w:t>
      </w:r>
      <w:r w:rsidR="000C6A80">
        <w:t xml:space="preserve"> moved off the property to a rearer</w:t>
      </w:r>
      <w:r w:rsidR="00FD0B75">
        <w:t xml:space="preserve">. </w:t>
      </w:r>
      <w:r>
        <w:rPr>
          <w:rFonts w:asciiTheme="majorHAnsi" w:hAnsiTheme="majorHAnsi"/>
        </w:rPr>
        <w:t>GRV require every litter to be registered within seven days of birth</w:t>
      </w:r>
      <w:r w:rsidR="00670E89">
        <w:rPr>
          <w:rFonts w:asciiTheme="majorHAnsi" w:hAnsiTheme="majorHAnsi"/>
        </w:rPr>
        <w:t xml:space="preserve"> including the number of dogs in a litter, as well as the sex of the dog</w:t>
      </w:r>
      <w:r>
        <w:rPr>
          <w:rFonts w:asciiTheme="majorHAnsi" w:hAnsiTheme="majorHAnsi"/>
        </w:rPr>
        <w:t xml:space="preserve">. </w:t>
      </w:r>
      <w:r w:rsidR="00FD2901">
        <w:rPr>
          <w:rFonts w:asciiTheme="majorHAnsi" w:hAnsiTheme="majorHAnsi"/>
        </w:rPr>
        <w:t>I</w:t>
      </w:r>
      <w:r>
        <w:rPr>
          <w:rFonts w:asciiTheme="majorHAnsi" w:hAnsiTheme="majorHAnsi"/>
        </w:rPr>
        <w:t xml:space="preserve">ndividual dogs are registered </w:t>
      </w:r>
      <w:r w:rsidR="00FD2901">
        <w:rPr>
          <w:rFonts w:asciiTheme="majorHAnsi" w:hAnsiTheme="majorHAnsi"/>
        </w:rPr>
        <w:t xml:space="preserve">with GRV during the period of </w:t>
      </w:r>
      <w:r>
        <w:rPr>
          <w:rFonts w:asciiTheme="majorHAnsi" w:hAnsiTheme="majorHAnsi"/>
        </w:rPr>
        <w:t>12-16 weeks of age when they are vaccinated, microchipped and ear branded</w:t>
      </w:r>
      <w:r>
        <w:t>.</w:t>
      </w:r>
      <w:r w:rsidR="007B521C">
        <w:t xml:space="preserve"> </w:t>
      </w:r>
      <w:r>
        <w:t xml:space="preserve">During the </w:t>
      </w:r>
      <w:r w:rsidR="00FD2901">
        <w:t xml:space="preserve">transfer or </w:t>
      </w:r>
      <w:r>
        <w:t xml:space="preserve">sale process, an owner may not necessarily take possession of the greyhound, but </w:t>
      </w:r>
      <w:r w:rsidR="007A2D31">
        <w:t xml:space="preserve">may </w:t>
      </w:r>
      <w:r>
        <w:t xml:space="preserve">pay to have the animal cared for and trained through the various stages of the lifecycle (see Chart 2 in this RIS). The owner may have very little contact or knowledge of the care or management of their greyhound. </w:t>
      </w:r>
    </w:p>
    <w:p w:rsidR="00023258" w:rsidRDefault="00023258" w:rsidP="00CE2BCB">
      <w:pPr>
        <w:jc w:val="both"/>
      </w:pPr>
    </w:p>
    <w:p w:rsidR="001B593F" w:rsidRDefault="007D66E7" w:rsidP="005E307C">
      <w:pPr>
        <w:pStyle w:val="Heading3"/>
      </w:pPr>
      <w:bookmarkStart w:id="37" w:name="_Toc469529137"/>
      <w:bookmarkStart w:id="38" w:name="_Toc477190148"/>
      <w:r>
        <w:t>1.2.3 Rearing Stage</w:t>
      </w:r>
      <w:bookmarkEnd w:id="37"/>
      <w:bookmarkEnd w:id="38"/>
    </w:p>
    <w:p w:rsidR="001B593F" w:rsidRDefault="00047665" w:rsidP="001B593F">
      <w:pPr>
        <w:jc w:val="both"/>
      </w:pPr>
      <w:r>
        <w:t>Puppies a</w:t>
      </w:r>
      <w:r w:rsidR="00385A2C">
        <w:t>r</w:t>
      </w:r>
      <w:r>
        <w:t>e grown up, or ‘reared’</w:t>
      </w:r>
      <w:r w:rsidR="00DE6968">
        <w:t xml:space="preserve"> by a breeder</w:t>
      </w:r>
      <w:r>
        <w:t xml:space="preserve"> from the time they are weaned until they are ready for the</w:t>
      </w:r>
      <w:r w:rsidR="00FD2901">
        <w:t xml:space="preserve"> education/</w:t>
      </w:r>
      <w:r>
        <w:t xml:space="preserve">breaking in process (see 1.2.4) </w:t>
      </w:r>
      <w:r w:rsidR="003B6C1E">
        <w:t xml:space="preserve">that </w:t>
      </w:r>
      <w:r w:rsidR="004851C1">
        <w:t>usually</w:t>
      </w:r>
      <w:r w:rsidR="003B6C1E">
        <w:t xml:space="preserve"> starts from 13 to 14 months of age</w:t>
      </w:r>
      <w:r w:rsidR="003B6C1E">
        <w:rPr>
          <w:rStyle w:val="FootnoteReference"/>
        </w:rPr>
        <w:footnoteReference w:id="35"/>
      </w:r>
      <w:r w:rsidR="003B6C1E">
        <w:t>.</w:t>
      </w:r>
      <w:r w:rsidR="007B521C">
        <w:t xml:space="preserve"> </w:t>
      </w:r>
      <w:r w:rsidR="00646E11">
        <w:t xml:space="preserve">It is during this period of the </w:t>
      </w:r>
      <w:r w:rsidR="00B17D58">
        <w:t>lifecycle</w:t>
      </w:r>
      <w:r w:rsidR="00646E11">
        <w:t xml:space="preserve"> that the greyhounds </w:t>
      </w:r>
      <w:r w:rsidR="00FD2901">
        <w:t xml:space="preserve">may be </w:t>
      </w:r>
      <w:r w:rsidR="00EA1003">
        <w:t xml:space="preserve">moved to another </w:t>
      </w:r>
      <w:r w:rsidR="00FD2901">
        <w:t xml:space="preserve">participant </w:t>
      </w:r>
      <w:r w:rsidR="00EA1003">
        <w:t xml:space="preserve">for </w:t>
      </w:r>
      <w:r w:rsidR="00EF56E1">
        <w:t>extra exercise and early development</w:t>
      </w:r>
      <w:r w:rsidR="00DE6968">
        <w:t>.</w:t>
      </w:r>
      <w:r w:rsidR="007B521C">
        <w:t xml:space="preserve"> </w:t>
      </w:r>
      <w:r w:rsidR="003B6C1E">
        <w:t>At the rearing stage puppies interact with other greyhounds and their human handlers to learn socialisation skills as well as exercise and develop physically and mentally</w:t>
      </w:r>
      <w:r w:rsidR="003B6C1E">
        <w:rPr>
          <w:rStyle w:val="FootnoteReference"/>
        </w:rPr>
        <w:footnoteReference w:id="36"/>
      </w:r>
      <w:r w:rsidR="003B6C1E">
        <w:t>.</w:t>
      </w:r>
      <w:r w:rsidR="00EF56E1">
        <w:t xml:space="preserve"> Rearing is often done by a professional service (not the owner) charging a minimum of $50 per week per dog</w:t>
      </w:r>
      <w:r w:rsidR="00941200" w:rsidRPr="00666486">
        <w:rPr>
          <w:color w:val="000000" w:themeColor="text1"/>
          <w:vertAlign w:val="superscript"/>
        </w:rPr>
        <w:footnoteReference w:id="37"/>
      </w:r>
      <w:r w:rsidR="006C2CA0">
        <w:t>.</w:t>
      </w:r>
      <w:r w:rsidR="007B521C">
        <w:t xml:space="preserve"> </w:t>
      </w:r>
      <w:r w:rsidR="00B77EF2">
        <w:t xml:space="preserve">There were </w:t>
      </w:r>
      <w:r w:rsidR="00061962">
        <w:t xml:space="preserve">around </w:t>
      </w:r>
      <w:r w:rsidR="003B6C1E">
        <w:t>3,913</w:t>
      </w:r>
      <w:r w:rsidR="00437CF2">
        <w:t xml:space="preserve"> greyhounds reared in 2015-16 (see Table </w:t>
      </w:r>
      <w:r w:rsidR="003B6C1E">
        <w:t>5</w:t>
      </w:r>
      <w:r w:rsidR="00437CF2">
        <w:t xml:space="preserve"> in this </w:t>
      </w:r>
      <w:r w:rsidR="00B17D58">
        <w:t>RIS</w:t>
      </w:r>
      <w:r w:rsidR="0064730A">
        <w:t>)</w:t>
      </w:r>
      <w:r w:rsidR="00B17D58">
        <w:t xml:space="preserve"> equating</w:t>
      </w:r>
      <w:r w:rsidR="00646E11">
        <w:t xml:space="preserve"> to approximately</w:t>
      </w:r>
      <w:r w:rsidR="00794AC5">
        <w:t xml:space="preserve"> </w:t>
      </w:r>
      <w:r w:rsidR="00C45E66">
        <w:t>$</w:t>
      </w:r>
      <w:r w:rsidR="003B6C1E">
        <w:t>7</w:t>
      </w:r>
      <w:r w:rsidR="00C45E66">
        <w:t>.</w:t>
      </w:r>
      <w:r w:rsidR="003B6C1E">
        <w:t>04</w:t>
      </w:r>
      <w:r w:rsidR="00794AC5">
        <w:t xml:space="preserve"> million</w:t>
      </w:r>
      <w:r w:rsidR="00794AC5">
        <w:rPr>
          <w:rStyle w:val="FootnoteReference"/>
        </w:rPr>
        <w:footnoteReference w:id="38"/>
      </w:r>
      <w:r w:rsidR="00794AC5">
        <w:t xml:space="preserve"> in revenue earned by rearers in 2015-16.</w:t>
      </w:r>
      <w:r w:rsidR="00794AC5" w:rsidRPr="00794AC5">
        <w:t xml:space="preserve"> </w:t>
      </w:r>
      <w:r w:rsidR="00EF56E1">
        <w:t>Currently there are no requirements for the registration of rearers through GRV and</w:t>
      </w:r>
      <w:r w:rsidR="007A2D31">
        <w:t xml:space="preserve"> there is</w:t>
      </w:r>
      <w:r w:rsidR="00EF56E1">
        <w:t xml:space="preserve"> limited knowledge of the participants or their properties</w:t>
      </w:r>
      <w:r w:rsidR="004E504E">
        <w:t>.</w:t>
      </w:r>
      <w:r w:rsidR="00646E11">
        <w:t xml:space="preserve"> However, </w:t>
      </w:r>
      <w:r w:rsidR="00304CF0">
        <w:t xml:space="preserve">as part of its extensive program of industry reform, </w:t>
      </w:r>
      <w:r w:rsidR="00646E11">
        <w:t>GRV is introducing registration requirements</w:t>
      </w:r>
      <w:r w:rsidR="00490346">
        <w:t xml:space="preserve"> </w:t>
      </w:r>
      <w:r w:rsidR="00646E11">
        <w:t>for rearers to commence in 2017</w:t>
      </w:r>
      <w:r w:rsidR="00490346">
        <w:t xml:space="preserve"> and which will be outside the proposed Code.</w:t>
      </w:r>
    </w:p>
    <w:p w:rsidR="001B593F" w:rsidRDefault="007D66E7" w:rsidP="005E307C">
      <w:pPr>
        <w:pStyle w:val="Heading3"/>
      </w:pPr>
      <w:bookmarkStart w:id="39" w:name="_Toc469529138"/>
      <w:bookmarkStart w:id="40" w:name="_Toc477190149"/>
      <w:r>
        <w:lastRenderedPageBreak/>
        <w:t>1.2.4 Breaking-in stage</w:t>
      </w:r>
      <w:bookmarkEnd w:id="39"/>
      <w:bookmarkEnd w:id="40"/>
    </w:p>
    <w:p w:rsidR="005A6E3D" w:rsidRDefault="00AC49A8" w:rsidP="0052319A">
      <w:pPr>
        <w:jc w:val="both"/>
      </w:pPr>
      <w:r>
        <w:t>The</w:t>
      </w:r>
      <w:r w:rsidR="00FD2901">
        <w:t xml:space="preserve"> education </w:t>
      </w:r>
      <w:r>
        <w:t xml:space="preserve">stage, </w:t>
      </w:r>
      <w:r w:rsidR="00FD2901">
        <w:t xml:space="preserve">also </w:t>
      </w:r>
      <w:r>
        <w:t>called ‘</w:t>
      </w:r>
      <w:r w:rsidR="00FD2901">
        <w:t>breaking in</w:t>
      </w:r>
      <w:r>
        <w:t>’ carried out by a trainer</w:t>
      </w:r>
      <w:r w:rsidR="007A2D31">
        <w:t xml:space="preserve"> or breaker/educator</w:t>
      </w:r>
      <w:r>
        <w:t>,</w:t>
      </w:r>
      <w:r w:rsidR="005A6E3D">
        <w:t xml:space="preserve"> </w:t>
      </w:r>
      <w:r w:rsidR="0052319A">
        <w:t xml:space="preserve">represents </w:t>
      </w:r>
      <w:r w:rsidR="00BD486B">
        <w:t xml:space="preserve">a potential </w:t>
      </w:r>
      <w:r w:rsidR="004E504E">
        <w:t xml:space="preserve">movement of a greyhound to </w:t>
      </w:r>
      <w:r w:rsidR="00DE6968">
        <w:t>a</w:t>
      </w:r>
      <w:r w:rsidR="004E504E">
        <w:t xml:space="preserve"> </w:t>
      </w:r>
      <w:r w:rsidR="00BD486B">
        <w:t xml:space="preserve">different </w:t>
      </w:r>
      <w:r w:rsidR="0052319A">
        <w:t>carer</w:t>
      </w:r>
      <w:r w:rsidR="004E504E">
        <w:t xml:space="preserve"> in the lifecycle chain</w:t>
      </w:r>
      <w:r w:rsidR="00DE6968">
        <w:rPr>
          <w:rStyle w:val="FootnoteReference"/>
        </w:rPr>
        <w:footnoteReference w:id="39"/>
      </w:r>
      <w:r w:rsidR="004E504E">
        <w:t xml:space="preserve">. </w:t>
      </w:r>
      <w:r w:rsidR="00FD2901">
        <w:t>Education/b</w:t>
      </w:r>
      <w:r w:rsidR="0052319A">
        <w:t xml:space="preserve">reaking </w:t>
      </w:r>
      <w:r w:rsidR="00DE6968">
        <w:t>in</w:t>
      </w:r>
      <w:r w:rsidR="0052319A">
        <w:t>,</w:t>
      </w:r>
      <w:r w:rsidR="004E504E">
        <w:t xml:space="preserve"> </w:t>
      </w:r>
      <w:r w:rsidR="007A2D31">
        <w:t xml:space="preserve">usually commences </w:t>
      </w:r>
      <w:r w:rsidR="004E504E">
        <w:t>around 12</w:t>
      </w:r>
      <w:r w:rsidR="00061962">
        <w:t xml:space="preserve"> to </w:t>
      </w:r>
      <w:r w:rsidR="004E504E">
        <w:t xml:space="preserve">15 months of age and generally lasts </w:t>
      </w:r>
      <w:r w:rsidR="0052319A">
        <w:t xml:space="preserve">for </w:t>
      </w:r>
      <w:r w:rsidR="00B17D58">
        <w:t>approximately</w:t>
      </w:r>
      <w:r w:rsidR="0052319A">
        <w:t xml:space="preserve"> </w:t>
      </w:r>
      <w:r w:rsidR="00DE6968">
        <w:t>4</w:t>
      </w:r>
      <w:r w:rsidR="00061962">
        <w:t xml:space="preserve"> to </w:t>
      </w:r>
      <w:r w:rsidR="00DE6968">
        <w:t>12</w:t>
      </w:r>
      <w:r w:rsidR="004E504E">
        <w:t xml:space="preserve"> weeks</w:t>
      </w:r>
      <w:r w:rsidR="00DE6968">
        <w:rPr>
          <w:rStyle w:val="FootnoteReference"/>
        </w:rPr>
        <w:footnoteReference w:id="40"/>
      </w:r>
      <w:r w:rsidR="0052319A">
        <w:t xml:space="preserve">. </w:t>
      </w:r>
      <w:r w:rsidR="00FD2901">
        <w:t xml:space="preserve">This </w:t>
      </w:r>
      <w:r w:rsidR="004E504E">
        <w:t xml:space="preserve">involves </w:t>
      </w:r>
      <w:r w:rsidR="00D30C23">
        <w:t xml:space="preserve">learning to chase the lure and exit the starting box at speed, adapting to feeding and living in kennels, accepting restraints, grooming and working alongside other greyhounds, as well as, the use of rugs, muzzles, </w:t>
      </w:r>
      <w:r w:rsidR="004807E6">
        <w:t>collars, leads, walking machines</w:t>
      </w:r>
      <w:r w:rsidR="00D30C23">
        <w:t xml:space="preserve">, treadmills, pools and </w:t>
      </w:r>
      <w:r w:rsidR="004807E6">
        <w:t>hydro baths</w:t>
      </w:r>
      <w:r w:rsidR="00A863D5" w:rsidRPr="00A863D5">
        <w:rPr>
          <w:vertAlign w:val="superscript"/>
        </w:rPr>
        <w:footnoteReference w:id="41"/>
      </w:r>
      <w:r w:rsidR="00A863D5" w:rsidRPr="00A863D5">
        <w:t>.</w:t>
      </w:r>
      <w:r w:rsidR="007B521C">
        <w:t xml:space="preserve"> </w:t>
      </w:r>
      <w:r w:rsidR="00794AC5">
        <w:t xml:space="preserve">According to Table </w:t>
      </w:r>
      <w:r w:rsidR="00D30C23">
        <w:t>5</w:t>
      </w:r>
      <w:r w:rsidR="00794AC5">
        <w:t xml:space="preserve">, there were </w:t>
      </w:r>
      <w:r w:rsidR="00340014">
        <w:t xml:space="preserve">an estimated </w:t>
      </w:r>
      <w:r w:rsidR="00D30C23">
        <w:t>3,913</w:t>
      </w:r>
      <w:r w:rsidR="00794AC5">
        <w:t xml:space="preserve"> dogs ‘</w:t>
      </w:r>
      <w:r w:rsidR="00FD2901">
        <w:t>educated/</w:t>
      </w:r>
      <w:r w:rsidR="00794AC5">
        <w:t>br</w:t>
      </w:r>
      <w:r w:rsidR="0052319A">
        <w:t xml:space="preserve">oken </w:t>
      </w:r>
      <w:r w:rsidR="00794AC5">
        <w:t>in’ during 2015-16.</w:t>
      </w:r>
      <w:r w:rsidR="007B521C">
        <w:t xml:space="preserve"> </w:t>
      </w:r>
      <w:r w:rsidR="005A6E3D">
        <w:t xml:space="preserve">Some greyhounds go straight from </w:t>
      </w:r>
      <w:r w:rsidR="00FD2901">
        <w:t>education/</w:t>
      </w:r>
      <w:r w:rsidR="005A6E3D">
        <w:t xml:space="preserve">breaking-in to ‘training’ (1.2.6) </w:t>
      </w:r>
      <w:r w:rsidR="007A2D31">
        <w:t xml:space="preserve">while </w:t>
      </w:r>
      <w:r w:rsidR="005A6E3D">
        <w:t>others are ‘spelled’ (1.2.5). Some are assessed as unsuitable for racing and do not progress any further</w:t>
      </w:r>
      <w:r w:rsidR="00FD2901">
        <w:t xml:space="preserve"> in a racing career</w:t>
      </w:r>
      <w:r w:rsidR="005A6E3D">
        <w:t>.</w:t>
      </w:r>
      <w:r w:rsidR="007B521C">
        <w:t xml:space="preserve"> </w:t>
      </w:r>
      <w:r w:rsidR="004E504E">
        <w:t xml:space="preserve">Professional breakers are not currently required to be registered with GRV </w:t>
      </w:r>
      <w:r w:rsidR="00FD2901">
        <w:t xml:space="preserve">as a separate category (they are currently registered as “trainers”) </w:t>
      </w:r>
      <w:r w:rsidR="004E504E">
        <w:t xml:space="preserve">and so there </w:t>
      </w:r>
      <w:r w:rsidR="007A2D31">
        <w:t xml:space="preserve">may be </w:t>
      </w:r>
      <w:r w:rsidR="004E504E">
        <w:t>limited knowledge of the participants or t</w:t>
      </w:r>
      <w:r w:rsidR="00A863D5">
        <w:t>heir properties</w:t>
      </w:r>
      <w:r w:rsidR="004E504E">
        <w:t>.</w:t>
      </w:r>
      <w:r w:rsidR="0052319A">
        <w:t xml:space="preserve"> However, </w:t>
      </w:r>
      <w:r w:rsidR="00304CF0">
        <w:t xml:space="preserve">as part of its extensive program for industry reform, </w:t>
      </w:r>
      <w:r w:rsidR="0052319A">
        <w:t>GRV is introducing registration requirements for breakers to commence in 2017</w:t>
      </w:r>
      <w:r w:rsidR="00BB5A08" w:rsidRPr="00BB5A08">
        <w:t xml:space="preserve"> </w:t>
      </w:r>
      <w:r w:rsidR="00BB5A08">
        <w:t>and which will be outside the proposed Code</w:t>
      </w:r>
      <w:r w:rsidR="0052319A">
        <w:t>.</w:t>
      </w:r>
      <w:r w:rsidR="005A6E3D">
        <w:t xml:space="preserve"> </w:t>
      </w:r>
    </w:p>
    <w:p w:rsidR="001B593F" w:rsidRDefault="001B593F" w:rsidP="001B593F">
      <w:pPr>
        <w:jc w:val="both"/>
        <w:rPr>
          <w:rFonts w:asciiTheme="majorHAnsi" w:hAnsiTheme="majorHAnsi"/>
        </w:rPr>
      </w:pPr>
    </w:p>
    <w:p w:rsidR="001B593F" w:rsidRDefault="007D66E7" w:rsidP="005E307C">
      <w:pPr>
        <w:pStyle w:val="Heading3"/>
      </w:pPr>
      <w:bookmarkStart w:id="41" w:name="_Toc469529139"/>
      <w:bookmarkStart w:id="42" w:name="_Toc477190150"/>
      <w:r w:rsidRPr="003A3FC8">
        <w:t>1.2.</w:t>
      </w:r>
      <w:r w:rsidR="00C42ACA">
        <w:t>5</w:t>
      </w:r>
      <w:r w:rsidR="00896601" w:rsidRPr="004B0055">
        <w:t xml:space="preserve"> </w:t>
      </w:r>
      <w:r w:rsidR="00A24AA5">
        <w:t>T</w:t>
      </w:r>
      <w:r w:rsidRPr="003A3FC8">
        <w:t>raining stage</w:t>
      </w:r>
      <w:bookmarkEnd w:id="41"/>
      <w:bookmarkEnd w:id="42"/>
    </w:p>
    <w:p w:rsidR="001B593F" w:rsidRDefault="007D7A02" w:rsidP="001B593F">
      <w:pPr>
        <w:jc w:val="both"/>
        <w:rPr>
          <w:rFonts w:asciiTheme="majorHAnsi" w:hAnsiTheme="majorHAnsi"/>
        </w:rPr>
      </w:pPr>
      <w:r>
        <w:t>Training, including pre-training, is regarded as the final step for a greyhound before it starts racing</w:t>
      </w:r>
      <w:r w:rsidRPr="00666486">
        <w:rPr>
          <w:color w:val="000000" w:themeColor="text1"/>
          <w:vertAlign w:val="superscript"/>
        </w:rPr>
        <w:footnoteReference w:id="42"/>
      </w:r>
      <w:r>
        <w:t xml:space="preserve">. </w:t>
      </w:r>
      <w:r w:rsidR="0052319A">
        <w:t>During this stage, the greyhound begins</w:t>
      </w:r>
      <w:r w:rsidR="002A4A0E">
        <w:t xml:space="preserve"> </w:t>
      </w:r>
      <w:r w:rsidR="004807E6">
        <w:t>trailing</w:t>
      </w:r>
      <w:r w:rsidR="002A4A0E">
        <w:t xml:space="preserve"> </w:t>
      </w:r>
      <w:r w:rsidR="0052319A">
        <w:t>at</w:t>
      </w:r>
      <w:r w:rsidR="002A4A0E">
        <w:t xml:space="preserve"> racetracks for racing</w:t>
      </w:r>
      <w:r w:rsidR="005A6E3D">
        <w:t xml:space="preserve"> and adjusting to kennel life</w:t>
      </w:r>
      <w:r w:rsidR="0052319A">
        <w:t>. Pre-</w:t>
      </w:r>
      <w:r w:rsidR="00061962">
        <w:t>training</w:t>
      </w:r>
      <w:r w:rsidR="002A4A0E">
        <w:t xml:space="preserve"> usually begins when the greyhound is around 16 months or age and lasts 2</w:t>
      </w:r>
      <w:r w:rsidR="00061962">
        <w:t xml:space="preserve"> to </w:t>
      </w:r>
      <w:r w:rsidR="002A4A0E">
        <w:t xml:space="preserve">4 months. </w:t>
      </w:r>
      <w:r w:rsidR="001444ED">
        <w:t xml:space="preserve">There were an estimated </w:t>
      </w:r>
      <w:r w:rsidR="003B48D0">
        <w:t>3,052</w:t>
      </w:r>
      <w:r w:rsidR="00EB65C8">
        <w:t xml:space="preserve"> greyhounds involved in </w:t>
      </w:r>
      <w:r w:rsidR="00385A2C">
        <w:t xml:space="preserve">training </w:t>
      </w:r>
      <w:r w:rsidR="00EB65C8">
        <w:t xml:space="preserve">in 2015-16 (see Table </w:t>
      </w:r>
      <w:r w:rsidR="003B48D0">
        <w:t>5</w:t>
      </w:r>
      <w:r w:rsidR="00EB65C8">
        <w:t xml:space="preserve"> in this RIS).</w:t>
      </w:r>
      <w:r w:rsidR="007B521C">
        <w:t xml:space="preserve"> </w:t>
      </w:r>
      <w:r w:rsidR="00385A2C">
        <w:t>T</w:t>
      </w:r>
      <w:r w:rsidR="002A4A0E">
        <w:t>raining costs about $80</w:t>
      </w:r>
      <w:r w:rsidR="00061962">
        <w:t xml:space="preserve"> to $</w:t>
      </w:r>
      <w:r w:rsidR="002A4A0E">
        <w:t>100 per week per dog</w:t>
      </w:r>
      <w:r w:rsidR="00A863D5" w:rsidRPr="00666486">
        <w:rPr>
          <w:color w:val="000000" w:themeColor="text1"/>
          <w:vertAlign w:val="superscript"/>
        </w:rPr>
        <w:footnoteReference w:id="43"/>
      </w:r>
      <w:r w:rsidR="00A863D5">
        <w:t>.</w:t>
      </w:r>
      <w:r w:rsidR="002A4A0E">
        <w:t xml:space="preserve"> </w:t>
      </w:r>
      <w:r w:rsidR="00EB65C8">
        <w:t xml:space="preserve">In 2015-16 those involved in training earned </w:t>
      </w:r>
      <w:r w:rsidR="004C2566">
        <w:t>around $</w:t>
      </w:r>
      <w:r w:rsidR="003A3FC8">
        <w:t>3</w:t>
      </w:r>
      <w:r w:rsidR="00EB65C8">
        <w:t>.</w:t>
      </w:r>
      <w:r w:rsidR="003A3FC8">
        <w:t>29</w:t>
      </w:r>
      <w:r w:rsidR="004C2566">
        <w:t xml:space="preserve"> million</w:t>
      </w:r>
      <w:r w:rsidR="004C2566">
        <w:rPr>
          <w:rStyle w:val="FootnoteReference"/>
        </w:rPr>
        <w:footnoteReference w:id="44"/>
      </w:r>
      <w:r w:rsidR="004C2566">
        <w:t>.</w:t>
      </w:r>
      <w:r w:rsidR="007B521C">
        <w:t xml:space="preserve"> </w:t>
      </w:r>
      <w:r w:rsidR="002A4A0E">
        <w:t xml:space="preserve">It is </w:t>
      </w:r>
      <w:r w:rsidR="009D1F1B">
        <w:t xml:space="preserve">typically </w:t>
      </w:r>
      <w:r w:rsidR="002A4A0E">
        <w:t xml:space="preserve">at the training stage </w:t>
      </w:r>
      <w:r w:rsidR="00FC501C">
        <w:t xml:space="preserve">that </w:t>
      </w:r>
      <w:r w:rsidR="002A4A0E">
        <w:t>the dogs considered to have racing potential are officially ‘named’</w:t>
      </w:r>
      <w:r w:rsidR="009D1F1B">
        <w:t>, however naming can also occur earlier</w:t>
      </w:r>
      <w:r w:rsidR="003A3FC8">
        <w:t>.</w:t>
      </w:r>
    </w:p>
    <w:p w:rsidR="0023462A" w:rsidRDefault="0023462A" w:rsidP="005E307C">
      <w:bookmarkStart w:id="43" w:name="_Toc469529140"/>
    </w:p>
    <w:p w:rsidR="001B593F" w:rsidRDefault="007D66E7" w:rsidP="005E307C">
      <w:pPr>
        <w:pStyle w:val="Heading3"/>
      </w:pPr>
      <w:bookmarkStart w:id="44" w:name="_Toc477190151"/>
      <w:r>
        <w:t>1.2.</w:t>
      </w:r>
      <w:r w:rsidR="00C42ACA">
        <w:t>6</w:t>
      </w:r>
      <w:r>
        <w:t xml:space="preserve"> Racing stage</w:t>
      </w:r>
      <w:bookmarkEnd w:id="43"/>
      <w:bookmarkEnd w:id="44"/>
    </w:p>
    <w:p w:rsidR="00601D3C" w:rsidRDefault="00A24AA5" w:rsidP="001B593F">
      <w:pPr>
        <w:jc w:val="both"/>
      </w:pPr>
      <w:r>
        <w:t>There were 5,759 unique greyhounds that raced on Victorian tracks in 2015-2016 (see Table 5).</w:t>
      </w:r>
      <w:r w:rsidR="007B521C">
        <w:t xml:space="preserve"> </w:t>
      </w:r>
      <w:r w:rsidR="001B593F">
        <w:t xml:space="preserve">The racing stage </w:t>
      </w:r>
      <w:r w:rsidR="004807E6">
        <w:t xml:space="preserve">is </w:t>
      </w:r>
      <w:r w:rsidR="001B593F">
        <w:t>when greyhounds and the premises in which they are kept</w:t>
      </w:r>
      <w:r w:rsidR="00F140FE">
        <w:t>,</w:t>
      </w:r>
      <w:r w:rsidR="001B593F">
        <w:t xml:space="preserve"> are most </w:t>
      </w:r>
      <w:r w:rsidR="00345238">
        <w:t>identifiable</w:t>
      </w:r>
      <w:r w:rsidR="0052319A">
        <w:t>.</w:t>
      </w:r>
      <w:r w:rsidR="007B521C">
        <w:t xml:space="preserve"> </w:t>
      </w:r>
      <w:r w:rsidR="00601D3C">
        <w:t xml:space="preserve">All racing dogs must be registered and microchipped and their location provided to GRV. </w:t>
      </w:r>
      <w:r w:rsidR="00304CF0">
        <w:t>Whilst all registered greyhounds are subject to regulatory scrutiny by GRV, racing greyhounds experience more regular scrutiny through GRV’s on track presence and associated regulatory activities.</w:t>
      </w:r>
      <w:r w:rsidR="007B521C">
        <w:t xml:space="preserve"> </w:t>
      </w:r>
      <w:r w:rsidR="00601D3C">
        <w:t xml:space="preserve">There is a specific reporting requirement at the racing stage where GRV correlates and reconciles data which determines whether or not dogs can go on to race. </w:t>
      </w:r>
      <w:r w:rsidR="00C54E38">
        <w:t>During other stages of the lifecycle, issues</w:t>
      </w:r>
      <w:r w:rsidR="00601D3C">
        <w:t xml:space="preserve"> come to GRVs attention typically only via spot audits/checks and dogs may be on premises</w:t>
      </w:r>
      <w:r w:rsidR="009D1F1B">
        <w:t xml:space="preserve"> (in breach of local rules)</w:t>
      </w:r>
      <w:r w:rsidR="00601D3C">
        <w:t xml:space="preserve"> which are currently unregistered through GRV.</w:t>
      </w:r>
      <w:r w:rsidR="00C76467">
        <w:t xml:space="preserve"> </w:t>
      </w:r>
    </w:p>
    <w:p w:rsidR="00601D3C" w:rsidRDefault="00601D3C" w:rsidP="001B593F">
      <w:pPr>
        <w:jc w:val="both"/>
      </w:pPr>
    </w:p>
    <w:p w:rsidR="00F140FE" w:rsidRDefault="004807E6" w:rsidP="001B593F">
      <w:pPr>
        <w:jc w:val="both"/>
      </w:pPr>
      <w:r>
        <w:t xml:space="preserve">Racing </w:t>
      </w:r>
      <w:r w:rsidR="00753B13">
        <w:t xml:space="preserve">starts for dogs </w:t>
      </w:r>
      <w:r w:rsidR="007A2D31">
        <w:t xml:space="preserve">from as early as </w:t>
      </w:r>
      <w:r w:rsidR="00753B13">
        <w:t>16 months of age</w:t>
      </w:r>
      <w:r w:rsidR="007A2D31">
        <w:t xml:space="preserve"> (the minimum nomination age)</w:t>
      </w:r>
      <w:r w:rsidR="00753B13">
        <w:t xml:space="preserve"> </w:t>
      </w:r>
      <w:r w:rsidR="0052319A">
        <w:t>and continues until they are retired</w:t>
      </w:r>
      <w:r w:rsidR="007A2D31">
        <w:t xml:space="preserve"> usually around </w:t>
      </w:r>
      <w:r w:rsidR="00B17D58">
        <w:t>4</w:t>
      </w:r>
      <w:r w:rsidR="00BB5E20">
        <w:t xml:space="preserve"> to </w:t>
      </w:r>
      <w:r w:rsidR="00753B13">
        <w:t>5</w:t>
      </w:r>
      <w:r w:rsidR="0052319A">
        <w:t xml:space="preserve"> years old</w:t>
      </w:r>
      <w:r w:rsidR="00F140FE">
        <w:t>.</w:t>
      </w:r>
      <w:r w:rsidR="007B521C">
        <w:t xml:space="preserve"> </w:t>
      </w:r>
      <w:r w:rsidR="00F140FE">
        <w:t>F</w:t>
      </w:r>
      <w:r w:rsidR="0052319A">
        <w:t>or those with a successful race career</w:t>
      </w:r>
      <w:r w:rsidR="005A6E3D">
        <w:t>, normally a greyhound is competing approximately once per week</w:t>
      </w:r>
      <w:r w:rsidR="001B593F">
        <w:t>.</w:t>
      </w:r>
      <w:r w:rsidR="007B521C">
        <w:t xml:space="preserve"> </w:t>
      </w:r>
      <w:r w:rsidR="001B593F">
        <w:t xml:space="preserve">At this stage the dog is in the care of a trainer who must be </w:t>
      </w:r>
      <w:r w:rsidR="00753B13">
        <w:t>registered</w:t>
      </w:r>
      <w:r w:rsidR="001B593F">
        <w:t xml:space="preserve"> with GRV on premises </w:t>
      </w:r>
      <w:r w:rsidR="007A2D31">
        <w:t xml:space="preserve">monitored </w:t>
      </w:r>
      <w:r w:rsidR="001B593F">
        <w:lastRenderedPageBreak/>
        <w:t>by GRV</w:t>
      </w:r>
      <w:r w:rsidR="00753B13">
        <w:t>.</w:t>
      </w:r>
      <w:r w:rsidR="007B521C">
        <w:t xml:space="preserve"> </w:t>
      </w:r>
      <w:r>
        <w:t xml:space="preserve">Around 85% of </w:t>
      </w:r>
      <w:r w:rsidR="00D27FD5">
        <w:t xml:space="preserve">trainers have less </w:t>
      </w:r>
      <w:r>
        <w:t>than</w:t>
      </w:r>
      <w:r w:rsidR="00D27FD5">
        <w:t xml:space="preserve"> 1</w:t>
      </w:r>
      <w:r w:rsidR="009815B2">
        <w:t xml:space="preserve">0 greyhounds racing at one time. </w:t>
      </w:r>
      <w:r w:rsidR="00753B13">
        <w:t>Owner</w:t>
      </w:r>
      <w:r>
        <w:t>-</w:t>
      </w:r>
      <w:r w:rsidR="00753B13">
        <w:t xml:space="preserve">trainers must complete two levels </w:t>
      </w:r>
      <w:r w:rsidR="0052319A">
        <w:t xml:space="preserve">of </w:t>
      </w:r>
      <w:r w:rsidR="00753B13">
        <w:t>competency training through GRV before they can be registered</w:t>
      </w:r>
      <w:r w:rsidR="0052319A">
        <w:t>,</w:t>
      </w:r>
      <w:r w:rsidR="00753B13">
        <w:t xml:space="preserve"> and three levels should they wish to train other </w:t>
      </w:r>
      <w:r w:rsidR="00FC501C">
        <w:t>people’s</w:t>
      </w:r>
      <w:r w:rsidR="00753B13">
        <w:t xml:space="preserve"> greyhounds</w:t>
      </w:r>
      <w:r w:rsidR="001B593F">
        <w:t xml:space="preserve">. </w:t>
      </w:r>
    </w:p>
    <w:p w:rsidR="00F140FE" w:rsidRDefault="00F140FE" w:rsidP="001B593F">
      <w:pPr>
        <w:jc w:val="both"/>
      </w:pPr>
    </w:p>
    <w:p w:rsidR="0023255A" w:rsidRDefault="008136A8" w:rsidP="0023255A">
      <w:pPr>
        <w:jc w:val="both"/>
      </w:pPr>
      <w:r>
        <w:t xml:space="preserve">Greyhounds, </w:t>
      </w:r>
      <w:r w:rsidR="007A2D31">
        <w:t xml:space="preserve">when </w:t>
      </w:r>
      <w:r>
        <w:t>racing, can reach speeds of up to 65km per hour. At this speed</w:t>
      </w:r>
      <w:r w:rsidR="00BD486B">
        <w:t>,</w:t>
      </w:r>
      <w:r>
        <w:t xml:space="preserve"> there is a risk of ‘catastrophic’ injury</w:t>
      </w:r>
      <w:r w:rsidR="001A4E7A">
        <w:t xml:space="preserve"> (</w:t>
      </w:r>
      <w:r w:rsidR="007A2D31">
        <w:t xml:space="preserve">resulting in death or </w:t>
      </w:r>
      <w:r w:rsidR="001A4E7A">
        <w:t>requiring euthanasia), or injuries of a lesser nature requiring treatment</w:t>
      </w:r>
      <w:r w:rsidR="001A4E7A" w:rsidRPr="004B0055">
        <w:rPr>
          <w:rStyle w:val="FootnoteReference"/>
        </w:rPr>
        <w:footnoteReference w:id="45"/>
      </w:r>
      <w:r w:rsidR="001A4E7A" w:rsidRPr="00D3271C">
        <w:rPr>
          <w:i/>
        </w:rPr>
        <w:t>.</w:t>
      </w:r>
      <w:r w:rsidR="007B521C">
        <w:rPr>
          <w:i/>
        </w:rPr>
        <w:t xml:space="preserve"> </w:t>
      </w:r>
      <w:r w:rsidR="0023255A">
        <w:t>Greyhounds requiring a short break from racing are sent to rest</w:t>
      </w:r>
      <w:r w:rsidR="00016443">
        <w:t>,</w:t>
      </w:r>
      <w:r w:rsidR="0023255A">
        <w:t xml:space="preserve"> ‘have a spell’</w:t>
      </w:r>
      <w:r w:rsidR="00016443">
        <w:t>,</w:t>
      </w:r>
      <w:r w:rsidR="0023255A">
        <w:t xml:space="preserve"> and recuperate </w:t>
      </w:r>
      <w:r w:rsidR="004953A8">
        <w:t xml:space="preserve">typically as a result of </w:t>
      </w:r>
      <w:r w:rsidR="004807E6">
        <w:t>illness</w:t>
      </w:r>
      <w:r w:rsidR="0023255A">
        <w:rPr>
          <w:rStyle w:val="FootnoteReference"/>
        </w:rPr>
        <w:footnoteReference w:id="46"/>
      </w:r>
      <w:r w:rsidR="007A2D31">
        <w:t xml:space="preserve"> or injury</w:t>
      </w:r>
      <w:r w:rsidR="0023255A">
        <w:t xml:space="preserve">. </w:t>
      </w:r>
      <w:r w:rsidR="007A2D31">
        <w:t xml:space="preserve">Often </w:t>
      </w:r>
      <w:r w:rsidR="0023255A">
        <w:t xml:space="preserve">during spelling, the greyhound is again moved to a different location for care. </w:t>
      </w:r>
    </w:p>
    <w:p w:rsidR="001B593F" w:rsidRPr="001B593F" w:rsidRDefault="001B593F" w:rsidP="001B593F">
      <w:pPr>
        <w:jc w:val="both"/>
      </w:pPr>
    </w:p>
    <w:p w:rsidR="00753B13" w:rsidRDefault="007D66E7" w:rsidP="005E307C">
      <w:pPr>
        <w:pStyle w:val="Heading3"/>
      </w:pPr>
      <w:bookmarkStart w:id="45" w:name="_Toc469529141"/>
      <w:bookmarkStart w:id="46" w:name="_Toc477190152"/>
      <w:r>
        <w:t>1.2.</w:t>
      </w:r>
      <w:r w:rsidR="00C42ACA">
        <w:t>7</w:t>
      </w:r>
      <w:r>
        <w:t xml:space="preserve"> Retirement stage</w:t>
      </w:r>
      <w:bookmarkEnd w:id="45"/>
      <w:bookmarkEnd w:id="46"/>
    </w:p>
    <w:p w:rsidR="00FE5029" w:rsidRDefault="00753B13" w:rsidP="00D84322">
      <w:pPr>
        <w:jc w:val="both"/>
      </w:pPr>
      <w:r>
        <w:t xml:space="preserve">All </w:t>
      </w:r>
      <w:r w:rsidR="0052319A">
        <w:t>greyhounds are</w:t>
      </w:r>
      <w:r>
        <w:t xml:space="preserve"> retired at some stage in the </w:t>
      </w:r>
      <w:r w:rsidR="0052319A">
        <w:t>life</w:t>
      </w:r>
      <w:r w:rsidR="00E53059">
        <w:t>cycle;</w:t>
      </w:r>
      <w:r>
        <w:t xml:space="preserve"> even the most successful greyhound will become too old to race</w:t>
      </w:r>
      <w:r w:rsidR="00610D25">
        <w:t xml:space="preserve"> or breed</w:t>
      </w:r>
      <w:r>
        <w:t>.</w:t>
      </w:r>
      <w:r w:rsidR="00F727E5">
        <w:t xml:space="preserve"> In 2015-16 there were </w:t>
      </w:r>
      <w:r w:rsidR="00FE5029">
        <w:t>5</w:t>
      </w:r>
      <w:r w:rsidR="00F727E5">
        <w:t>,</w:t>
      </w:r>
      <w:r w:rsidR="00FE5029">
        <w:t xml:space="preserve">538 </w:t>
      </w:r>
      <w:r w:rsidR="0052319A">
        <w:t>greyhounds retired from the industry</w:t>
      </w:r>
      <w:r w:rsidR="00450604">
        <w:t xml:space="preserve"> (see Table 7</w:t>
      </w:r>
      <w:r w:rsidR="00FE5029">
        <w:t>)</w:t>
      </w:r>
      <w:r w:rsidR="00F727E5">
        <w:t>.</w:t>
      </w:r>
      <w:r w:rsidR="007B521C">
        <w:t xml:space="preserve"> </w:t>
      </w:r>
    </w:p>
    <w:p w:rsidR="00A210A1" w:rsidRDefault="00A210A1" w:rsidP="00D84322">
      <w:pPr>
        <w:jc w:val="both"/>
      </w:pPr>
    </w:p>
    <w:p w:rsidR="009B02B3" w:rsidRPr="00A210A1" w:rsidRDefault="00450604" w:rsidP="009B02B3">
      <w:pPr>
        <w:autoSpaceDE w:val="0"/>
        <w:autoSpaceDN w:val="0"/>
        <w:adjustRightInd w:val="0"/>
        <w:jc w:val="center"/>
        <w:rPr>
          <w:rFonts w:cs="Arial-BoldMT"/>
          <w:b/>
          <w:bCs/>
          <w:sz w:val="20"/>
        </w:rPr>
      </w:pPr>
      <w:r w:rsidRPr="00A210A1">
        <w:rPr>
          <w:rFonts w:cs="Arial-BoldMT"/>
          <w:b/>
          <w:bCs/>
          <w:sz w:val="20"/>
        </w:rPr>
        <w:t>Table 7</w:t>
      </w:r>
      <w:r w:rsidR="009B02B3" w:rsidRPr="00A210A1">
        <w:rPr>
          <w:rFonts w:cs="Arial-BoldMT"/>
          <w:b/>
          <w:bCs/>
          <w:sz w:val="20"/>
        </w:rPr>
        <w:t>: Retirement of greyhounds from industry by category</w:t>
      </w:r>
    </w:p>
    <w:p w:rsidR="009B02B3" w:rsidRDefault="009B02B3" w:rsidP="009B02B3">
      <w:pPr>
        <w:autoSpaceDE w:val="0"/>
        <w:autoSpaceDN w:val="0"/>
        <w:adjustRightInd w:val="0"/>
        <w:jc w:val="both"/>
        <w:rPr>
          <w:rFonts w:cs="Arial-BoldMT"/>
          <w:bCs/>
        </w:rPr>
      </w:pPr>
    </w:p>
    <w:tbl>
      <w:tblPr>
        <w:tblW w:w="6622" w:type="dxa"/>
        <w:jc w:val="center"/>
        <w:tblLook w:val="04A0" w:firstRow="1" w:lastRow="0" w:firstColumn="1" w:lastColumn="0" w:noHBand="0" w:noVBand="1"/>
      </w:tblPr>
      <w:tblGrid>
        <w:gridCol w:w="2552"/>
        <w:gridCol w:w="284"/>
        <w:gridCol w:w="903"/>
        <w:gridCol w:w="992"/>
        <w:gridCol w:w="993"/>
        <w:gridCol w:w="898"/>
      </w:tblGrid>
      <w:tr w:rsidR="009B02B3" w:rsidRPr="005E307C" w:rsidTr="00874D32">
        <w:trPr>
          <w:trHeight w:val="50"/>
          <w:tblHeader/>
          <w:jc w:val="center"/>
        </w:trPr>
        <w:tc>
          <w:tcPr>
            <w:tcW w:w="2552"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Category of retirement</w:t>
            </w:r>
          </w:p>
        </w:tc>
        <w:tc>
          <w:tcPr>
            <w:tcW w:w="284"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 </w:t>
            </w:r>
          </w:p>
        </w:tc>
        <w:tc>
          <w:tcPr>
            <w:tcW w:w="903"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2015-16</w:t>
            </w:r>
          </w:p>
        </w:tc>
        <w:tc>
          <w:tcPr>
            <w:tcW w:w="992"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2014-15</w:t>
            </w:r>
          </w:p>
        </w:tc>
        <w:tc>
          <w:tcPr>
            <w:tcW w:w="993"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2013-14</w:t>
            </w:r>
          </w:p>
        </w:tc>
        <w:tc>
          <w:tcPr>
            <w:tcW w:w="898"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874D32">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Average</w:t>
            </w:r>
          </w:p>
        </w:tc>
      </w:tr>
      <w:tr w:rsidR="009B02B3" w:rsidRPr="00DE7E0E" w:rsidTr="00874D32">
        <w:trPr>
          <w:trHeight w:val="25"/>
          <w:jc w:val="center"/>
        </w:trPr>
        <w:tc>
          <w:tcPr>
            <w:tcW w:w="2552"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Pet</w:t>
            </w:r>
          </w:p>
        </w:tc>
        <w:tc>
          <w:tcPr>
            <w:tcW w:w="284"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 </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858</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584</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498</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647</w:t>
            </w:r>
          </w:p>
        </w:tc>
      </w:tr>
      <w:tr w:rsidR="009B02B3" w:rsidRPr="00DE7E0E" w:rsidTr="00874D32">
        <w:trPr>
          <w:trHeight w:val="60"/>
          <w:jc w:val="center"/>
        </w:trPr>
        <w:tc>
          <w:tcPr>
            <w:tcW w:w="2832" w:type="dxa"/>
            <w:gridSpan w:val="2"/>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Other</w:t>
            </w:r>
            <w:r>
              <w:rPr>
                <w:rFonts w:eastAsia="Times New Roman" w:cs="Calibri"/>
                <w:sz w:val="20"/>
                <w:szCs w:val="20"/>
                <w:lang w:eastAsia="en-AU"/>
              </w:rPr>
              <w:t>*</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336</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474</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515</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442</w:t>
            </w:r>
          </w:p>
        </w:tc>
      </w:tr>
      <w:tr w:rsidR="009B02B3" w:rsidRPr="00DE7E0E" w:rsidTr="00874D32">
        <w:trPr>
          <w:trHeight w:val="60"/>
          <w:jc w:val="center"/>
        </w:trPr>
        <w:tc>
          <w:tcPr>
            <w:tcW w:w="2552"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Breeding</w:t>
            </w:r>
          </w:p>
        </w:tc>
        <w:tc>
          <w:tcPr>
            <w:tcW w:w="284"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 </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411</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468</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440</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440</w:t>
            </w:r>
          </w:p>
        </w:tc>
      </w:tr>
      <w:tr w:rsidR="009B02B3" w:rsidRPr="00DE7E0E" w:rsidTr="00874D32">
        <w:trPr>
          <w:trHeight w:val="60"/>
          <w:jc w:val="center"/>
        </w:trPr>
        <w:tc>
          <w:tcPr>
            <w:tcW w:w="2552"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Export</w:t>
            </w:r>
          </w:p>
        </w:tc>
        <w:tc>
          <w:tcPr>
            <w:tcW w:w="284"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 </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18</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65</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19</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34</w:t>
            </w:r>
          </w:p>
        </w:tc>
      </w:tr>
      <w:tr w:rsidR="009B02B3" w:rsidRPr="00DE7E0E" w:rsidTr="00874D32">
        <w:trPr>
          <w:trHeight w:val="60"/>
          <w:jc w:val="center"/>
        </w:trPr>
        <w:tc>
          <w:tcPr>
            <w:tcW w:w="2552"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GAP</w:t>
            </w:r>
            <w:r>
              <w:rPr>
                <w:rFonts w:eastAsia="Times New Roman" w:cs="Calibri"/>
                <w:sz w:val="20"/>
                <w:szCs w:val="20"/>
                <w:lang w:eastAsia="en-AU"/>
              </w:rPr>
              <w:t>**</w:t>
            </w:r>
            <w:r w:rsidRPr="00DE7E0E">
              <w:rPr>
                <w:rFonts w:eastAsia="Times New Roman" w:cs="Calibri"/>
                <w:sz w:val="20"/>
                <w:szCs w:val="20"/>
                <w:lang w:eastAsia="en-AU"/>
              </w:rPr>
              <w:t xml:space="preserve"> </w:t>
            </w:r>
          </w:p>
        </w:tc>
        <w:tc>
          <w:tcPr>
            <w:tcW w:w="284"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 </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1,095</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878</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564</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846</w:t>
            </w:r>
          </w:p>
        </w:tc>
      </w:tr>
      <w:tr w:rsidR="009B02B3" w:rsidRPr="00DE7E0E" w:rsidTr="00874D32">
        <w:trPr>
          <w:trHeight w:val="60"/>
          <w:jc w:val="center"/>
        </w:trPr>
        <w:tc>
          <w:tcPr>
            <w:tcW w:w="2552"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Euthanasia</w:t>
            </w:r>
            <w:r>
              <w:rPr>
                <w:rFonts w:eastAsia="Times New Roman" w:cs="Calibri"/>
                <w:sz w:val="20"/>
                <w:szCs w:val="20"/>
                <w:vertAlign w:val="superscript"/>
                <w:lang w:eastAsia="en-AU"/>
              </w:rPr>
              <w:t>#</w:t>
            </w:r>
            <w:r w:rsidRPr="00DE7E0E">
              <w:rPr>
                <w:rFonts w:eastAsia="Times New Roman" w:cs="Calibri"/>
                <w:sz w:val="20"/>
                <w:szCs w:val="20"/>
                <w:lang w:eastAsia="en-AU"/>
              </w:rPr>
              <w:t xml:space="preserve"> </w:t>
            </w:r>
          </w:p>
        </w:tc>
        <w:tc>
          <w:tcPr>
            <w:tcW w:w="284" w:type="dxa"/>
            <w:tcBorders>
              <w:top w:val="nil"/>
              <w:left w:val="nil"/>
              <w:bottom w:val="nil"/>
              <w:right w:val="nil"/>
            </w:tcBorders>
            <w:shd w:val="clear" w:color="000000" w:fill="FFFFFF"/>
            <w:noWrap/>
            <w:vAlign w:val="bottom"/>
            <w:hideMark/>
          </w:tcPr>
          <w:p w:rsidR="009B02B3" w:rsidRPr="00DE7E0E" w:rsidRDefault="009B02B3" w:rsidP="00874D32">
            <w:pPr>
              <w:rPr>
                <w:rFonts w:eastAsia="Times New Roman" w:cs="Calibri"/>
                <w:sz w:val="20"/>
                <w:szCs w:val="20"/>
                <w:lang w:eastAsia="en-AU"/>
              </w:rPr>
            </w:pPr>
            <w:r w:rsidRPr="00DE7E0E">
              <w:rPr>
                <w:rFonts w:eastAsia="Times New Roman" w:cs="Calibri"/>
                <w:sz w:val="20"/>
                <w:szCs w:val="20"/>
                <w:lang w:eastAsia="en-AU"/>
              </w:rPr>
              <w:t> </w:t>
            </w:r>
          </w:p>
        </w:tc>
        <w:tc>
          <w:tcPr>
            <w:tcW w:w="90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2,820</w:t>
            </w:r>
          </w:p>
        </w:tc>
        <w:tc>
          <w:tcPr>
            <w:tcW w:w="992"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3,246</w:t>
            </w:r>
          </w:p>
        </w:tc>
        <w:tc>
          <w:tcPr>
            <w:tcW w:w="993"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2,771</w:t>
            </w:r>
          </w:p>
        </w:tc>
        <w:tc>
          <w:tcPr>
            <w:tcW w:w="898" w:type="dxa"/>
            <w:tcBorders>
              <w:top w:val="nil"/>
              <w:left w:val="nil"/>
              <w:bottom w:val="nil"/>
              <w:right w:val="nil"/>
            </w:tcBorders>
            <w:shd w:val="clear" w:color="000000" w:fill="FFFFFF"/>
            <w:noWrap/>
            <w:vAlign w:val="bottom"/>
            <w:hideMark/>
          </w:tcPr>
          <w:p w:rsidR="009B02B3" w:rsidRPr="00DE7E0E" w:rsidRDefault="009B02B3" w:rsidP="00874D32">
            <w:pPr>
              <w:jc w:val="center"/>
              <w:rPr>
                <w:rFonts w:eastAsia="Times New Roman" w:cs="Calibri"/>
                <w:sz w:val="20"/>
                <w:szCs w:val="20"/>
                <w:lang w:eastAsia="en-AU"/>
              </w:rPr>
            </w:pPr>
            <w:r w:rsidRPr="00DE7E0E">
              <w:rPr>
                <w:rFonts w:eastAsia="Times New Roman" w:cs="Calibri"/>
                <w:sz w:val="20"/>
                <w:szCs w:val="20"/>
                <w:lang w:eastAsia="en-AU"/>
              </w:rPr>
              <w:t>2,946</w:t>
            </w:r>
          </w:p>
        </w:tc>
      </w:tr>
      <w:tr w:rsidR="009B02B3" w:rsidRPr="00DE7E0E" w:rsidTr="00874D32">
        <w:trPr>
          <w:trHeight w:val="300"/>
          <w:jc w:val="center"/>
        </w:trPr>
        <w:tc>
          <w:tcPr>
            <w:tcW w:w="2552"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rPr>
                <w:rFonts w:eastAsia="Times New Roman" w:cs="Calibri"/>
                <w:b/>
                <w:bCs/>
                <w:i/>
                <w:iCs/>
                <w:sz w:val="20"/>
                <w:szCs w:val="20"/>
                <w:lang w:eastAsia="en-AU"/>
              </w:rPr>
            </w:pPr>
            <w:r w:rsidRPr="00DE7E0E">
              <w:rPr>
                <w:rFonts w:eastAsia="Times New Roman" w:cs="Calibri"/>
                <w:b/>
                <w:bCs/>
                <w:i/>
                <w:iCs/>
                <w:sz w:val="20"/>
                <w:szCs w:val="20"/>
                <w:lang w:eastAsia="en-AU"/>
              </w:rPr>
              <w:t>Total</w:t>
            </w:r>
          </w:p>
        </w:tc>
        <w:tc>
          <w:tcPr>
            <w:tcW w:w="284"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rPr>
                <w:rFonts w:eastAsia="Times New Roman" w:cs="Calibri"/>
                <w:b/>
                <w:bCs/>
                <w:i/>
                <w:iCs/>
                <w:sz w:val="20"/>
                <w:szCs w:val="20"/>
                <w:lang w:eastAsia="en-AU"/>
              </w:rPr>
            </w:pPr>
            <w:r w:rsidRPr="00DE7E0E">
              <w:rPr>
                <w:rFonts w:eastAsia="Times New Roman" w:cs="Calibri"/>
                <w:b/>
                <w:bCs/>
                <w:i/>
                <w:iCs/>
                <w:sz w:val="20"/>
                <w:szCs w:val="20"/>
                <w:lang w:eastAsia="en-AU"/>
              </w:rPr>
              <w:t> </w:t>
            </w:r>
          </w:p>
        </w:tc>
        <w:tc>
          <w:tcPr>
            <w:tcW w:w="903"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jc w:val="center"/>
              <w:rPr>
                <w:rFonts w:eastAsia="Times New Roman" w:cs="Calibri"/>
                <w:b/>
                <w:bCs/>
                <w:i/>
                <w:iCs/>
                <w:sz w:val="20"/>
                <w:szCs w:val="20"/>
                <w:lang w:eastAsia="en-AU"/>
              </w:rPr>
            </w:pPr>
            <w:r w:rsidRPr="00DE7E0E">
              <w:rPr>
                <w:rFonts w:eastAsia="Times New Roman" w:cs="Calibri"/>
                <w:b/>
                <w:bCs/>
                <w:i/>
                <w:iCs/>
                <w:sz w:val="20"/>
                <w:szCs w:val="20"/>
                <w:lang w:eastAsia="en-AU"/>
              </w:rPr>
              <w:t>5,538</w:t>
            </w:r>
          </w:p>
        </w:tc>
        <w:tc>
          <w:tcPr>
            <w:tcW w:w="992"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jc w:val="center"/>
              <w:rPr>
                <w:rFonts w:eastAsia="Times New Roman" w:cs="Calibri"/>
                <w:b/>
                <w:bCs/>
                <w:i/>
                <w:iCs/>
                <w:sz w:val="20"/>
                <w:szCs w:val="20"/>
                <w:lang w:eastAsia="en-AU"/>
              </w:rPr>
            </w:pPr>
            <w:r w:rsidRPr="00DE7E0E">
              <w:rPr>
                <w:rFonts w:eastAsia="Times New Roman" w:cs="Calibri"/>
                <w:b/>
                <w:bCs/>
                <w:i/>
                <w:iCs/>
                <w:sz w:val="20"/>
                <w:szCs w:val="20"/>
                <w:lang w:eastAsia="en-AU"/>
              </w:rPr>
              <w:t>5,715</w:t>
            </w:r>
          </w:p>
        </w:tc>
        <w:tc>
          <w:tcPr>
            <w:tcW w:w="993"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jc w:val="center"/>
              <w:rPr>
                <w:rFonts w:eastAsia="Times New Roman" w:cs="Calibri"/>
                <w:b/>
                <w:bCs/>
                <w:i/>
                <w:iCs/>
                <w:sz w:val="20"/>
                <w:szCs w:val="20"/>
                <w:lang w:eastAsia="en-AU"/>
              </w:rPr>
            </w:pPr>
            <w:r w:rsidRPr="00DE7E0E">
              <w:rPr>
                <w:rFonts w:eastAsia="Times New Roman" w:cs="Calibri"/>
                <w:b/>
                <w:bCs/>
                <w:i/>
                <w:iCs/>
                <w:sz w:val="20"/>
                <w:szCs w:val="20"/>
                <w:lang w:eastAsia="en-AU"/>
              </w:rPr>
              <w:t>4,807</w:t>
            </w:r>
          </w:p>
        </w:tc>
        <w:tc>
          <w:tcPr>
            <w:tcW w:w="898" w:type="dxa"/>
            <w:tcBorders>
              <w:top w:val="single" w:sz="4" w:space="0" w:color="1F4E78"/>
              <w:left w:val="nil"/>
              <w:bottom w:val="single" w:sz="4" w:space="0" w:color="1F4E78"/>
              <w:right w:val="nil"/>
            </w:tcBorders>
            <w:shd w:val="clear" w:color="000000" w:fill="FFFFFF"/>
            <w:noWrap/>
            <w:vAlign w:val="bottom"/>
            <w:hideMark/>
          </w:tcPr>
          <w:p w:rsidR="009B02B3" w:rsidRPr="00DE7E0E" w:rsidRDefault="009B02B3" w:rsidP="00874D32">
            <w:pPr>
              <w:jc w:val="center"/>
              <w:rPr>
                <w:rFonts w:eastAsia="Times New Roman" w:cs="Calibri"/>
                <w:b/>
                <w:bCs/>
                <w:i/>
                <w:iCs/>
                <w:sz w:val="20"/>
                <w:szCs w:val="20"/>
                <w:lang w:eastAsia="en-AU"/>
              </w:rPr>
            </w:pPr>
            <w:r w:rsidRPr="00DE7E0E">
              <w:rPr>
                <w:rFonts w:eastAsia="Times New Roman" w:cs="Calibri"/>
                <w:b/>
                <w:bCs/>
                <w:i/>
                <w:iCs/>
                <w:sz w:val="20"/>
                <w:szCs w:val="20"/>
                <w:lang w:eastAsia="en-AU"/>
              </w:rPr>
              <w:t>5,353</w:t>
            </w:r>
          </w:p>
        </w:tc>
      </w:tr>
    </w:tbl>
    <w:p w:rsidR="009B02B3" w:rsidRDefault="009B02B3" w:rsidP="009B02B3">
      <w:pPr>
        <w:autoSpaceDE w:val="0"/>
        <w:autoSpaceDN w:val="0"/>
        <w:adjustRightInd w:val="0"/>
        <w:ind w:left="851" w:right="425"/>
        <w:rPr>
          <w:rFonts w:cs="Arial-BoldMT"/>
          <w:b/>
          <w:bCs/>
          <w:sz w:val="18"/>
          <w:szCs w:val="18"/>
        </w:rPr>
      </w:pPr>
    </w:p>
    <w:p w:rsidR="009B02B3" w:rsidRPr="00E37A28" w:rsidRDefault="009B02B3" w:rsidP="009B02B3">
      <w:pPr>
        <w:autoSpaceDE w:val="0"/>
        <w:autoSpaceDN w:val="0"/>
        <w:adjustRightInd w:val="0"/>
        <w:ind w:left="851" w:right="425"/>
        <w:rPr>
          <w:rFonts w:cs="Arial-BoldMT"/>
          <w:b/>
          <w:bCs/>
          <w:sz w:val="18"/>
          <w:szCs w:val="18"/>
        </w:rPr>
      </w:pPr>
      <w:r w:rsidRPr="00E37A28">
        <w:rPr>
          <w:rFonts w:cs="Arial-BoldMT"/>
          <w:b/>
          <w:bCs/>
          <w:sz w:val="18"/>
          <w:szCs w:val="18"/>
        </w:rPr>
        <w:t>Source:</w:t>
      </w:r>
      <w:r>
        <w:rPr>
          <w:rFonts w:cs="Arial-BoldMT"/>
          <w:bCs/>
          <w:sz w:val="18"/>
          <w:szCs w:val="18"/>
        </w:rPr>
        <w:t xml:space="preserve"> </w:t>
      </w:r>
      <w:r w:rsidR="00EC0751">
        <w:rPr>
          <w:rFonts w:cs="Arial-BoldMT"/>
          <w:bCs/>
          <w:sz w:val="18"/>
          <w:szCs w:val="18"/>
        </w:rPr>
        <w:t>GRV data October 2016</w:t>
      </w:r>
      <w:r>
        <w:rPr>
          <w:rFonts w:cs="Arial-BoldMT"/>
          <w:bCs/>
          <w:sz w:val="18"/>
          <w:szCs w:val="18"/>
        </w:rPr>
        <w:t>:</w:t>
      </w:r>
      <w:r w:rsidRPr="00E37A28">
        <w:rPr>
          <w:rFonts w:cs="Arial-BoldMT"/>
          <w:bCs/>
          <w:sz w:val="18"/>
          <w:szCs w:val="18"/>
        </w:rPr>
        <w:t xml:space="preserve"> *</w:t>
      </w:r>
      <w:r w:rsidRPr="00E37A28">
        <w:rPr>
          <w:rFonts w:eastAsia="Times New Roman" w:cs="Calibri"/>
          <w:sz w:val="18"/>
          <w:szCs w:val="18"/>
          <w:lang w:eastAsia="en-AU"/>
        </w:rPr>
        <w:t>Reason not specified/error in reporting by participant/death by natural causes</w:t>
      </w:r>
      <w:r>
        <w:rPr>
          <w:rFonts w:eastAsia="Times New Roman" w:cs="Calibri"/>
          <w:sz w:val="18"/>
          <w:szCs w:val="18"/>
          <w:lang w:eastAsia="en-AU"/>
        </w:rPr>
        <w:t>, **Includes returned dogs/dogs rehomed/third party green collars passed/dogs euthanased</w:t>
      </w:r>
      <w:r w:rsidR="00C76467">
        <w:rPr>
          <w:rFonts w:eastAsia="Times New Roman" w:cs="Calibri"/>
          <w:sz w:val="18"/>
          <w:szCs w:val="18"/>
          <w:lang w:eastAsia="en-AU"/>
        </w:rPr>
        <w:t xml:space="preserve"> at GAP</w:t>
      </w:r>
      <w:r>
        <w:rPr>
          <w:rFonts w:eastAsia="Times New Roman" w:cs="Calibri"/>
          <w:sz w:val="18"/>
          <w:szCs w:val="18"/>
          <w:lang w:eastAsia="en-AU"/>
        </w:rPr>
        <w:t xml:space="preserve">, </w:t>
      </w:r>
      <w:r w:rsidRPr="00E37A28">
        <w:rPr>
          <w:rFonts w:eastAsia="Times New Roman" w:cs="Calibri"/>
          <w:sz w:val="18"/>
          <w:szCs w:val="18"/>
          <w:vertAlign w:val="superscript"/>
          <w:lang w:eastAsia="en-AU"/>
        </w:rPr>
        <w:t>#</w:t>
      </w:r>
      <w:r>
        <w:rPr>
          <w:rFonts w:eastAsia="Times New Roman" w:cs="Calibri"/>
          <w:sz w:val="18"/>
          <w:szCs w:val="18"/>
          <w:lang w:eastAsia="en-AU"/>
        </w:rPr>
        <w:t>Excluding those euthanased through GAP</w:t>
      </w:r>
    </w:p>
    <w:p w:rsidR="009B02B3" w:rsidRDefault="009B02B3" w:rsidP="00D84322">
      <w:pPr>
        <w:jc w:val="both"/>
      </w:pPr>
    </w:p>
    <w:p w:rsidR="00B25912" w:rsidRDefault="00B25912" w:rsidP="00B25912">
      <w:pPr>
        <w:jc w:val="both"/>
      </w:pPr>
      <w:r>
        <w:t>A dog may be retired for a variety of reasons throughout the life cycle. Very successful dogs may move back to the start of the cycle as a breed</w:t>
      </w:r>
      <w:r w:rsidR="007A2D31">
        <w:t xml:space="preserve">ing </w:t>
      </w:r>
      <w:r w:rsidR="007D7A02">
        <w:t xml:space="preserve">animal. </w:t>
      </w:r>
      <w:r>
        <w:t>Dogs may become pets, exported or sent through t</w:t>
      </w:r>
      <w:r w:rsidRPr="00FE5029">
        <w:t>he Greyhound Adoption Program (GAP)</w:t>
      </w:r>
      <w:r w:rsidR="009D1F1B">
        <w:t xml:space="preserve"> or another adoption</w:t>
      </w:r>
      <w:r w:rsidR="007A2D31">
        <w:t>/rehoming</w:t>
      </w:r>
      <w:r w:rsidR="009D1F1B">
        <w:t xml:space="preserve"> agency</w:t>
      </w:r>
      <w:r>
        <w:t>. GAP</w:t>
      </w:r>
      <w:r w:rsidRPr="00FE5029">
        <w:t xml:space="preserve"> is a GRV initiative dedicated to finding homes for greyhounds that are no longer suitable for racing.</w:t>
      </w:r>
      <w:r w:rsidR="007B521C">
        <w:t xml:space="preserve"> </w:t>
      </w:r>
      <w:r w:rsidR="00330E13">
        <w:rPr>
          <w:lang w:val="en-US"/>
        </w:rPr>
        <w:t>GAP</w:t>
      </w:r>
      <w:r w:rsidR="00330E13" w:rsidRPr="00330E13">
        <w:rPr>
          <w:lang w:val="en-US"/>
        </w:rPr>
        <w:t xml:space="preserve"> is the</w:t>
      </w:r>
      <w:r w:rsidR="00330E13">
        <w:rPr>
          <w:lang w:val="en-US"/>
        </w:rPr>
        <w:t xml:space="preserve"> one of the</w:t>
      </w:r>
      <w:r w:rsidR="00330E13" w:rsidRPr="00330E13">
        <w:rPr>
          <w:lang w:val="en-US"/>
        </w:rPr>
        <w:t xml:space="preserve"> most well known of GRV’s initiatives </w:t>
      </w:r>
      <w:r w:rsidR="00330E13">
        <w:rPr>
          <w:lang w:val="en-US"/>
        </w:rPr>
        <w:t xml:space="preserve">and is </w:t>
      </w:r>
      <w:r w:rsidR="00330E13" w:rsidRPr="00330E13">
        <w:rPr>
          <w:lang w:val="en-US"/>
        </w:rPr>
        <w:t>aimed at finding loving family homes for greyhounds who have retired from the racetrack.</w:t>
      </w:r>
      <w:r w:rsidR="00330E13">
        <w:rPr>
          <w:lang w:val="en-US"/>
        </w:rPr>
        <w:t xml:space="preserve"> </w:t>
      </w:r>
      <w:r w:rsidR="00823880">
        <w:t xml:space="preserve">All dogs that enter </w:t>
      </w:r>
      <w:r w:rsidR="00823880">
        <w:rPr>
          <w:lang w:val="en-US"/>
        </w:rPr>
        <w:t xml:space="preserve">GAP are temperament tested so </w:t>
      </w:r>
      <w:r w:rsidR="00823880" w:rsidRPr="00DC5349">
        <w:t>behavio</w:t>
      </w:r>
      <w:r w:rsidR="00DC5349" w:rsidRPr="00DC5349">
        <w:t>u</w:t>
      </w:r>
      <w:r w:rsidR="00823880" w:rsidRPr="00DC5349">
        <w:t xml:space="preserve">ral </w:t>
      </w:r>
      <w:r w:rsidR="00823880">
        <w:rPr>
          <w:lang w:val="en-US"/>
        </w:rPr>
        <w:t>issues and traits associated with racing greyhounds can be adequately managed</w:t>
      </w:r>
      <w:r w:rsidR="00A426B0">
        <w:rPr>
          <w:lang w:val="en-US"/>
        </w:rPr>
        <w:t>.</w:t>
      </w:r>
    </w:p>
    <w:p w:rsidR="00B25912" w:rsidRDefault="00B25912" w:rsidP="00D84322">
      <w:pPr>
        <w:jc w:val="both"/>
        <w:rPr>
          <w:lang w:val="en-US"/>
        </w:rPr>
      </w:pPr>
    </w:p>
    <w:p w:rsidR="00E24449" w:rsidRDefault="00247AFC" w:rsidP="00D84322">
      <w:pPr>
        <w:jc w:val="both"/>
        <w:rPr>
          <w:lang w:val="en-US"/>
        </w:rPr>
      </w:pPr>
      <w:r>
        <w:rPr>
          <w:lang w:val="en-US"/>
        </w:rPr>
        <w:t xml:space="preserve">Whilst some </w:t>
      </w:r>
      <w:r w:rsidR="002D690B" w:rsidRPr="00DC5349">
        <w:t>behavio</w:t>
      </w:r>
      <w:r w:rsidR="00DC5349" w:rsidRPr="00DC5349">
        <w:t>u</w:t>
      </w:r>
      <w:r w:rsidR="002D690B" w:rsidRPr="00DC5349">
        <w:t>ral</w:t>
      </w:r>
      <w:r>
        <w:rPr>
          <w:lang w:val="en-US"/>
        </w:rPr>
        <w:t xml:space="preserve"> training may occur through the rehoming process, g</w:t>
      </w:r>
      <w:r w:rsidR="00D84322">
        <w:rPr>
          <w:lang w:val="en-US"/>
        </w:rPr>
        <w:t>reyhounds</w:t>
      </w:r>
      <w:r>
        <w:rPr>
          <w:lang w:val="en-US"/>
        </w:rPr>
        <w:t xml:space="preserve"> who have come from a lifetime in the racing environment may</w:t>
      </w:r>
      <w:r w:rsidR="009D1F1B">
        <w:rPr>
          <w:lang w:val="en-US"/>
        </w:rPr>
        <w:t xml:space="preserve"> </w:t>
      </w:r>
      <w:r w:rsidR="00D84322">
        <w:rPr>
          <w:lang w:val="en-US"/>
        </w:rPr>
        <w:t>therefore</w:t>
      </w:r>
      <w:r w:rsidR="009D1F1B">
        <w:rPr>
          <w:lang w:val="en-US"/>
        </w:rPr>
        <w:t xml:space="preserve"> benefit from a period of </w:t>
      </w:r>
      <w:r w:rsidR="00D84322">
        <w:rPr>
          <w:lang w:val="en-US"/>
        </w:rPr>
        <w:t>recondition</w:t>
      </w:r>
      <w:r w:rsidR="009D1F1B">
        <w:rPr>
          <w:lang w:val="en-US"/>
        </w:rPr>
        <w:t>ing</w:t>
      </w:r>
      <w:r w:rsidR="00D84322">
        <w:rPr>
          <w:lang w:val="en-US"/>
        </w:rPr>
        <w:t xml:space="preserve"> (in terms of many of these </w:t>
      </w:r>
      <w:r w:rsidR="00D84322" w:rsidRPr="00DC5349">
        <w:t>behaviours</w:t>
      </w:r>
      <w:r w:rsidR="00D84322">
        <w:rPr>
          <w:lang w:val="en-US"/>
        </w:rPr>
        <w:t xml:space="preserve">) to </w:t>
      </w:r>
      <w:r w:rsidR="009D1F1B">
        <w:rPr>
          <w:lang w:val="en-US"/>
        </w:rPr>
        <w:t xml:space="preserve">successfully </w:t>
      </w:r>
      <w:r w:rsidR="00D84322">
        <w:rPr>
          <w:lang w:val="en-US"/>
        </w:rPr>
        <w:t>transition from being a racing animal to a pet</w:t>
      </w:r>
      <w:r w:rsidR="00B310B2">
        <w:rPr>
          <w:lang w:val="en-US"/>
        </w:rPr>
        <w:t>,</w:t>
      </w:r>
      <w:r w:rsidR="00D84322">
        <w:rPr>
          <w:lang w:val="en-US"/>
        </w:rPr>
        <w:t xml:space="preserve"> before they can be put into the community.</w:t>
      </w:r>
      <w:r w:rsidR="007B521C">
        <w:rPr>
          <w:lang w:val="en-US"/>
        </w:rPr>
        <w:t xml:space="preserve"> </w:t>
      </w:r>
      <w:r w:rsidR="00610D25">
        <w:rPr>
          <w:lang w:val="en-US"/>
        </w:rPr>
        <w:t xml:space="preserve">Once </w:t>
      </w:r>
      <w:r w:rsidR="009D1F1B">
        <w:rPr>
          <w:lang w:val="en-US"/>
        </w:rPr>
        <w:t>considered suitable for re-homing (which may or may not require a period of reconditioning)</w:t>
      </w:r>
      <w:r w:rsidR="00B310B2">
        <w:rPr>
          <w:lang w:val="en-US"/>
        </w:rPr>
        <w:t>,</w:t>
      </w:r>
      <w:r w:rsidR="00610D25">
        <w:rPr>
          <w:lang w:val="en-US"/>
        </w:rPr>
        <w:t xml:space="preserve"> g</w:t>
      </w:r>
      <w:r w:rsidR="00610D25" w:rsidRPr="00892014">
        <w:rPr>
          <w:lang w:val="en-US"/>
        </w:rPr>
        <w:t xml:space="preserve">reyhounds are </w:t>
      </w:r>
      <w:r w:rsidR="00823880">
        <w:rPr>
          <w:lang w:val="en-US"/>
        </w:rPr>
        <w:t>generally</w:t>
      </w:r>
      <w:r w:rsidR="00823880" w:rsidRPr="00892014">
        <w:rPr>
          <w:lang w:val="en-US"/>
        </w:rPr>
        <w:t xml:space="preserve"> </w:t>
      </w:r>
      <w:r w:rsidR="00610D25">
        <w:rPr>
          <w:lang w:val="en-US"/>
        </w:rPr>
        <w:t>well suited to apartment living and properties with small yards</w:t>
      </w:r>
      <w:r w:rsidR="00B310B2">
        <w:rPr>
          <w:lang w:val="en-US"/>
        </w:rPr>
        <w:t xml:space="preserve"> </w:t>
      </w:r>
      <w:r w:rsidR="00FE5029">
        <w:rPr>
          <w:lang w:val="en-US"/>
        </w:rPr>
        <w:t xml:space="preserve">– </w:t>
      </w:r>
      <w:r w:rsidR="00610D25">
        <w:rPr>
          <w:lang w:val="en-US"/>
        </w:rPr>
        <w:t>are quie</w:t>
      </w:r>
      <w:r w:rsidR="00B310B2">
        <w:rPr>
          <w:lang w:val="en-US"/>
        </w:rPr>
        <w:t>t</w:t>
      </w:r>
      <w:r w:rsidR="00610D25">
        <w:rPr>
          <w:lang w:val="en-US"/>
        </w:rPr>
        <w:t xml:space="preserve"> and rarely bark</w:t>
      </w:r>
      <w:r w:rsidR="00B310B2">
        <w:rPr>
          <w:lang w:val="en-US"/>
        </w:rPr>
        <w:t xml:space="preserve">. </w:t>
      </w:r>
      <w:r w:rsidR="00610D25">
        <w:rPr>
          <w:lang w:val="en-US"/>
        </w:rPr>
        <w:t>GRV intensively promote</w:t>
      </w:r>
      <w:r w:rsidR="00FE5029">
        <w:rPr>
          <w:lang w:val="en-US"/>
        </w:rPr>
        <w:t>s</w:t>
      </w:r>
      <w:r w:rsidR="00610D25">
        <w:rPr>
          <w:lang w:val="en-US"/>
        </w:rPr>
        <w:t xml:space="preserve"> </w:t>
      </w:r>
      <w:r w:rsidR="00823880">
        <w:rPr>
          <w:lang w:val="en-US"/>
        </w:rPr>
        <w:t>greyhounds</w:t>
      </w:r>
      <w:r w:rsidR="00610D25">
        <w:rPr>
          <w:lang w:val="en-US"/>
        </w:rPr>
        <w:t xml:space="preserve"> as great pets.</w:t>
      </w:r>
      <w:r w:rsidR="00610D25">
        <w:rPr>
          <w:rStyle w:val="FootnoteReference"/>
          <w:lang w:val="en-US"/>
        </w:rPr>
        <w:footnoteReference w:id="47"/>
      </w:r>
      <w:r w:rsidR="007B521C">
        <w:rPr>
          <w:lang w:val="en-US"/>
        </w:rPr>
        <w:t xml:space="preserve"> </w:t>
      </w:r>
      <w:r w:rsidR="009B02B3">
        <w:rPr>
          <w:lang w:val="en-US"/>
        </w:rPr>
        <w:t xml:space="preserve">A summary of GAP activities is provided in Table </w:t>
      </w:r>
      <w:r w:rsidR="00450604">
        <w:rPr>
          <w:lang w:val="en-US"/>
        </w:rPr>
        <w:t>8</w:t>
      </w:r>
      <w:r w:rsidR="00C54E38">
        <w:rPr>
          <w:lang w:val="en-US"/>
        </w:rPr>
        <w:t>.</w:t>
      </w:r>
    </w:p>
    <w:p w:rsidR="009B02B3" w:rsidRDefault="009B02B3" w:rsidP="00D84322">
      <w:pPr>
        <w:jc w:val="both"/>
        <w:rPr>
          <w:lang w:val="en-US"/>
        </w:rPr>
      </w:pPr>
    </w:p>
    <w:p w:rsidR="009B02B3" w:rsidRPr="00A210A1" w:rsidRDefault="009B02B3" w:rsidP="004B0055">
      <w:pPr>
        <w:jc w:val="center"/>
        <w:rPr>
          <w:b/>
          <w:sz w:val="20"/>
          <w:lang w:val="en-US"/>
        </w:rPr>
      </w:pPr>
      <w:r w:rsidRPr="00A210A1">
        <w:rPr>
          <w:b/>
          <w:sz w:val="20"/>
          <w:lang w:val="en-US"/>
        </w:rPr>
        <w:t xml:space="preserve">Table </w:t>
      </w:r>
      <w:r w:rsidR="00450604" w:rsidRPr="00A210A1">
        <w:rPr>
          <w:b/>
          <w:sz w:val="20"/>
          <w:lang w:val="en-US"/>
        </w:rPr>
        <w:t>8</w:t>
      </w:r>
      <w:r w:rsidRPr="00A210A1">
        <w:rPr>
          <w:b/>
          <w:sz w:val="20"/>
          <w:lang w:val="en-US"/>
        </w:rPr>
        <w:t>: Retirement of greyhounds from industry by category through GAP</w:t>
      </w:r>
    </w:p>
    <w:p w:rsidR="009B02B3" w:rsidRPr="004B0055" w:rsidRDefault="009B02B3" w:rsidP="004B0055">
      <w:pPr>
        <w:jc w:val="center"/>
        <w:rPr>
          <w:b/>
          <w:lang w:val="en-US"/>
        </w:rPr>
      </w:pPr>
    </w:p>
    <w:tbl>
      <w:tblPr>
        <w:tblW w:w="7797" w:type="dxa"/>
        <w:tblLook w:val="04A0" w:firstRow="1" w:lastRow="0" w:firstColumn="1" w:lastColumn="0" w:noHBand="0" w:noVBand="1"/>
      </w:tblPr>
      <w:tblGrid>
        <w:gridCol w:w="3828"/>
        <w:gridCol w:w="284"/>
        <w:gridCol w:w="992"/>
        <w:gridCol w:w="992"/>
        <w:gridCol w:w="992"/>
        <w:gridCol w:w="709"/>
      </w:tblGrid>
      <w:tr w:rsidR="009B02B3" w:rsidRPr="005E307C" w:rsidTr="00C54E38">
        <w:trPr>
          <w:trHeight w:val="315"/>
          <w:tblHeader/>
        </w:trPr>
        <w:tc>
          <w:tcPr>
            <w:tcW w:w="3828"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Greyhound category</w:t>
            </w:r>
          </w:p>
        </w:tc>
        <w:tc>
          <w:tcPr>
            <w:tcW w:w="284"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 </w:t>
            </w:r>
          </w:p>
        </w:tc>
        <w:tc>
          <w:tcPr>
            <w:tcW w:w="992"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2015-16</w:t>
            </w:r>
          </w:p>
        </w:tc>
        <w:tc>
          <w:tcPr>
            <w:tcW w:w="992"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2014-15</w:t>
            </w:r>
          </w:p>
        </w:tc>
        <w:tc>
          <w:tcPr>
            <w:tcW w:w="992"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2013-14</w:t>
            </w:r>
          </w:p>
        </w:tc>
        <w:tc>
          <w:tcPr>
            <w:tcW w:w="709" w:type="dxa"/>
            <w:tcBorders>
              <w:top w:val="single" w:sz="4" w:space="0" w:color="1F4E78"/>
              <w:left w:val="nil"/>
              <w:bottom w:val="double" w:sz="6" w:space="0" w:color="1F4E78"/>
              <w:right w:val="nil"/>
            </w:tcBorders>
            <w:shd w:val="clear" w:color="000000" w:fill="FFFFFF"/>
            <w:noWrap/>
            <w:vAlign w:val="bottom"/>
            <w:hideMark/>
          </w:tcPr>
          <w:p w:rsidR="009B02B3" w:rsidRPr="005E307C" w:rsidRDefault="009B02B3" w:rsidP="009B02B3">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Avg.</w:t>
            </w:r>
          </w:p>
        </w:tc>
      </w:tr>
      <w:tr w:rsidR="009B02B3" w:rsidRPr="009B02B3" w:rsidTr="004B0055">
        <w:trPr>
          <w:trHeight w:val="25"/>
        </w:trPr>
        <w:tc>
          <w:tcPr>
            <w:tcW w:w="3828" w:type="dxa"/>
            <w:tcBorders>
              <w:top w:val="nil"/>
              <w:left w:val="nil"/>
              <w:bottom w:val="nil"/>
              <w:right w:val="nil"/>
            </w:tcBorders>
            <w:shd w:val="clear" w:color="000000" w:fill="FFFFFF"/>
            <w:noWrap/>
            <w:vAlign w:val="center"/>
            <w:hideMark/>
          </w:tcPr>
          <w:p w:rsidR="009B02B3" w:rsidRPr="009B02B3" w:rsidRDefault="009B02B3" w:rsidP="009B02B3">
            <w:pPr>
              <w:rPr>
                <w:rFonts w:eastAsia="Times New Roman" w:cs="Calibri"/>
                <w:sz w:val="20"/>
                <w:szCs w:val="20"/>
                <w:lang w:eastAsia="en-AU"/>
              </w:rPr>
            </w:pPr>
            <w:r w:rsidRPr="009B02B3">
              <w:rPr>
                <w:rFonts w:eastAsia="Times New Roman" w:cs="Calibri"/>
                <w:sz w:val="20"/>
                <w:szCs w:val="20"/>
                <w:lang w:eastAsia="en-AU"/>
              </w:rPr>
              <w:t>Unique Greyhounds rehomed through GAP</w:t>
            </w:r>
          </w:p>
        </w:tc>
        <w:tc>
          <w:tcPr>
            <w:tcW w:w="284" w:type="dxa"/>
            <w:tcBorders>
              <w:top w:val="nil"/>
              <w:left w:val="nil"/>
              <w:bottom w:val="nil"/>
              <w:right w:val="nil"/>
            </w:tcBorders>
            <w:shd w:val="clear" w:color="000000" w:fill="FFFFFF"/>
            <w:noWrap/>
            <w:vAlign w:val="bottom"/>
            <w:hideMark/>
          </w:tcPr>
          <w:p w:rsidR="009B02B3" w:rsidRPr="009B02B3" w:rsidRDefault="009B02B3" w:rsidP="009B02B3">
            <w:pPr>
              <w:rPr>
                <w:rFonts w:eastAsia="Times New Roman" w:cs="Calibri"/>
                <w:sz w:val="20"/>
                <w:szCs w:val="20"/>
                <w:lang w:eastAsia="en-AU"/>
              </w:rPr>
            </w:pPr>
            <w:r w:rsidRPr="009B02B3">
              <w:rPr>
                <w:rFonts w:eastAsia="Times New Roman" w:cs="Calibri"/>
                <w:sz w:val="20"/>
                <w:szCs w:val="20"/>
                <w:lang w:eastAsia="en-AU"/>
              </w:rPr>
              <w:t> </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809</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700</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415</w:t>
            </w:r>
          </w:p>
        </w:tc>
        <w:tc>
          <w:tcPr>
            <w:tcW w:w="709"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641</w:t>
            </w:r>
          </w:p>
        </w:tc>
      </w:tr>
      <w:tr w:rsidR="009B02B3" w:rsidRPr="009B02B3" w:rsidTr="004B0055">
        <w:trPr>
          <w:trHeight w:val="60"/>
        </w:trPr>
        <w:tc>
          <w:tcPr>
            <w:tcW w:w="3828" w:type="dxa"/>
            <w:tcBorders>
              <w:top w:val="nil"/>
              <w:left w:val="nil"/>
              <w:bottom w:val="nil"/>
              <w:right w:val="nil"/>
            </w:tcBorders>
            <w:shd w:val="clear" w:color="000000" w:fill="FFFFFF"/>
            <w:noWrap/>
            <w:vAlign w:val="center"/>
            <w:hideMark/>
          </w:tcPr>
          <w:p w:rsidR="009B02B3" w:rsidRPr="009B02B3" w:rsidRDefault="009B02B3" w:rsidP="009B02B3">
            <w:pPr>
              <w:rPr>
                <w:rFonts w:eastAsia="Times New Roman" w:cs="Calibri"/>
                <w:sz w:val="20"/>
                <w:szCs w:val="20"/>
                <w:lang w:eastAsia="en-AU"/>
              </w:rPr>
            </w:pPr>
            <w:r w:rsidRPr="009B02B3">
              <w:rPr>
                <w:rFonts w:eastAsia="Times New Roman" w:cs="Calibri"/>
                <w:sz w:val="20"/>
                <w:szCs w:val="20"/>
                <w:lang w:eastAsia="en-AU"/>
              </w:rPr>
              <w:t>Greyhounds euthanased through GAP</w:t>
            </w:r>
          </w:p>
        </w:tc>
        <w:tc>
          <w:tcPr>
            <w:tcW w:w="284" w:type="dxa"/>
            <w:tcBorders>
              <w:top w:val="nil"/>
              <w:left w:val="nil"/>
              <w:bottom w:val="nil"/>
              <w:right w:val="nil"/>
            </w:tcBorders>
            <w:shd w:val="clear" w:color="000000" w:fill="FFFFFF"/>
            <w:noWrap/>
            <w:vAlign w:val="bottom"/>
            <w:hideMark/>
          </w:tcPr>
          <w:p w:rsidR="009B02B3" w:rsidRPr="009B02B3" w:rsidRDefault="009B02B3" w:rsidP="009B02B3">
            <w:pPr>
              <w:rPr>
                <w:rFonts w:eastAsia="Times New Roman" w:cs="Calibri"/>
                <w:sz w:val="20"/>
                <w:szCs w:val="20"/>
                <w:lang w:eastAsia="en-AU"/>
              </w:rPr>
            </w:pPr>
            <w:r w:rsidRPr="009B02B3">
              <w:rPr>
                <w:rFonts w:eastAsia="Times New Roman" w:cs="Calibri"/>
                <w:sz w:val="20"/>
                <w:szCs w:val="20"/>
                <w:lang w:eastAsia="en-AU"/>
              </w:rPr>
              <w:t> </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192</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130</w:t>
            </w:r>
          </w:p>
        </w:tc>
        <w:tc>
          <w:tcPr>
            <w:tcW w:w="992"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156</w:t>
            </w:r>
          </w:p>
        </w:tc>
        <w:tc>
          <w:tcPr>
            <w:tcW w:w="709" w:type="dxa"/>
            <w:tcBorders>
              <w:top w:val="nil"/>
              <w:left w:val="nil"/>
              <w:bottom w:val="nil"/>
              <w:right w:val="nil"/>
            </w:tcBorders>
            <w:shd w:val="clear" w:color="000000" w:fill="FFFFFF"/>
            <w:noWrap/>
            <w:vAlign w:val="bottom"/>
            <w:hideMark/>
          </w:tcPr>
          <w:p w:rsidR="009B02B3" w:rsidRPr="009B02B3" w:rsidRDefault="009B02B3" w:rsidP="009B02B3">
            <w:pPr>
              <w:jc w:val="center"/>
              <w:rPr>
                <w:rFonts w:eastAsia="Times New Roman" w:cs="Calibri"/>
                <w:sz w:val="20"/>
                <w:szCs w:val="20"/>
                <w:lang w:eastAsia="en-AU"/>
              </w:rPr>
            </w:pPr>
            <w:r w:rsidRPr="009B02B3">
              <w:rPr>
                <w:rFonts w:eastAsia="Times New Roman" w:cs="Calibri"/>
                <w:sz w:val="20"/>
                <w:szCs w:val="20"/>
                <w:lang w:eastAsia="en-AU"/>
              </w:rPr>
              <w:t>159</w:t>
            </w:r>
          </w:p>
        </w:tc>
      </w:tr>
      <w:tr w:rsidR="009B02B3" w:rsidRPr="009B02B3" w:rsidTr="004B0055">
        <w:trPr>
          <w:trHeight w:val="60"/>
        </w:trPr>
        <w:tc>
          <w:tcPr>
            <w:tcW w:w="3828" w:type="dxa"/>
            <w:tcBorders>
              <w:top w:val="nil"/>
              <w:left w:val="nil"/>
              <w:bottom w:val="nil"/>
              <w:right w:val="nil"/>
            </w:tcBorders>
            <w:shd w:val="clear" w:color="000000" w:fill="FFFFFF"/>
            <w:noWrap/>
            <w:vAlign w:val="bottom"/>
            <w:hideMark/>
          </w:tcPr>
          <w:p w:rsidR="009B02B3" w:rsidRPr="00A073BE" w:rsidRDefault="009B02B3" w:rsidP="009B02B3">
            <w:pPr>
              <w:rPr>
                <w:rFonts w:eastAsia="Times New Roman" w:cs="Calibri"/>
                <w:sz w:val="20"/>
                <w:szCs w:val="20"/>
                <w:lang w:eastAsia="en-AU"/>
              </w:rPr>
            </w:pPr>
            <w:r w:rsidRPr="00A073BE">
              <w:rPr>
                <w:rFonts w:eastAsia="Times New Roman" w:cs="Calibri"/>
                <w:sz w:val="20"/>
                <w:szCs w:val="20"/>
                <w:lang w:eastAsia="en-AU"/>
              </w:rPr>
              <w:t>Third party green collars passed</w:t>
            </w:r>
          </w:p>
        </w:tc>
        <w:tc>
          <w:tcPr>
            <w:tcW w:w="284" w:type="dxa"/>
            <w:tcBorders>
              <w:top w:val="nil"/>
              <w:left w:val="nil"/>
              <w:bottom w:val="nil"/>
              <w:right w:val="nil"/>
            </w:tcBorders>
            <w:shd w:val="clear" w:color="000000" w:fill="FFFFFF"/>
            <w:noWrap/>
            <w:vAlign w:val="bottom"/>
            <w:hideMark/>
          </w:tcPr>
          <w:p w:rsidR="009B02B3" w:rsidRPr="00A073BE" w:rsidRDefault="009B02B3" w:rsidP="009B02B3">
            <w:pPr>
              <w:rPr>
                <w:rFonts w:eastAsia="Times New Roman" w:cs="Calibri"/>
                <w:sz w:val="20"/>
                <w:szCs w:val="20"/>
                <w:lang w:eastAsia="en-AU"/>
              </w:rPr>
            </w:pPr>
            <w:r w:rsidRPr="00A073BE">
              <w:rPr>
                <w:rFonts w:eastAsia="Times New Roman" w:cs="Calibri"/>
                <w:sz w:val="20"/>
                <w:szCs w:val="20"/>
                <w:lang w:eastAsia="en-AU"/>
              </w:rPr>
              <w:t> </w:t>
            </w:r>
          </w:p>
        </w:tc>
        <w:tc>
          <w:tcPr>
            <w:tcW w:w="992" w:type="dxa"/>
            <w:tcBorders>
              <w:top w:val="nil"/>
              <w:left w:val="nil"/>
              <w:bottom w:val="nil"/>
              <w:right w:val="nil"/>
            </w:tcBorders>
            <w:shd w:val="clear" w:color="000000" w:fill="FFFFFF"/>
            <w:noWrap/>
            <w:vAlign w:val="bottom"/>
            <w:hideMark/>
          </w:tcPr>
          <w:p w:rsidR="009B02B3" w:rsidRPr="00A073BE" w:rsidRDefault="009B02B3" w:rsidP="009B02B3">
            <w:pPr>
              <w:jc w:val="center"/>
              <w:rPr>
                <w:rFonts w:eastAsia="Times New Roman" w:cs="Calibri"/>
                <w:sz w:val="20"/>
                <w:szCs w:val="20"/>
                <w:lang w:eastAsia="en-AU"/>
              </w:rPr>
            </w:pPr>
            <w:r w:rsidRPr="00A073BE">
              <w:rPr>
                <w:rFonts w:eastAsia="Times New Roman" w:cs="Calibri"/>
                <w:sz w:val="20"/>
                <w:szCs w:val="20"/>
                <w:lang w:eastAsia="en-AU"/>
              </w:rPr>
              <w:t>36</w:t>
            </w:r>
          </w:p>
        </w:tc>
        <w:tc>
          <w:tcPr>
            <w:tcW w:w="992" w:type="dxa"/>
            <w:tcBorders>
              <w:top w:val="nil"/>
              <w:left w:val="nil"/>
              <w:bottom w:val="nil"/>
              <w:right w:val="nil"/>
            </w:tcBorders>
            <w:shd w:val="clear" w:color="000000" w:fill="FFFFFF"/>
            <w:noWrap/>
            <w:vAlign w:val="bottom"/>
            <w:hideMark/>
          </w:tcPr>
          <w:p w:rsidR="009B02B3" w:rsidRPr="00A073BE" w:rsidRDefault="009B02B3" w:rsidP="009B02B3">
            <w:pPr>
              <w:jc w:val="center"/>
              <w:rPr>
                <w:rFonts w:eastAsia="Times New Roman" w:cs="Calibri"/>
                <w:sz w:val="20"/>
                <w:szCs w:val="20"/>
                <w:lang w:eastAsia="en-AU"/>
              </w:rPr>
            </w:pPr>
            <w:r w:rsidRPr="00A073BE">
              <w:rPr>
                <w:rFonts w:eastAsia="Times New Roman" w:cs="Calibri"/>
                <w:sz w:val="20"/>
                <w:szCs w:val="20"/>
                <w:lang w:eastAsia="en-AU"/>
              </w:rPr>
              <w:t>91</w:t>
            </w:r>
          </w:p>
        </w:tc>
        <w:tc>
          <w:tcPr>
            <w:tcW w:w="992" w:type="dxa"/>
            <w:tcBorders>
              <w:top w:val="nil"/>
              <w:left w:val="nil"/>
              <w:bottom w:val="nil"/>
              <w:right w:val="nil"/>
            </w:tcBorders>
            <w:shd w:val="clear" w:color="000000" w:fill="FFFFFF"/>
            <w:noWrap/>
            <w:vAlign w:val="bottom"/>
            <w:hideMark/>
          </w:tcPr>
          <w:p w:rsidR="009B02B3" w:rsidRPr="00A073BE" w:rsidRDefault="009B02B3" w:rsidP="009B02B3">
            <w:pPr>
              <w:jc w:val="center"/>
              <w:rPr>
                <w:rFonts w:eastAsia="Times New Roman" w:cs="Calibri"/>
                <w:sz w:val="20"/>
                <w:szCs w:val="20"/>
                <w:lang w:eastAsia="en-AU"/>
              </w:rPr>
            </w:pPr>
            <w:r w:rsidRPr="00A073BE">
              <w:rPr>
                <w:rFonts w:eastAsia="Times New Roman" w:cs="Calibri"/>
                <w:sz w:val="20"/>
                <w:szCs w:val="20"/>
                <w:lang w:eastAsia="en-AU"/>
              </w:rPr>
              <w:t>-</w:t>
            </w:r>
          </w:p>
        </w:tc>
        <w:tc>
          <w:tcPr>
            <w:tcW w:w="709" w:type="dxa"/>
            <w:tcBorders>
              <w:top w:val="nil"/>
              <w:left w:val="nil"/>
              <w:bottom w:val="nil"/>
              <w:right w:val="nil"/>
            </w:tcBorders>
            <w:shd w:val="clear" w:color="000000" w:fill="FFFFFF"/>
            <w:noWrap/>
            <w:vAlign w:val="bottom"/>
            <w:hideMark/>
          </w:tcPr>
          <w:p w:rsidR="009B02B3" w:rsidRPr="00A073BE" w:rsidRDefault="009B02B3" w:rsidP="009B02B3">
            <w:pPr>
              <w:jc w:val="center"/>
              <w:rPr>
                <w:rFonts w:eastAsia="Times New Roman" w:cs="Calibri"/>
                <w:sz w:val="20"/>
                <w:szCs w:val="20"/>
                <w:lang w:eastAsia="en-AU"/>
              </w:rPr>
            </w:pPr>
            <w:r w:rsidRPr="00A073BE">
              <w:rPr>
                <w:rFonts w:eastAsia="Times New Roman" w:cs="Calibri"/>
                <w:sz w:val="20"/>
                <w:szCs w:val="20"/>
                <w:lang w:eastAsia="en-AU"/>
              </w:rPr>
              <w:t>64</w:t>
            </w:r>
          </w:p>
        </w:tc>
      </w:tr>
      <w:tr w:rsidR="009B02B3" w:rsidRPr="009B02B3" w:rsidTr="004B0055">
        <w:trPr>
          <w:trHeight w:val="50"/>
        </w:trPr>
        <w:tc>
          <w:tcPr>
            <w:tcW w:w="3828"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rPr>
                <w:rFonts w:eastAsia="Times New Roman" w:cs="Calibri"/>
                <w:b/>
                <w:bCs/>
                <w:i/>
                <w:iCs/>
                <w:sz w:val="20"/>
                <w:szCs w:val="20"/>
                <w:lang w:eastAsia="en-AU"/>
              </w:rPr>
            </w:pPr>
            <w:r w:rsidRPr="009B02B3">
              <w:rPr>
                <w:rFonts w:eastAsia="Times New Roman" w:cs="Calibri"/>
                <w:b/>
                <w:bCs/>
                <w:i/>
                <w:iCs/>
                <w:sz w:val="20"/>
                <w:szCs w:val="20"/>
                <w:lang w:eastAsia="en-AU"/>
              </w:rPr>
              <w:t>Total</w:t>
            </w:r>
          </w:p>
        </w:tc>
        <w:tc>
          <w:tcPr>
            <w:tcW w:w="284"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rPr>
                <w:rFonts w:eastAsia="Times New Roman" w:cs="Calibri"/>
                <w:b/>
                <w:bCs/>
                <w:i/>
                <w:iCs/>
                <w:sz w:val="20"/>
                <w:szCs w:val="20"/>
                <w:lang w:eastAsia="en-AU"/>
              </w:rPr>
            </w:pPr>
            <w:r w:rsidRPr="009B02B3">
              <w:rPr>
                <w:rFonts w:eastAsia="Times New Roman" w:cs="Calibri"/>
                <w:b/>
                <w:bCs/>
                <w:i/>
                <w:iCs/>
                <w:sz w:val="20"/>
                <w:szCs w:val="20"/>
                <w:lang w:eastAsia="en-AU"/>
              </w:rPr>
              <w:t> </w:t>
            </w:r>
          </w:p>
        </w:tc>
        <w:tc>
          <w:tcPr>
            <w:tcW w:w="992"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jc w:val="center"/>
              <w:rPr>
                <w:rFonts w:eastAsia="Times New Roman" w:cs="Calibri"/>
                <w:b/>
                <w:bCs/>
                <w:i/>
                <w:iCs/>
                <w:sz w:val="20"/>
                <w:szCs w:val="20"/>
                <w:lang w:eastAsia="en-AU"/>
              </w:rPr>
            </w:pPr>
            <w:r w:rsidRPr="009B02B3">
              <w:rPr>
                <w:rFonts w:eastAsia="Times New Roman" w:cs="Calibri"/>
                <w:b/>
                <w:bCs/>
                <w:i/>
                <w:iCs/>
                <w:sz w:val="20"/>
                <w:szCs w:val="20"/>
                <w:lang w:eastAsia="en-AU"/>
              </w:rPr>
              <w:t>1,037</w:t>
            </w:r>
            <w:r w:rsidR="00C54E38">
              <w:rPr>
                <w:rFonts w:eastAsia="Times New Roman" w:cs="Calibri"/>
                <w:b/>
                <w:bCs/>
                <w:i/>
                <w:iCs/>
                <w:sz w:val="20"/>
                <w:szCs w:val="20"/>
                <w:lang w:eastAsia="en-AU"/>
              </w:rPr>
              <w:t>*</w:t>
            </w:r>
          </w:p>
        </w:tc>
        <w:tc>
          <w:tcPr>
            <w:tcW w:w="992"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jc w:val="center"/>
              <w:rPr>
                <w:rFonts w:eastAsia="Times New Roman" w:cs="Calibri"/>
                <w:b/>
                <w:bCs/>
                <w:i/>
                <w:iCs/>
                <w:sz w:val="20"/>
                <w:szCs w:val="20"/>
                <w:lang w:eastAsia="en-AU"/>
              </w:rPr>
            </w:pPr>
            <w:r w:rsidRPr="009B02B3">
              <w:rPr>
                <w:rFonts w:eastAsia="Times New Roman" w:cs="Calibri"/>
                <w:b/>
                <w:bCs/>
                <w:i/>
                <w:iCs/>
                <w:sz w:val="20"/>
                <w:szCs w:val="20"/>
                <w:lang w:eastAsia="en-AU"/>
              </w:rPr>
              <w:t>921</w:t>
            </w:r>
          </w:p>
        </w:tc>
        <w:tc>
          <w:tcPr>
            <w:tcW w:w="992"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jc w:val="center"/>
              <w:rPr>
                <w:rFonts w:eastAsia="Times New Roman" w:cs="Calibri"/>
                <w:b/>
                <w:bCs/>
                <w:i/>
                <w:iCs/>
                <w:sz w:val="20"/>
                <w:szCs w:val="20"/>
                <w:lang w:eastAsia="en-AU"/>
              </w:rPr>
            </w:pPr>
            <w:r w:rsidRPr="009B02B3">
              <w:rPr>
                <w:rFonts w:eastAsia="Times New Roman" w:cs="Calibri"/>
                <w:b/>
                <w:bCs/>
                <w:i/>
                <w:iCs/>
                <w:sz w:val="20"/>
                <w:szCs w:val="20"/>
                <w:lang w:eastAsia="en-AU"/>
              </w:rPr>
              <w:t>571</w:t>
            </w:r>
          </w:p>
        </w:tc>
        <w:tc>
          <w:tcPr>
            <w:tcW w:w="709" w:type="dxa"/>
            <w:tcBorders>
              <w:top w:val="single" w:sz="4" w:space="0" w:color="1F4E78"/>
              <w:left w:val="nil"/>
              <w:bottom w:val="single" w:sz="4" w:space="0" w:color="1F4E78"/>
              <w:right w:val="nil"/>
            </w:tcBorders>
            <w:shd w:val="clear" w:color="000000" w:fill="FFFFFF"/>
            <w:noWrap/>
            <w:vAlign w:val="bottom"/>
            <w:hideMark/>
          </w:tcPr>
          <w:p w:rsidR="009B02B3" w:rsidRPr="009B02B3" w:rsidRDefault="009B02B3" w:rsidP="009B02B3">
            <w:pPr>
              <w:jc w:val="center"/>
              <w:rPr>
                <w:rFonts w:eastAsia="Times New Roman" w:cs="Calibri"/>
                <w:b/>
                <w:bCs/>
                <w:i/>
                <w:iCs/>
                <w:sz w:val="20"/>
                <w:szCs w:val="20"/>
                <w:lang w:eastAsia="en-AU"/>
              </w:rPr>
            </w:pPr>
            <w:r w:rsidRPr="009B02B3">
              <w:rPr>
                <w:rFonts w:eastAsia="Times New Roman" w:cs="Calibri"/>
                <w:b/>
                <w:bCs/>
                <w:i/>
                <w:iCs/>
                <w:sz w:val="20"/>
                <w:szCs w:val="20"/>
                <w:lang w:eastAsia="en-AU"/>
              </w:rPr>
              <w:t>864</w:t>
            </w:r>
          </w:p>
        </w:tc>
      </w:tr>
    </w:tbl>
    <w:p w:rsidR="005A7F35" w:rsidRPr="004B0055" w:rsidRDefault="00EC0751" w:rsidP="00E66732">
      <w:pPr>
        <w:jc w:val="both"/>
        <w:rPr>
          <w:sz w:val="18"/>
        </w:rPr>
      </w:pPr>
      <w:r w:rsidRPr="004B0055">
        <w:rPr>
          <w:b/>
          <w:sz w:val="18"/>
        </w:rPr>
        <w:t>Source:</w:t>
      </w:r>
      <w:r w:rsidRPr="004B0055">
        <w:rPr>
          <w:sz w:val="18"/>
        </w:rPr>
        <w:t xml:space="preserve"> </w:t>
      </w:r>
      <w:r>
        <w:rPr>
          <w:sz w:val="18"/>
        </w:rPr>
        <w:t>GRV data October 2016</w:t>
      </w:r>
      <w:r w:rsidR="00C54E38">
        <w:rPr>
          <w:sz w:val="18"/>
        </w:rPr>
        <w:t>. *Does not include returned dogs.</w:t>
      </w:r>
    </w:p>
    <w:p w:rsidR="00E139D1" w:rsidRDefault="00E139D1" w:rsidP="00823880">
      <w:pPr>
        <w:autoSpaceDE w:val="0"/>
        <w:autoSpaceDN w:val="0"/>
        <w:adjustRightInd w:val="0"/>
        <w:jc w:val="both"/>
        <w:rPr>
          <w:rFonts w:cs="Arial-BoldMT"/>
          <w:bCs/>
        </w:rPr>
      </w:pPr>
    </w:p>
    <w:p w:rsidR="00823880" w:rsidRDefault="00823880" w:rsidP="00823880">
      <w:pPr>
        <w:autoSpaceDE w:val="0"/>
        <w:autoSpaceDN w:val="0"/>
        <w:adjustRightInd w:val="0"/>
        <w:jc w:val="both"/>
        <w:rPr>
          <w:rFonts w:cs="Arial-BoldMT"/>
          <w:bCs/>
        </w:rPr>
      </w:pPr>
      <w:r>
        <w:rPr>
          <w:rFonts w:cs="Arial-BoldMT"/>
          <w:bCs/>
        </w:rPr>
        <w:t>GAP has a current capacity of 180 kennels with</w:t>
      </w:r>
      <w:r w:rsidRPr="00E37142">
        <w:rPr>
          <w:rFonts w:cs="Arial-BoldMT"/>
          <w:bCs/>
        </w:rPr>
        <w:t xml:space="preserve"> 120 kennels at Seymour</w:t>
      </w:r>
      <w:r>
        <w:rPr>
          <w:rFonts w:cs="Arial-BoldMT"/>
          <w:bCs/>
        </w:rPr>
        <w:t xml:space="preserve"> (</w:t>
      </w:r>
      <w:r w:rsidRPr="00E37142">
        <w:rPr>
          <w:rFonts w:cs="Arial-BoldMT"/>
          <w:bCs/>
        </w:rPr>
        <w:t xml:space="preserve">with plans in place to expand by another 100 </w:t>
      </w:r>
      <w:r>
        <w:rPr>
          <w:rFonts w:cs="Arial-BoldMT"/>
          <w:bCs/>
        </w:rPr>
        <w:t xml:space="preserve">in 2017) and 60 kennels in </w:t>
      </w:r>
      <w:r w:rsidRPr="00E37142">
        <w:rPr>
          <w:rFonts w:cs="Arial-BoldMT"/>
          <w:bCs/>
        </w:rPr>
        <w:t>Ballarat</w:t>
      </w:r>
      <w:r>
        <w:rPr>
          <w:rStyle w:val="FootnoteReference"/>
          <w:rFonts w:cs="Arial-BoldMT"/>
          <w:bCs/>
        </w:rPr>
        <w:footnoteReference w:id="48"/>
      </w:r>
      <w:r w:rsidRPr="00E37142">
        <w:rPr>
          <w:rFonts w:cs="Arial-BoldMT"/>
          <w:bCs/>
        </w:rPr>
        <w:t>.</w:t>
      </w:r>
      <w:r>
        <w:rPr>
          <w:rFonts w:cs="Arial-BoldMT"/>
          <w:bCs/>
        </w:rPr>
        <w:t xml:space="preserve"> With plans to expand by another 100 kennels at Seymour, this provides a future capacity to put 1,564 greyhounds through GAP per annum.</w:t>
      </w:r>
      <w:r w:rsidR="007B521C">
        <w:rPr>
          <w:rFonts w:cs="Arial-BoldMT"/>
          <w:bCs/>
        </w:rPr>
        <w:t xml:space="preserve"> </w:t>
      </w:r>
    </w:p>
    <w:p w:rsidR="00E37142" w:rsidRDefault="00247AFC" w:rsidP="003B48D0">
      <w:pPr>
        <w:autoSpaceDE w:val="0"/>
        <w:autoSpaceDN w:val="0"/>
        <w:adjustRightInd w:val="0"/>
        <w:jc w:val="both"/>
        <w:rPr>
          <w:rFonts w:cs="Arial-BoldMT"/>
          <w:bCs/>
        </w:rPr>
      </w:pPr>
      <w:r>
        <w:rPr>
          <w:rFonts w:cs="Arial-BoldMT"/>
          <w:bCs/>
        </w:rPr>
        <w:t xml:space="preserve">As part of GRV’s ongoing commitment to continue to drive increased rehoming numbers, a new GAP facility is also being developed in the Melbourne CBD which will provide greater accessibility for those seeking to adopt a greyhound. </w:t>
      </w:r>
      <w:r w:rsidR="00E37142">
        <w:rPr>
          <w:rFonts w:cs="Arial-BoldMT"/>
          <w:bCs/>
        </w:rPr>
        <w:t xml:space="preserve">With dogs taking residence for 42 days, </w:t>
      </w:r>
      <w:r w:rsidR="00C059D6">
        <w:rPr>
          <w:rFonts w:cs="Arial-BoldMT"/>
          <w:bCs/>
        </w:rPr>
        <w:t>and plans to expand by another 100 kennels at Seymour, this</w:t>
      </w:r>
      <w:r w:rsidR="00E37142">
        <w:rPr>
          <w:rFonts w:cs="Arial-BoldMT"/>
          <w:bCs/>
        </w:rPr>
        <w:t xml:space="preserve"> provides a </w:t>
      </w:r>
      <w:r w:rsidR="00C059D6">
        <w:rPr>
          <w:rFonts w:cs="Arial-BoldMT"/>
          <w:bCs/>
        </w:rPr>
        <w:t xml:space="preserve">future </w:t>
      </w:r>
      <w:r w:rsidR="00E37142">
        <w:rPr>
          <w:rFonts w:cs="Arial-BoldMT"/>
          <w:bCs/>
        </w:rPr>
        <w:t>capacity to put 1,564 greyhounds through</w:t>
      </w:r>
      <w:r w:rsidR="00C059D6">
        <w:rPr>
          <w:rFonts w:cs="Arial-BoldMT"/>
          <w:bCs/>
        </w:rPr>
        <w:t xml:space="preserve"> </w:t>
      </w:r>
      <w:r w:rsidR="00E37142">
        <w:rPr>
          <w:rFonts w:cs="Arial-BoldMT"/>
          <w:bCs/>
        </w:rPr>
        <w:t>GAP per annum.</w:t>
      </w:r>
      <w:r w:rsidR="007B521C">
        <w:rPr>
          <w:rFonts w:cs="Arial-BoldMT"/>
          <w:bCs/>
        </w:rPr>
        <w:t xml:space="preserve"> </w:t>
      </w:r>
      <w:r w:rsidR="00C059D6">
        <w:rPr>
          <w:rFonts w:cs="Arial-BoldMT"/>
          <w:bCs/>
        </w:rPr>
        <w:t>T</w:t>
      </w:r>
      <w:r w:rsidR="00C059D6" w:rsidRPr="00C059D6">
        <w:rPr>
          <w:rFonts w:cs="Arial-BoldMT"/>
          <w:bCs/>
        </w:rPr>
        <w:t>he average cost to put a greyhound through GAP is around $1</w:t>
      </w:r>
      <w:r w:rsidR="00C059D6">
        <w:rPr>
          <w:rFonts w:cs="Arial-BoldMT"/>
          <w:bCs/>
        </w:rPr>
        <w:t xml:space="preserve">,200 including: 1.4 months’ </w:t>
      </w:r>
      <w:r w:rsidR="00C059D6" w:rsidRPr="00C059D6">
        <w:rPr>
          <w:rFonts w:cs="Arial-BoldMT"/>
          <w:bCs/>
        </w:rPr>
        <w:t>food and shelter</w:t>
      </w:r>
      <w:r w:rsidR="00C059D6">
        <w:rPr>
          <w:rFonts w:cs="Arial-BoldMT"/>
          <w:bCs/>
        </w:rPr>
        <w:t xml:space="preserve"> at a cost of </w:t>
      </w:r>
      <w:r w:rsidR="00C059D6" w:rsidRPr="00C059D6">
        <w:rPr>
          <w:rFonts w:cs="Arial-BoldMT"/>
          <w:bCs/>
        </w:rPr>
        <w:t>$229 per month</w:t>
      </w:r>
      <w:r w:rsidR="00C059D6">
        <w:rPr>
          <w:rFonts w:cs="Arial-BoldMT"/>
          <w:bCs/>
        </w:rPr>
        <w:t xml:space="preserve">; </w:t>
      </w:r>
      <w:r w:rsidR="00C059D6" w:rsidRPr="00C059D6">
        <w:rPr>
          <w:rFonts w:cs="Arial-BoldMT"/>
          <w:bCs/>
        </w:rPr>
        <w:t>rehabilitation</w:t>
      </w:r>
      <w:r w:rsidR="00C059D6">
        <w:rPr>
          <w:rFonts w:cs="Arial-BoldMT"/>
          <w:bCs/>
        </w:rPr>
        <w:t xml:space="preserve"> costs of</w:t>
      </w:r>
      <w:r w:rsidR="00C059D6" w:rsidRPr="00C059D6">
        <w:rPr>
          <w:rFonts w:cs="Arial-BoldMT"/>
          <w:bCs/>
        </w:rPr>
        <w:t xml:space="preserve"> $556</w:t>
      </w:r>
      <w:r w:rsidR="00C059D6">
        <w:rPr>
          <w:rFonts w:cs="Arial-BoldMT"/>
          <w:bCs/>
        </w:rPr>
        <w:t>; and a</w:t>
      </w:r>
      <w:r w:rsidR="00C059D6" w:rsidRPr="00C059D6">
        <w:rPr>
          <w:rFonts w:cs="Arial-BoldMT"/>
          <w:bCs/>
        </w:rPr>
        <w:t xml:space="preserve"> $300 </w:t>
      </w:r>
      <w:r w:rsidR="00C059D6">
        <w:rPr>
          <w:rFonts w:cs="Arial-BoldMT"/>
          <w:bCs/>
        </w:rPr>
        <w:t xml:space="preserve">cost of </w:t>
      </w:r>
      <w:r w:rsidR="00C059D6" w:rsidRPr="00C059D6">
        <w:rPr>
          <w:rFonts w:cs="Arial-BoldMT"/>
          <w:bCs/>
        </w:rPr>
        <w:t>rehoming</w:t>
      </w:r>
      <w:r w:rsidR="00C059D6">
        <w:rPr>
          <w:rFonts w:cs="Arial-BoldMT"/>
          <w:bCs/>
        </w:rPr>
        <w:t xml:space="preserve"> and</w:t>
      </w:r>
      <w:r w:rsidR="00C059D6" w:rsidRPr="00C059D6">
        <w:rPr>
          <w:rFonts w:cs="Arial-BoldMT"/>
          <w:bCs/>
        </w:rPr>
        <w:t xml:space="preserve"> de-sexing </w:t>
      </w:r>
      <w:r w:rsidR="00C059D6">
        <w:rPr>
          <w:rFonts w:cs="Arial-BoldMT"/>
          <w:bCs/>
        </w:rPr>
        <w:t>= $1,176.60.</w:t>
      </w:r>
      <w:r w:rsidR="007B521C">
        <w:rPr>
          <w:rFonts w:cs="Arial-BoldMT"/>
          <w:bCs/>
        </w:rPr>
        <w:t xml:space="preserve"> </w:t>
      </w:r>
      <w:r w:rsidR="00C059D6" w:rsidRPr="00C059D6">
        <w:rPr>
          <w:rFonts w:cs="Arial-BoldMT"/>
          <w:bCs/>
        </w:rPr>
        <w:t>There is no entry fee for greyhounds into GAP.</w:t>
      </w:r>
    </w:p>
    <w:p w:rsidR="00C059D6" w:rsidRDefault="00C059D6" w:rsidP="003B48D0">
      <w:pPr>
        <w:autoSpaceDE w:val="0"/>
        <w:autoSpaceDN w:val="0"/>
        <w:adjustRightInd w:val="0"/>
        <w:jc w:val="both"/>
        <w:rPr>
          <w:rFonts w:cs="Arial-BoldMT"/>
          <w:bCs/>
        </w:rPr>
      </w:pPr>
    </w:p>
    <w:p w:rsidR="00395AF7" w:rsidRDefault="00FE5029" w:rsidP="003B48D0">
      <w:pPr>
        <w:autoSpaceDE w:val="0"/>
        <w:autoSpaceDN w:val="0"/>
        <w:adjustRightInd w:val="0"/>
        <w:jc w:val="both"/>
        <w:rPr>
          <w:rFonts w:cs="Arial-BoldMT"/>
          <w:bCs/>
        </w:rPr>
      </w:pPr>
      <w:r>
        <w:rPr>
          <w:rFonts w:cs="Arial-BoldMT"/>
          <w:bCs/>
        </w:rPr>
        <w:t>In 2015-16 t</w:t>
      </w:r>
      <w:r w:rsidR="003B48D0">
        <w:rPr>
          <w:rFonts w:cs="Arial-BoldMT"/>
          <w:bCs/>
        </w:rPr>
        <w:t>here we</w:t>
      </w:r>
      <w:r w:rsidR="009B02B3">
        <w:rPr>
          <w:rFonts w:cs="Arial-BoldMT"/>
          <w:bCs/>
        </w:rPr>
        <w:t xml:space="preserve">re 3,012 greyhounds euthanased with </w:t>
      </w:r>
      <w:r w:rsidR="003B48D0">
        <w:rPr>
          <w:rFonts w:cs="Arial-BoldMT"/>
          <w:bCs/>
        </w:rPr>
        <w:t>veterinary certifica</w:t>
      </w:r>
      <w:r w:rsidR="009B02B3">
        <w:rPr>
          <w:rFonts w:cs="Arial-BoldMT"/>
          <w:bCs/>
        </w:rPr>
        <w:t>tes provided to GRV</w:t>
      </w:r>
      <w:r w:rsidR="003B48D0">
        <w:rPr>
          <w:rStyle w:val="FootnoteReference"/>
          <w:rFonts w:cs="Arial-BoldMT"/>
          <w:bCs/>
        </w:rPr>
        <w:footnoteReference w:id="49"/>
      </w:r>
      <w:r w:rsidR="009B02B3">
        <w:rPr>
          <w:rFonts w:cs="Arial-BoldMT"/>
          <w:bCs/>
        </w:rPr>
        <w:t xml:space="preserve"> including </w:t>
      </w:r>
      <w:r w:rsidR="003B48D0">
        <w:rPr>
          <w:rFonts w:cs="Arial-BoldMT"/>
          <w:bCs/>
        </w:rPr>
        <w:t xml:space="preserve">192 </w:t>
      </w:r>
      <w:r w:rsidR="003B48D0" w:rsidRPr="00FE5029">
        <w:rPr>
          <w:rFonts w:cs="Arial-BoldMT"/>
          <w:bCs/>
        </w:rPr>
        <w:t xml:space="preserve">euthanased </w:t>
      </w:r>
      <w:r w:rsidR="003B48D0" w:rsidRPr="004B0055">
        <w:rPr>
          <w:rFonts w:cs="Arial-BoldMT"/>
          <w:bCs/>
        </w:rPr>
        <w:t>through GAP</w:t>
      </w:r>
      <w:r w:rsidR="009B02B3">
        <w:rPr>
          <w:rFonts w:cs="Arial-BoldMT"/>
          <w:bCs/>
        </w:rPr>
        <w:t xml:space="preserve"> (see Table 7)</w:t>
      </w:r>
      <w:r w:rsidR="0073799C">
        <w:rPr>
          <w:rStyle w:val="FootnoteReference"/>
          <w:rFonts w:cs="Arial-BoldMT"/>
          <w:bCs/>
        </w:rPr>
        <w:footnoteReference w:id="50"/>
      </w:r>
      <w:r w:rsidR="003B48D0">
        <w:rPr>
          <w:rFonts w:cs="Arial-BoldMT"/>
          <w:bCs/>
        </w:rPr>
        <w:t>.</w:t>
      </w:r>
      <w:r w:rsidR="00A073BE">
        <w:rPr>
          <w:rFonts w:cs="Arial-BoldMT"/>
          <w:bCs/>
        </w:rPr>
        <w:t xml:space="preserve"> </w:t>
      </w:r>
      <w:r w:rsidR="003B48D0">
        <w:rPr>
          <w:rFonts w:cs="Arial-BoldMT"/>
          <w:bCs/>
        </w:rPr>
        <w:t>Reasons provided</w:t>
      </w:r>
      <w:r w:rsidR="009B02B3">
        <w:rPr>
          <w:rFonts w:cs="Arial-BoldMT"/>
          <w:bCs/>
        </w:rPr>
        <w:t xml:space="preserve"> </w:t>
      </w:r>
      <w:r w:rsidR="003B48D0">
        <w:rPr>
          <w:rFonts w:cs="Arial-BoldMT"/>
          <w:bCs/>
        </w:rPr>
        <w:t>included injury, illness, behaviour</w:t>
      </w:r>
      <w:r w:rsidR="00823880">
        <w:rPr>
          <w:rFonts w:cs="Arial-BoldMT"/>
          <w:bCs/>
        </w:rPr>
        <w:t>al issues</w:t>
      </w:r>
      <w:r w:rsidR="003B48D0">
        <w:rPr>
          <w:rFonts w:cs="Arial-BoldMT"/>
          <w:bCs/>
        </w:rPr>
        <w:t>, owners unable to find homes, and end-of-career decisions by owners.</w:t>
      </w:r>
      <w:r w:rsidR="00395AF7">
        <w:rPr>
          <w:rFonts w:cs="Arial-BoldMT"/>
          <w:bCs/>
        </w:rPr>
        <w:t xml:space="preserve"> </w:t>
      </w:r>
    </w:p>
    <w:p w:rsidR="00E552AE" w:rsidRDefault="00E552AE" w:rsidP="003B48D0">
      <w:pPr>
        <w:autoSpaceDE w:val="0"/>
        <w:autoSpaceDN w:val="0"/>
        <w:adjustRightInd w:val="0"/>
        <w:jc w:val="both"/>
        <w:rPr>
          <w:rFonts w:cs="Arial-BoldMT"/>
          <w:bCs/>
        </w:rPr>
      </w:pPr>
    </w:p>
    <w:tbl>
      <w:tblPr>
        <w:tblW w:w="0" w:type="auto"/>
        <w:tblLook w:val="04A0" w:firstRow="1" w:lastRow="0" w:firstColumn="1" w:lastColumn="0" w:noHBand="0" w:noVBand="1"/>
      </w:tblPr>
      <w:tblGrid>
        <w:gridCol w:w="8437"/>
      </w:tblGrid>
      <w:tr w:rsidR="00A073BE" w:rsidTr="00A073BE">
        <w:tc>
          <w:tcPr>
            <w:tcW w:w="8437" w:type="dxa"/>
            <w:shd w:val="clear" w:color="auto" w:fill="D9D9D9" w:themeFill="background1" w:themeFillShade="D9"/>
          </w:tcPr>
          <w:p w:rsidR="00A073BE" w:rsidRDefault="00A073BE" w:rsidP="00A073BE">
            <w:pPr>
              <w:rPr>
                <w:b/>
              </w:rPr>
            </w:pPr>
            <w:r>
              <w:rPr>
                <w:b/>
              </w:rPr>
              <w:t>Comment by GRV</w:t>
            </w:r>
            <w:r w:rsidRPr="00457D62">
              <w:rPr>
                <w:b/>
              </w:rPr>
              <w:t>;</w:t>
            </w:r>
          </w:p>
          <w:p w:rsidR="00A073BE" w:rsidRDefault="00A073BE" w:rsidP="003B48D0">
            <w:pPr>
              <w:jc w:val="both"/>
              <w:rPr>
                <w:rFonts w:cs="Arial-BoldMT"/>
                <w:bCs/>
              </w:rPr>
            </w:pPr>
            <w:r>
              <w:rPr>
                <w:rFonts w:cs="Arial-BoldMT"/>
                <w:bCs/>
              </w:rPr>
              <w:t xml:space="preserve">GRV has since implemented a number of important initiatives to decrease unnecessary euthanasia. Through these programs, </w:t>
            </w:r>
            <w:r w:rsidRPr="00395AF7">
              <w:rPr>
                <w:rFonts w:cs="Arial-BoldMT"/>
                <w:bCs/>
              </w:rPr>
              <w:t>GRV drove a 42% increase in rehoming outcomes</w:t>
            </w:r>
            <w:r>
              <w:rPr>
                <w:rFonts w:cs="Arial-BoldMT"/>
                <w:bCs/>
              </w:rPr>
              <w:t xml:space="preserve"> in the 2015-2016 year</w:t>
            </w:r>
            <w:r w:rsidRPr="00395AF7">
              <w:rPr>
                <w:rFonts w:cs="Arial-BoldMT"/>
                <w:bCs/>
              </w:rPr>
              <w:t>.</w:t>
            </w:r>
          </w:p>
        </w:tc>
      </w:tr>
    </w:tbl>
    <w:p w:rsidR="00FE5029" w:rsidRDefault="00FE5029" w:rsidP="003B48D0">
      <w:pPr>
        <w:autoSpaceDE w:val="0"/>
        <w:autoSpaceDN w:val="0"/>
        <w:adjustRightInd w:val="0"/>
        <w:jc w:val="both"/>
        <w:rPr>
          <w:rFonts w:cs="Arial-BoldMT"/>
          <w:bCs/>
        </w:rPr>
      </w:pPr>
    </w:p>
    <w:p w:rsidR="003B48D0" w:rsidRDefault="003B48D0" w:rsidP="003B48D0">
      <w:pPr>
        <w:autoSpaceDE w:val="0"/>
        <w:autoSpaceDN w:val="0"/>
        <w:adjustRightInd w:val="0"/>
        <w:jc w:val="both"/>
        <w:rPr>
          <w:rFonts w:cs="Arial-BoldMT"/>
          <w:bCs/>
        </w:rPr>
      </w:pPr>
      <w:r>
        <w:rPr>
          <w:rFonts w:cs="Arial-BoldMT"/>
          <w:bCs/>
        </w:rPr>
        <w:t xml:space="preserve">Notwithstanding euthanasia certificates provided to GRV in 2015/16, there may be a number of deaths that </w:t>
      </w:r>
      <w:r w:rsidRPr="00EE586B">
        <w:rPr>
          <w:rFonts w:cs="Arial-BoldMT"/>
          <w:bCs/>
        </w:rPr>
        <w:t>are unaccounted for.</w:t>
      </w:r>
      <w:r w:rsidR="007B521C">
        <w:rPr>
          <w:rFonts w:cs="Arial-BoldMT"/>
          <w:bCs/>
        </w:rPr>
        <w:t xml:space="preserve"> </w:t>
      </w:r>
      <w:r>
        <w:rPr>
          <w:rFonts w:cs="Arial-BoldMT"/>
          <w:bCs/>
        </w:rPr>
        <w:t>It may well be that they were euthanased by a veterinarian, but the owner did not follow up with certification to GRV (see ‘Other’ category in Table 6), or in a number of instances it may be that they were destroyed by some other inhumane</w:t>
      </w:r>
      <w:r w:rsidR="00E00F6D">
        <w:rPr>
          <w:rFonts w:cs="Arial-BoldMT"/>
          <w:bCs/>
        </w:rPr>
        <w:t>/illegal</w:t>
      </w:r>
      <w:r>
        <w:rPr>
          <w:rFonts w:cs="Arial-BoldMT"/>
          <w:bCs/>
        </w:rPr>
        <w:t xml:space="preserve"> manner.</w:t>
      </w:r>
      <w:r w:rsidR="007B521C">
        <w:rPr>
          <w:rFonts w:cs="Arial-BoldMT"/>
          <w:bCs/>
        </w:rPr>
        <w:t xml:space="preserve"> </w:t>
      </w:r>
      <w:r>
        <w:rPr>
          <w:rFonts w:cs="Arial-BoldMT"/>
          <w:bCs/>
        </w:rPr>
        <w:t>There is no evidence or information on the fate of these animals.</w:t>
      </w:r>
      <w:r w:rsidR="007B521C">
        <w:rPr>
          <w:rFonts w:cs="Arial-BoldMT"/>
          <w:bCs/>
        </w:rPr>
        <w:t xml:space="preserve"> </w:t>
      </w:r>
    </w:p>
    <w:p w:rsidR="003B48D0" w:rsidRDefault="003B48D0" w:rsidP="00E66732">
      <w:pPr>
        <w:jc w:val="both"/>
      </w:pPr>
    </w:p>
    <w:p w:rsidR="005E307C" w:rsidRDefault="005E307C">
      <w:pPr>
        <w:rPr>
          <w:rFonts w:eastAsiaTheme="majorEastAsia" w:cs="Arial"/>
          <w:b/>
          <w:color w:val="53565A"/>
          <w:sz w:val="26"/>
          <w:szCs w:val="26"/>
        </w:rPr>
      </w:pPr>
      <w:bookmarkStart w:id="47" w:name="_Toc469529142"/>
      <w:r>
        <w:rPr>
          <w:rFonts w:eastAsiaTheme="majorEastAsia"/>
        </w:rPr>
        <w:br w:type="page"/>
      </w:r>
    </w:p>
    <w:p w:rsidR="001C22D0" w:rsidRPr="00560A71" w:rsidRDefault="001C22D0" w:rsidP="005E307C">
      <w:pPr>
        <w:pStyle w:val="H13pt"/>
        <w:rPr>
          <w:rFonts w:eastAsiaTheme="majorEastAsia"/>
        </w:rPr>
      </w:pPr>
      <w:bookmarkStart w:id="48" w:name="_Toc477190153"/>
      <w:r>
        <w:rPr>
          <w:rFonts w:eastAsiaTheme="majorEastAsia"/>
        </w:rPr>
        <w:lastRenderedPageBreak/>
        <w:t>1.3</w:t>
      </w:r>
      <w:r w:rsidRPr="00560A71">
        <w:rPr>
          <w:rFonts w:eastAsiaTheme="majorEastAsia"/>
        </w:rPr>
        <w:t xml:space="preserve"> </w:t>
      </w:r>
      <w:r w:rsidR="009D44E8">
        <w:rPr>
          <w:rFonts w:eastAsiaTheme="majorEastAsia"/>
        </w:rPr>
        <w:t>L</w:t>
      </w:r>
      <w:r>
        <w:rPr>
          <w:rFonts w:eastAsiaTheme="majorEastAsia"/>
        </w:rPr>
        <w:t>egislative framework</w:t>
      </w:r>
      <w:r w:rsidR="009D44E8">
        <w:rPr>
          <w:rFonts w:eastAsiaTheme="majorEastAsia"/>
        </w:rPr>
        <w:t xml:space="preserve"> in Victoria</w:t>
      </w:r>
      <w:bookmarkEnd w:id="47"/>
      <w:bookmarkEnd w:id="48"/>
    </w:p>
    <w:p w:rsidR="001244B2" w:rsidRDefault="001244B2" w:rsidP="001244B2">
      <w:pPr>
        <w:jc w:val="both"/>
      </w:pPr>
      <w:r>
        <w:rPr>
          <w:rFonts w:cs="HelveticaNeueLT Std Lt"/>
        </w:rPr>
        <w:t>T</w:t>
      </w:r>
      <w:r w:rsidRPr="00070EEF">
        <w:t>he legislative framework</w:t>
      </w:r>
      <w:r>
        <w:t>,</w:t>
      </w:r>
      <w:r w:rsidRPr="00070EEF">
        <w:t xml:space="preserve"> </w:t>
      </w:r>
      <w:r>
        <w:t xml:space="preserve">under which </w:t>
      </w:r>
      <w:r w:rsidRPr="00070EEF">
        <w:t>greyhound</w:t>
      </w:r>
      <w:r>
        <w:t xml:space="preserve"> racing operates</w:t>
      </w:r>
      <w:r w:rsidR="009D44E8">
        <w:t xml:space="preserve"> in Victoria</w:t>
      </w:r>
      <w:r>
        <w:t>,</w:t>
      </w:r>
      <w:r w:rsidRPr="00070EEF">
        <w:t xml:space="preserve"> is complex an</w:t>
      </w:r>
      <w:r>
        <w:t>d is</w:t>
      </w:r>
      <w:r w:rsidRPr="00070EEF">
        <w:t xml:space="preserve"> spread across multiple</w:t>
      </w:r>
      <w:r>
        <w:t xml:space="preserve"> Acts and subordinate documents:</w:t>
      </w:r>
    </w:p>
    <w:p w:rsidR="001244B2" w:rsidRPr="00710653" w:rsidRDefault="001244B2" w:rsidP="005E307C">
      <w:pPr>
        <w:pStyle w:val="ListParagraph"/>
        <w:numPr>
          <w:ilvl w:val="0"/>
          <w:numId w:val="2"/>
        </w:numPr>
        <w:ind w:left="426" w:hanging="426"/>
        <w:rPr>
          <w:b/>
        </w:rPr>
      </w:pPr>
      <w:r w:rsidRPr="00347153">
        <w:rPr>
          <w:rFonts w:cs="HelveticaNeueLT Std"/>
          <w:i/>
          <w:iCs/>
        </w:rPr>
        <w:t>Prevention</w:t>
      </w:r>
      <w:r>
        <w:rPr>
          <w:rFonts w:cs="HelveticaNeueLT Std"/>
          <w:i/>
          <w:iCs/>
        </w:rPr>
        <w:t xml:space="preserve"> of Cruelty to Animals Act 1986, last revised 4 May 2016 (</w:t>
      </w:r>
      <w:r w:rsidR="00074FC4">
        <w:rPr>
          <w:rFonts w:cs="HelveticaNeueLT Std"/>
          <w:i/>
          <w:iCs/>
        </w:rPr>
        <w:t>POCTAA</w:t>
      </w:r>
      <w:r>
        <w:rPr>
          <w:rFonts w:cs="HelveticaNeueLT Std"/>
          <w:i/>
          <w:iCs/>
        </w:rPr>
        <w:t xml:space="preserve">); </w:t>
      </w:r>
    </w:p>
    <w:p w:rsidR="001244B2" w:rsidRPr="00347153" w:rsidRDefault="001244B2" w:rsidP="005E307C">
      <w:pPr>
        <w:pStyle w:val="ListParagraph"/>
        <w:numPr>
          <w:ilvl w:val="0"/>
          <w:numId w:val="2"/>
        </w:numPr>
        <w:ind w:left="426" w:hanging="426"/>
        <w:rPr>
          <w:b/>
        </w:rPr>
      </w:pPr>
      <w:r>
        <w:rPr>
          <w:rFonts w:cs="HelveticaNeueLT Std"/>
          <w:i/>
          <w:iCs/>
        </w:rPr>
        <w:t>Domestic Animals Act 1994,</w:t>
      </w:r>
      <w:r w:rsidRPr="000D1875">
        <w:rPr>
          <w:rFonts w:cs="HelveticaNeueLT Std"/>
          <w:i/>
          <w:iCs/>
        </w:rPr>
        <w:t xml:space="preserve"> </w:t>
      </w:r>
      <w:r>
        <w:rPr>
          <w:rFonts w:cs="HelveticaNeueLT Std"/>
          <w:i/>
          <w:iCs/>
        </w:rPr>
        <w:t>last revised 4 May 2016 (</w:t>
      </w:r>
      <w:r w:rsidR="00074FC4">
        <w:rPr>
          <w:rFonts w:cs="HelveticaNeueLT Std"/>
          <w:i/>
          <w:iCs/>
        </w:rPr>
        <w:t>DA</w:t>
      </w:r>
      <w:r>
        <w:rPr>
          <w:rFonts w:cs="HelveticaNeueLT Std"/>
          <w:i/>
          <w:iCs/>
        </w:rPr>
        <w:t xml:space="preserve">A); </w:t>
      </w:r>
    </w:p>
    <w:p w:rsidR="001244B2" w:rsidRPr="00347153" w:rsidRDefault="001244B2" w:rsidP="005E307C">
      <w:pPr>
        <w:pStyle w:val="ListParagraph"/>
        <w:numPr>
          <w:ilvl w:val="0"/>
          <w:numId w:val="2"/>
        </w:numPr>
        <w:ind w:left="426" w:hanging="426"/>
        <w:rPr>
          <w:b/>
        </w:rPr>
      </w:pPr>
      <w:r w:rsidRPr="00347153">
        <w:rPr>
          <w:rFonts w:cs="HelveticaNeueLT Std"/>
          <w:i/>
          <w:iCs/>
        </w:rPr>
        <w:t>Racing Act 1958</w:t>
      </w:r>
      <w:r>
        <w:rPr>
          <w:rFonts w:cs="HelveticaNeueLT Std"/>
          <w:i/>
          <w:iCs/>
        </w:rPr>
        <w:t>, last revised 4 May 2016</w:t>
      </w:r>
      <w:r>
        <w:rPr>
          <w:rFonts w:cs="HelveticaNeueLT Std"/>
        </w:rPr>
        <w:t>;</w:t>
      </w:r>
    </w:p>
    <w:p w:rsidR="001244B2" w:rsidRPr="000352F9" w:rsidRDefault="001244B2" w:rsidP="005E307C">
      <w:pPr>
        <w:pStyle w:val="ListParagraph"/>
        <w:numPr>
          <w:ilvl w:val="0"/>
          <w:numId w:val="2"/>
        </w:numPr>
        <w:ind w:left="426" w:hanging="426"/>
        <w:rPr>
          <w:b/>
        </w:rPr>
      </w:pPr>
      <w:r>
        <w:rPr>
          <w:rFonts w:cs="HelveticaNeueLT Std"/>
          <w:i/>
          <w:iCs/>
        </w:rPr>
        <w:t>Greyhound Racing Victoria – Local Rules;</w:t>
      </w:r>
    </w:p>
    <w:p w:rsidR="001244B2" w:rsidRPr="00710653" w:rsidRDefault="001244B2" w:rsidP="005E307C">
      <w:pPr>
        <w:pStyle w:val="ListParagraph"/>
        <w:numPr>
          <w:ilvl w:val="0"/>
          <w:numId w:val="2"/>
        </w:numPr>
        <w:ind w:left="426" w:hanging="426"/>
        <w:rPr>
          <w:b/>
        </w:rPr>
      </w:pPr>
      <w:r>
        <w:rPr>
          <w:rFonts w:cs="HelveticaNeueLT Std"/>
          <w:i/>
          <w:iCs/>
        </w:rPr>
        <w:t xml:space="preserve">Greyhounds Australasia – Greyhounds Australasia Rules; </w:t>
      </w:r>
      <w:r w:rsidRPr="00710653">
        <w:rPr>
          <w:rFonts w:cs="HelveticaNeueLT Std"/>
          <w:iCs/>
        </w:rPr>
        <w:t xml:space="preserve">and </w:t>
      </w:r>
    </w:p>
    <w:p w:rsidR="001244B2" w:rsidRPr="00D96270" w:rsidRDefault="001244B2" w:rsidP="005E307C">
      <w:pPr>
        <w:pStyle w:val="ListParagraph"/>
        <w:numPr>
          <w:ilvl w:val="0"/>
          <w:numId w:val="2"/>
        </w:numPr>
        <w:ind w:left="426" w:hanging="426"/>
        <w:rPr>
          <w:b/>
        </w:rPr>
      </w:pPr>
      <w:r w:rsidRPr="00347153">
        <w:rPr>
          <w:rFonts w:cs="HelveticaNeueLT Std"/>
          <w:i/>
          <w:iCs/>
        </w:rPr>
        <w:t xml:space="preserve">Wildlife Act 1975 </w:t>
      </w:r>
      <w:r w:rsidRPr="00710653">
        <w:rPr>
          <w:rFonts w:cs="HelveticaNeueLT Std"/>
          <w:iCs/>
        </w:rPr>
        <w:t xml:space="preserve">(which </w:t>
      </w:r>
      <w:r w:rsidRPr="00710653">
        <w:rPr>
          <w:rFonts w:cs="HelveticaNeueLT Std"/>
        </w:rPr>
        <w:t xml:space="preserve">is only </w:t>
      </w:r>
      <w:r w:rsidRPr="00347153">
        <w:rPr>
          <w:rFonts w:cs="HelveticaNeueLT Std"/>
        </w:rPr>
        <w:t>relevant to the use of native animals for live baiting</w:t>
      </w:r>
      <w:r>
        <w:rPr>
          <w:rFonts w:cs="HelveticaNeueLT Std"/>
        </w:rPr>
        <w:t>)</w:t>
      </w:r>
      <w:r w:rsidRPr="00347153">
        <w:rPr>
          <w:rFonts w:cs="HelveticaNeueLT Std"/>
        </w:rPr>
        <w:t>.</w:t>
      </w:r>
    </w:p>
    <w:p w:rsidR="001244B2" w:rsidRDefault="001244B2" w:rsidP="001244B2">
      <w:pPr>
        <w:pStyle w:val="ListParagraph"/>
        <w:rPr>
          <w:b/>
        </w:rPr>
      </w:pPr>
    </w:p>
    <w:p w:rsidR="00DF143E" w:rsidRDefault="00DF143E" w:rsidP="005E307C">
      <w:pPr>
        <w:pStyle w:val="Heading3"/>
        <w:rPr>
          <w:lang w:val="en-US"/>
        </w:rPr>
      </w:pPr>
      <w:bookmarkStart w:id="49" w:name="_Toc469529143"/>
      <w:bookmarkStart w:id="50" w:name="_Toc477190154"/>
      <w:r>
        <w:rPr>
          <w:lang w:val="en-US"/>
        </w:rPr>
        <w:t>1.3.1 General legislative framework</w:t>
      </w:r>
      <w:bookmarkEnd w:id="49"/>
      <w:bookmarkEnd w:id="50"/>
    </w:p>
    <w:p w:rsidR="00DD0D8D" w:rsidRDefault="001244B2" w:rsidP="001244B2">
      <w:pPr>
        <w:rPr>
          <w:b/>
        </w:rPr>
      </w:pPr>
      <w:r>
        <w:t>The</w:t>
      </w:r>
      <w:r w:rsidRPr="00D96270">
        <w:t xml:space="preserve"> flow of the legislation is </w:t>
      </w:r>
      <w:r>
        <w:t xml:space="preserve">provided </w:t>
      </w:r>
      <w:r w:rsidRPr="00D96270">
        <w:t>in</w:t>
      </w:r>
      <w:r>
        <w:rPr>
          <w:b/>
        </w:rPr>
        <w:t xml:space="preserve"> </w:t>
      </w:r>
      <w:r w:rsidR="005D22C9">
        <w:rPr>
          <w:color w:val="000000" w:themeColor="text1"/>
        </w:rPr>
        <w:t xml:space="preserve">Chart </w:t>
      </w:r>
      <w:r w:rsidR="00BB5E20">
        <w:rPr>
          <w:color w:val="000000" w:themeColor="text1"/>
        </w:rPr>
        <w:t>3</w:t>
      </w:r>
      <w:r w:rsidR="00B17D58">
        <w:rPr>
          <w:color w:val="000000" w:themeColor="text1"/>
        </w:rPr>
        <w:t>.</w:t>
      </w:r>
    </w:p>
    <w:p w:rsidR="00DD0D8D" w:rsidRDefault="00DD0D8D" w:rsidP="001244B2">
      <w:pPr>
        <w:rPr>
          <w:b/>
        </w:rPr>
      </w:pPr>
    </w:p>
    <w:p w:rsidR="001244B2" w:rsidRDefault="001244B2" w:rsidP="007046FB">
      <w:pPr>
        <w:jc w:val="center"/>
        <w:rPr>
          <w:b/>
          <w:sz w:val="20"/>
          <w:szCs w:val="20"/>
        </w:rPr>
      </w:pPr>
      <w:r w:rsidRPr="0036369A">
        <w:rPr>
          <w:b/>
          <w:sz w:val="20"/>
          <w:szCs w:val="20"/>
        </w:rPr>
        <w:t>Chart</w:t>
      </w:r>
      <w:r w:rsidR="00B970AB">
        <w:rPr>
          <w:b/>
          <w:sz w:val="20"/>
          <w:szCs w:val="20"/>
        </w:rPr>
        <w:t xml:space="preserve"> </w:t>
      </w:r>
      <w:r w:rsidR="00BB5E20">
        <w:rPr>
          <w:b/>
          <w:sz w:val="20"/>
          <w:szCs w:val="20"/>
        </w:rPr>
        <w:t>3</w:t>
      </w:r>
      <w:r w:rsidRPr="0036369A">
        <w:rPr>
          <w:b/>
          <w:sz w:val="20"/>
          <w:szCs w:val="20"/>
        </w:rPr>
        <w:t>: Hierarchy of Acts, regulations, rules and Codes relevant to greyhounds</w:t>
      </w:r>
    </w:p>
    <w:p w:rsidR="001244B2" w:rsidRDefault="001244B2" w:rsidP="001244B2">
      <w:pPr>
        <w:rPr>
          <w:b/>
          <w:sz w:val="20"/>
          <w:szCs w:val="20"/>
        </w:rPr>
      </w:pPr>
    </w:p>
    <w:p w:rsidR="001244B2" w:rsidRDefault="003F6257" w:rsidP="001244B2">
      <w:pPr>
        <w:rPr>
          <w:b/>
          <w:sz w:val="20"/>
          <w:szCs w:val="20"/>
        </w:rPr>
      </w:pPr>
      <w:r>
        <w:rPr>
          <w:b/>
          <w:noProof/>
          <w:sz w:val="20"/>
          <w:szCs w:val="20"/>
          <w:lang w:eastAsia="en-AU"/>
        </w:rPr>
        <w:drawing>
          <wp:inline distT="0" distB="0" distL="0" distR="0" wp14:anchorId="7A04E160" wp14:editId="28472061">
            <wp:extent cx="5207000" cy="3499114"/>
            <wp:effectExtent l="0" t="0" r="0" b="6350"/>
            <wp:docPr id="37" name="Picture 37" descr="The legislative framework, under which greyhound racing operates in Victoria, is complex and is spread across multiple Acts and subordinate documents:&#10;• Prevention of Cruelty to Animals Act 1986, last revised 4 May 2016 (POCTAA); &#10;• Domestic Animals Act 1994, last revised 4 May 2016 (DAA); &#10;• Racing Act 1958, last revised 4 May 2016;&#10;• Greyhound Racing Victoria – Local Rules;&#10;• Greyhounds Australasia – Greyhounds Australasia Rules; and &#10;• Wildlife Act 1975 (which is only relevant to the use of native animals for live baiting).&#10;" title="Hierarchy o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1229" cy="3501956"/>
                    </a:xfrm>
                    <a:prstGeom prst="rect">
                      <a:avLst/>
                    </a:prstGeom>
                    <a:noFill/>
                  </pic:spPr>
                </pic:pic>
              </a:graphicData>
            </a:graphic>
          </wp:inline>
        </w:drawing>
      </w:r>
    </w:p>
    <w:p w:rsidR="003F6257" w:rsidRDefault="003F6257" w:rsidP="001244B2">
      <w:pPr>
        <w:autoSpaceDE w:val="0"/>
        <w:autoSpaceDN w:val="0"/>
        <w:adjustRightInd w:val="0"/>
        <w:jc w:val="both"/>
        <w:rPr>
          <w:b/>
          <w:sz w:val="18"/>
        </w:rPr>
      </w:pPr>
    </w:p>
    <w:p w:rsidR="001244B2" w:rsidRPr="00C2542E" w:rsidRDefault="001244B2" w:rsidP="001244B2">
      <w:pPr>
        <w:autoSpaceDE w:val="0"/>
        <w:autoSpaceDN w:val="0"/>
        <w:adjustRightInd w:val="0"/>
        <w:jc w:val="both"/>
        <w:rPr>
          <w:rFonts w:cs="Arial-BoldMT"/>
          <w:bCs/>
          <w:sz w:val="18"/>
        </w:rPr>
      </w:pPr>
      <w:r w:rsidRPr="003C40E4">
        <w:rPr>
          <w:b/>
          <w:sz w:val="18"/>
        </w:rPr>
        <w:t>Source:</w:t>
      </w:r>
      <w:r w:rsidRPr="003C40E4">
        <w:rPr>
          <w:rFonts w:cs="Arial-BoldMT"/>
          <w:bCs/>
          <w:sz w:val="18"/>
        </w:rPr>
        <w:t xml:space="preserve"> </w:t>
      </w:r>
      <w:r>
        <w:rPr>
          <w:rFonts w:cs="Arial-BoldMT"/>
          <w:bCs/>
          <w:sz w:val="18"/>
        </w:rPr>
        <w:t xml:space="preserve">Reproduced from </w:t>
      </w:r>
      <w:r w:rsidRPr="003C40E4">
        <w:rPr>
          <w:rFonts w:cs="Arial-BoldMT"/>
          <w:bCs/>
          <w:sz w:val="18"/>
        </w:rPr>
        <w:t xml:space="preserve">Milne, C. Chief Veterinary Officer. 30 April 2015. </w:t>
      </w:r>
      <w:r w:rsidRPr="003C40E4">
        <w:rPr>
          <w:rFonts w:cs="Arial-BoldMT"/>
          <w:bCs/>
          <w:i/>
          <w:sz w:val="18"/>
        </w:rPr>
        <w:t xml:space="preserve">Investigation into animal welfare and cruelty in the Victorian greyhound industry. </w:t>
      </w:r>
      <w:r w:rsidRPr="003C40E4">
        <w:rPr>
          <w:rFonts w:cs="Arial-BoldMT"/>
          <w:bCs/>
          <w:sz w:val="18"/>
        </w:rPr>
        <w:t>Report to Parliament of Victoria.</w:t>
      </w:r>
      <w:r w:rsidR="00C2542E">
        <w:rPr>
          <w:rFonts w:cs="Arial-BoldMT"/>
          <w:bCs/>
          <w:sz w:val="18"/>
        </w:rPr>
        <w:t xml:space="preserve"> </w:t>
      </w:r>
      <w:r w:rsidR="00C2542E">
        <w:rPr>
          <w:rFonts w:cs="Arial-BoldMT"/>
          <w:b/>
          <w:bCs/>
          <w:sz w:val="18"/>
        </w:rPr>
        <w:t xml:space="preserve">Note: </w:t>
      </w:r>
      <w:r w:rsidR="00C2542E">
        <w:rPr>
          <w:rFonts w:cs="Arial-BoldMT"/>
          <w:bCs/>
          <w:sz w:val="18"/>
        </w:rPr>
        <w:t>GRV Rules includes Local Rules of Racing</w:t>
      </w:r>
    </w:p>
    <w:p w:rsidR="003F6257" w:rsidRDefault="003F6257"/>
    <w:p w:rsidR="001244B2" w:rsidRDefault="004229D7" w:rsidP="001244B2">
      <w:pPr>
        <w:autoSpaceDE w:val="0"/>
        <w:autoSpaceDN w:val="0"/>
        <w:adjustRightInd w:val="0"/>
        <w:jc w:val="both"/>
      </w:pPr>
      <w:r>
        <w:t xml:space="preserve">The </w:t>
      </w:r>
      <w:r w:rsidRPr="00D96270">
        <w:t>intricacies</w:t>
      </w:r>
      <w:r>
        <w:t xml:space="preserve"> </w:t>
      </w:r>
      <w:r w:rsidRPr="00D96270">
        <w:t>of the legislation</w:t>
      </w:r>
      <w:r>
        <w:t>, including the focus and coverage</w:t>
      </w:r>
      <w:r w:rsidRPr="00D96270">
        <w:t xml:space="preserve"> are explained </w:t>
      </w:r>
      <w:r w:rsidR="00445729">
        <w:t xml:space="preserve">in Table </w:t>
      </w:r>
      <w:r w:rsidR="00450604">
        <w:t>9</w:t>
      </w:r>
      <w:r>
        <w:t>.</w:t>
      </w:r>
    </w:p>
    <w:p w:rsidR="004229D7" w:rsidRDefault="004229D7" w:rsidP="001244B2">
      <w:pPr>
        <w:autoSpaceDE w:val="0"/>
        <w:autoSpaceDN w:val="0"/>
        <w:adjustRightInd w:val="0"/>
        <w:jc w:val="both"/>
        <w:rPr>
          <w:rFonts w:cs="Arial-BoldMT"/>
          <w:bCs/>
          <w:sz w:val="18"/>
        </w:rPr>
      </w:pPr>
    </w:p>
    <w:p w:rsidR="005E307C" w:rsidRDefault="005E307C">
      <w:pPr>
        <w:rPr>
          <w:rFonts w:cs="Arial-BoldMT"/>
          <w:b/>
          <w:bCs/>
          <w:sz w:val="20"/>
          <w:szCs w:val="20"/>
        </w:rPr>
      </w:pPr>
      <w:r>
        <w:rPr>
          <w:rFonts w:cs="Arial-BoldMT"/>
          <w:b/>
          <w:bCs/>
          <w:sz w:val="20"/>
          <w:szCs w:val="20"/>
        </w:rPr>
        <w:br w:type="page"/>
      </w:r>
    </w:p>
    <w:p w:rsidR="001244B2" w:rsidRPr="00DD08EF" w:rsidRDefault="001244B2" w:rsidP="001244B2">
      <w:pPr>
        <w:autoSpaceDE w:val="0"/>
        <w:autoSpaceDN w:val="0"/>
        <w:adjustRightInd w:val="0"/>
        <w:jc w:val="center"/>
        <w:rPr>
          <w:rFonts w:cs="Arial-BoldMT"/>
          <w:b/>
          <w:bCs/>
          <w:sz w:val="20"/>
          <w:szCs w:val="20"/>
        </w:rPr>
      </w:pPr>
      <w:r w:rsidRPr="00DD08EF">
        <w:rPr>
          <w:rFonts w:cs="Arial-BoldMT"/>
          <w:b/>
          <w:bCs/>
          <w:sz w:val="20"/>
          <w:szCs w:val="20"/>
        </w:rPr>
        <w:lastRenderedPageBreak/>
        <w:t xml:space="preserve">Table </w:t>
      </w:r>
      <w:r w:rsidR="00450604">
        <w:rPr>
          <w:rFonts w:cs="Arial-BoldMT"/>
          <w:b/>
          <w:bCs/>
          <w:sz w:val="20"/>
          <w:szCs w:val="20"/>
        </w:rPr>
        <w:t>9</w:t>
      </w:r>
      <w:r w:rsidRPr="00DD08EF">
        <w:rPr>
          <w:rFonts w:cs="Arial-BoldMT"/>
          <w:b/>
          <w:bCs/>
          <w:sz w:val="20"/>
          <w:szCs w:val="20"/>
        </w:rPr>
        <w:t>: Intricacies of the legislative framework, relevant legislation, purpose and coverage</w:t>
      </w:r>
    </w:p>
    <w:p w:rsidR="001244B2" w:rsidRDefault="001244B2" w:rsidP="001244B2">
      <w:pPr>
        <w:autoSpaceDE w:val="0"/>
        <w:autoSpaceDN w:val="0"/>
        <w:adjustRightInd w:val="0"/>
        <w:jc w:val="both"/>
        <w:rPr>
          <w:rFonts w:cs="Arial-BoldMT"/>
          <w:b/>
          <w:bCs/>
          <w:sz w:val="18"/>
        </w:rPr>
      </w:pPr>
    </w:p>
    <w:tbl>
      <w:tblPr>
        <w:tblW w:w="8364" w:type="dxa"/>
        <w:jc w:val="center"/>
        <w:tblLook w:val="04A0" w:firstRow="1" w:lastRow="0" w:firstColumn="1" w:lastColumn="0" w:noHBand="0" w:noVBand="1"/>
      </w:tblPr>
      <w:tblGrid>
        <w:gridCol w:w="1445"/>
        <w:gridCol w:w="1990"/>
        <w:gridCol w:w="4929"/>
      </w:tblGrid>
      <w:tr w:rsidR="001244B2" w:rsidRPr="005E307C" w:rsidTr="004B0055">
        <w:trPr>
          <w:tblHeader/>
          <w:jc w:val="center"/>
        </w:trPr>
        <w:tc>
          <w:tcPr>
            <w:tcW w:w="1445" w:type="dxa"/>
            <w:tcBorders>
              <w:top w:val="single" w:sz="4" w:space="0" w:color="1F497D" w:themeColor="text2"/>
              <w:bottom w:val="double" w:sz="4" w:space="0" w:color="1F497D" w:themeColor="text2"/>
            </w:tcBorders>
          </w:tcPr>
          <w:p w:rsidR="001244B2" w:rsidRPr="005E307C" w:rsidRDefault="001244B2" w:rsidP="00C96F0C">
            <w:pPr>
              <w:rPr>
                <w:b/>
                <w:color w:val="53565A"/>
                <w:sz w:val="18"/>
                <w:szCs w:val="20"/>
              </w:rPr>
            </w:pPr>
            <w:r w:rsidRPr="005E307C">
              <w:rPr>
                <w:b/>
                <w:color w:val="53565A"/>
                <w:sz w:val="18"/>
                <w:szCs w:val="20"/>
              </w:rPr>
              <w:t>Legislation</w:t>
            </w:r>
          </w:p>
        </w:tc>
        <w:tc>
          <w:tcPr>
            <w:tcW w:w="1990" w:type="dxa"/>
            <w:tcBorders>
              <w:top w:val="single" w:sz="4" w:space="0" w:color="1F497D" w:themeColor="text2"/>
              <w:bottom w:val="double" w:sz="4" w:space="0" w:color="1F497D" w:themeColor="text2"/>
            </w:tcBorders>
          </w:tcPr>
          <w:p w:rsidR="001244B2" w:rsidRPr="005E307C" w:rsidRDefault="001244B2" w:rsidP="00C96F0C">
            <w:pPr>
              <w:rPr>
                <w:b/>
                <w:color w:val="53565A"/>
                <w:sz w:val="18"/>
                <w:szCs w:val="20"/>
              </w:rPr>
            </w:pPr>
            <w:r w:rsidRPr="005E307C">
              <w:rPr>
                <w:b/>
                <w:color w:val="53565A"/>
                <w:sz w:val="18"/>
                <w:szCs w:val="20"/>
              </w:rPr>
              <w:t>Focus/Purpose</w:t>
            </w:r>
          </w:p>
        </w:tc>
        <w:tc>
          <w:tcPr>
            <w:tcW w:w="4929" w:type="dxa"/>
            <w:tcBorders>
              <w:top w:val="single" w:sz="4" w:space="0" w:color="1F497D" w:themeColor="text2"/>
              <w:bottom w:val="double" w:sz="4" w:space="0" w:color="1F497D" w:themeColor="text2"/>
            </w:tcBorders>
          </w:tcPr>
          <w:p w:rsidR="001244B2" w:rsidRPr="005E307C" w:rsidRDefault="001244B2" w:rsidP="00C96F0C">
            <w:pPr>
              <w:rPr>
                <w:b/>
                <w:color w:val="53565A"/>
                <w:sz w:val="18"/>
                <w:szCs w:val="20"/>
              </w:rPr>
            </w:pPr>
            <w:r w:rsidRPr="005E307C">
              <w:rPr>
                <w:b/>
                <w:color w:val="53565A"/>
                <w:sz w:val="18"/>
                <w:szCs w:val="20"/>
              </w:rPr>
              <w:t>Requirement coverage</w:t>
            </w:r>
          </w:p>
        </w:tc>
      </w:tr>
      <w:tr w:rsidR="001244B2" w:rsidTr="004B0055">
        <w:trPr>
          <w:jc w:val="center"/>
        </w:trPr>
        <w:tc>
          <w:tcPr>
            <w:tcW w:w="1445" w:type="dxa"/>
            <w:tcBorders>
              <w:top w:val="doub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POCTAA</w:t>
            </w:r>
          </w:p>
        </w:tc>
        <w:tc>
          <w:tcPr>
            <w:tcW w:w="1990" w:type="dxa"/>
            <w:tcBorders>
              <w:top w:val="doub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Prevent cruelty to animals.</w:t>
            </w:r>
          </w:p>
        </w:tc>
        <w:tc>
          <w:tcPr>
            <w:tcW w:w="4929" w:type="dxa"/>
            <w:tcBorders>
              <w:top w:val="doub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Sets codes of practice for Private Keeping of Dogs – not mandatory.</w:t>
            </w:r>
          </w:p>
          <w:p w:rsidR="001244B2" w:rsidRPr="004B0055" w:rsidRDefault="001244B2" w:rsidP="00C96F0C">
            <w:pPr>
              <w:rPr>
                <w:sz w:val="18"/>
                <w:szCs w:val="20"/>
              </w:rPr>
            </w:pPr>
            <w:r w:rsidRPr="004B0055">
              <w:rPr>
                <w:sz w:val="18"/>
                <w:szCs w:val="20"/>
              </w:rPr>
              <w:t>Defines animal cruelty and aggravated cruelty.</w:t>
            </w:r>
          </w:p>
          <w:p w:rsidR="001244B2" w:rsidRPr="004B0055" w:rsidRDefault="001244B2" w:rsidP="00C96F0C">
            <w:pPr>
              <w:rPr>
                <w:sz w:val="18"/>
                <w:szCs w:val="20"/>
              </w:rPr>
            </w:pPr>
            <w:r w:rsidRPr="004B0055">
              <w:rPr>
                <w:sz w:val="18"/>
                <w:szCs w:val="20"/>
              </w:rPr>
              <w:t>Sets offences for cruelty, ill-treatment, causing pain or suffering or abandonment.</w:t>
            </w:r>
          </w:p>
          <w:p w:rsidR="001244B2" w:rsidRPr="004B0055" w:rsidRDefault="001244B2" w:rsidP="00C96F0C">
            <w:pPr>
              <w:rPr>
                <w:sz w:val="18"/>
                <w:szCs w:val="20"/>
              </w:rPr>
            </w:pPr>
            <w:r w:rsidRPr="004B0055">
              <w:rPr>
                <w:sz w:val="18"/>
                <w:szCs w:val="20"/>
              </w:rPr>
              <w:t>Sets offences for people involved in baiting and luring, breeding with heritable defects.</w:t>
            </w:r>
          </w:p>
          <w:p w:rsidR="001244B2" w:rsidRPr="004B0055" w:rsidRDefault="001244B2" w:rsidP="00C96F0C">
            <w:pPr>
              <w:rPr>
                <w:sz w:val="18"/>
                <w:szCs w:val="20"/>
              </w:rPr>
            </w:pPr>
            <w:r w:rsidRPr="004B0055">
              <w:rPr>
                <w:sz w:val="18"/>
                <w:szCs w:val="20"/>
              </w:rPr>
              <w:t xml:space="preserve">Requires disclosure on sale or defects. </w:t>
            </w:r>
          </w:p>
        </w:tc>
      </w:tr>
      <w:tr w:rsidR="001244B2" w:rsidTr="004B0055">
        <w:trPr>
          <w:jc w:val="center"/>
        </w:trPr>
        <w:tc>
          <w:tcPr>
            <w:tcW w:w="1445"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DAA</w:t>
            </w:r>
          </w:p>
        </w:tc>
        <w:tc>
          <w:tcPr>
            <w:tcW w:w="1990"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Main legislation that relates to dog ownership.</w:t>
            </w:r>
          </w:p>
        </w:tc>
        <w:tc>
          <w:tcPr>
            <w:tcW w:w="4929"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General care, registration and identification requirements for dogs and domestic animal businesses.</w:t>
            </w:r>
          </w:p>
          <w:p w:rsidR="001244B2" w:rsidRPr="004B0055" w:rsidRDefault="001244B2" w:rsidP="00C96F0C">
            <w:pPr>
              <w:rPr>
                <w:sz w:val="18"/>
                <w:szCs w:val="20"/>
              </w:rPr>
            </w:pPr>
            <w:r w:rsidRPr="004B0055">
              <w:rPr>
                <w:sz w:val="18"/>
                <w:szCs w:val="20"/>
              </w:rPr>
              <w:t>Greyhounds are exempt from local council registration requirements.</w:t>
            </w:r>
          </w:p>
          <w:p w:rsidR="001244B2" w:rsidRPr="004B0055" w:rsidRDefault="001244B2" w:rsidP="00C96F0C">
            <w:pPr>
              <w:rPr>
                <w:sz w:val="18"/>
                <w:szCs w:val="20"/>
              </w:rPr>
            </w:pPr>
            <w:r w:rsidRPr="004B0055">
              <w:rPr>
                <w:sz w:val="18"/>
                <w:szCs w:val="20"/>
              </w:rPr>
              <w:t>Creates a duty for the restraint of greyhounds outside the owners’ property.</w:t>
            </w:r>
          </w:p>
          <w:p w:rsidR="001244B2" w:rsidRPr="004B0055" w:rsidRDefault="001244B2" w:rsidP="00C96F0C">
            <w:pPr>
              <w:rPr>
                <w:sz w:val="18"/>
                <w:szCs w:val="20"/>
              </w:rPr>
            </w:pPr>
            <w:r w:rsidRPr="004B0055">
              <w:rPr>
                <w:sz w:val="18"/>
                <w:szCs w:val="20"/>
              </w:rPr>
              <w:t>Provides ability to make a Code of Practice, specifically in relation to the keeping of greyhounds.</w:t>
            </w:r>
          </w:p>
        </w:tc>
      </w:tr>
      <w:tr w:rsidR="001244B2" w:rsidTr="004B0055">
        <w:trPr>
          <w:jc w:val="center"/>
        </w:trPr>
        <w:tc>
          <w:tcPr>
            <w:tcW w:w="1445"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Racing Act</w:t>
            </w:r>
          </w:p>
        </w:tc>
        <w:tc>
          <w:tcPr>
            <w:tcW w:w="1990"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Regulates the racing of greyhounds (as well as horse racing and trotting).</w:t>
            </w:r>
          </w:p>
        </w:tc>
        <w:tc>
          <w:tcPr>
            <w:tcW w:w="4929"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Establishes GRV as controlling body.</w:t>
            </w:r>
          </w:p>
          <w:p w:rsidR="001244B2" w:rsidRPr="004B0055" w:rsidRDefault="001244B2" w:rsidP="00C96F0C">
            <w:pPr>
              <w:rPr>
                <w:sz w:val="18"/>
                <w:szCs w:val="20"/>
              </w:rPr>
            </w:pPr>
            <w:r w:rsidRPr="004B0055">
              <w:rPr>
                <w:sz w:val="18"/>
                <w:szCs w:val="20"/>
              </w:rPr>
              <w:t>Provides powers to the Racing Integrity Commissioner to conduct audits and investigate animal welfare processes.</w:t>
            </w:r>
          </w:p>
          <w:p w:rsidR="001244B2" w:rsidRPr="004B0055" w:rsidRDefault="001244B2" w:rsidP="00C96F0C">
            <w:pPr>
              <w:rPr>
                <w:sz w:val="18"/>
                <w:szCs w:val="20"/>
              </w:rPr>
            </w:pPr>
            <w:r w:rsidRPr="004B0055">
              <w:rPr>
                <w:sz w:val="18"/>
                <w:szCs w:val="20"/>
              </w:rPr>
              <w:t>Creates offences for use of an animal as a lure.</w:t>
            </w:r>
          </w:p>
          <w:p w:rsidR="001244B2" w:rsidRPr="004B0055" w:rsidRDefault="001244B2" w:rsidP="00C96F0C">
            <w:pPr>
              <w:rPr>
                <w:sz w:val="18"/>
                <w:szCs w:val="20"/>
              </w:rPr>
            </w:pPr>
            <w:r w:rsidRPr="004B0055">
              <w:rPr>
                <w:sz w:val="18"/>
                <w:szCs w:val="20"/>
              </w:rPr>
              <w:t>Allows the GRV to make rules to control greyhound racing, registration, welfare, kennelling and breeding.</w:t>
            </w:r>
          </w:p>
        </w:tc>
      </w:tr>
      <w:tr w:rsidR="001244B2" w:rsidTr="004B0055">
        <w:trPr>
          <w:jc w:val="center"/>
        </w:trPr>
        <w:tc>
          <w:tcPr>
            <w:tcW w:w="1445"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GRV – Local Rules</w:t>
            </w:r>
          </w:p>
        </w:tc>
        <w:tc>
          <w:tcPr>
            <w:tcW w:w="1990"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The regulation of racing, people and management of greyhounds in the industry</w:t>
            </w:r>
            <w:r w:rsidR="00FC6506" w:rsidRPr="004B0055">
              <w:rPr>
                <w:sz w:val="18"/>
                <w:szCs w:val="20"/>
              </w:rPr>
              <w:t xml:space="preserve"> throughout Victoria</w:t>
            </w:r>
            <w:r w:rsidRPr="004B0055">
              <w:rPr>
                <w:sz w:val="18"/>
                <w:szCs w:val="20"/>
              </w:rPr>
              <w:t>.</w:t>
            </w:r>
          </w:p>
        </w:tc>
        <w:tc>
          <w:tcPr>
            <w:tcW w:w="4929"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 xml:space="preserve">Allows </w:t>
            </w:r>
            <w:r w:rsidR="009D1F1B">
              <w:rPr>
                <w:sz w:val="18"/>
                <w:szCs w:val="20"/>
              </w:rPr>
              <w:t xml:space="preserve">for </w:t>
            </w:r>
            <w:r w:rsidRPr="004B0055">
              <w:rPr>
                <w:sz w:val="18"/>
                <w:szCs w:val="20"/>
              </w:rPr>
              <w:t>the adoption of Greyhounds Australasia rules as local rules.</w:t>
            </w:r>
          </w:p>
          <w:p w:rsidR="001244B2" w:rsidRPr="004B0055" w:rsidRDefault="001244B2" w:rsidP="00C96F0C">
            <w:pPr>
              <w:rPr>
                <w:sz w:val="18"/>
                <w:szCs w:val="20"/>
              </w:rPr>
            </w:pPr>
            <w:r w:rsidRPr="004B0055">
              <w:rPr>
                <w:sz w:val="18"/>
                <w:szCs w:val="20"/>
              </w:rPr>
              <w:t>Make requirements for the registration of a person wishing to engage in whelping, rearing, breaking in, or education of greyhounds.</w:t>
            </w:r>
          </w:p>
          <w:p w:rsidR="001244B2" w:rsidRPr="004B0055" w:rsidRDefault="001244B2" w:rsidP="00C96F0C">
            <w:pPr>
              <w:rPr>
                <w:sz w:val="18"/>
                <w:szCs w:val="20"/>
              </w:rPr>
            </w:pPr>
            <w:r w:rsidRPr="004B0055">
              <w:rPr>
                <w:sz w:val="18"/>
                <w:szCs w:val="20"/>
              </w:rPr>
              <w:t>Requires a registered person to have complete prescribed education or qualifications.</w:t>
            </w:r>
          </w:p>
          <w:p w:rsidR="001244B2" w:rsidRPr="004B0055" w:rsidRDefault="001244B2" w:rsidP="00C96F0C">
            <w:pPr>
              <w:rPr>
                <w:sz w:val="18"/>
                <w:szCs w:val="20"/>
              </w:rPr>
            </w:pPr>
            <w:r w:rsidRPr="004B0055">
              <w:rPr>
                <w:sz w:val="18"/>
                <w:szCs w:val="20"/>
              </w:rPr>
              <w:t>Creates offences in relation to welfare, keeping in conditions that are dangerous to health, or permitting suffering.</w:t>
            </w:r>
          </w:p>
          <w:p w:rsidR="001244B2" w:rsidRPr="004B0055" w:rsidRDefault="001244B2" w:rsidP="00C96F0C">
            <w:pPr>
              <w:rPr>
                <w:sz w:val="18"/>
                <w:szCs w:val="20"/>
              </w:rPr>
            </w:pPr>
            <w:r w:rsidRPr="004B0055">
              <w:rPr>
                <w:sz w:val="18"/>
                <w:szCs w:val="20"/>
              </w:rPr>
              <w:t>Provide requirements for retirement, death and euthanasia.</w:t>
            </w:r>
          </w:p>
        </w:tc>
      </w:tr>
      <w:tr w:rsidR="001244B2" w:rsidTr="004B0055">
        <w:trPr>
          <w:jc w:val="center"/>
        </w:trPr>
        <w:tc>
          <w:tcPr>
            <w:tcW w:w="1445"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Greyhounds Australasia – GA Rules</w:t>
            </w:r>
          </w:p>
        </w:tc>
        <w:tc>
          <w:tcPr>
            <w:tcW w:w="1990"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The regulation of racing greyhounds and duties of a person keeping greyhounds, veterinary surgeons, ownership and breeding</w:t>
            </w:r>
            <w:r w:rsidR="00354D47" w:rsidRPr="004B0055">
              <w:rPr>
                <w:sz w:val="18"/>
                <w:szCs w:val="20"/>
              </w:rPr>
              <w:t xml:space="preserve"> throughout Australia</w:t>
            </w:r>
            <w:r w:rsidRPr="004B0055">
              <w:rPr>
                <w:sz w:val="18"/>
                <w:szCs w:val="20"/>
              </w:rPr>
              <w:t>.</w:t>
            </w:r>
          </w:p>
        </w:tc>
        <w:tc>
          <w:tcPr>
            <w:tcW w:w="4929" w:type="dxa"/>
            <w:tcBorders>
              <w:top w:val="single" w:sz="4" w:space="0" w:color="1F497D" w:themeColor="text2"/>
              <w:bottom w:val="single" w:sz="4" w:space="0" w:color="1F497D" w:themeColor="text2"/>
            </w:tcBorders>
          </w:tcPr>
          <w:p w:rsidR="001244B2" w:rsidRPr="004B0055" w:rsidRDefault="001244B2" w:rsidP="00C96F0C">
            <w:pPr>
              <w:rPr>
                <w:sz w:val="18"/>
                <w:szCs w:val="20"/>
              </w:rPr>
            </w:pPr>
            <w:r w:rsidRPr="004B0055">
              <w:rPr>
                <w:sz w:val="18"/>
                <w:szCs w:val="20"/>
              </w:rPr>
              <w:t>Requirement for a person in charge of a greyhound to keep records.</w:t>
            </w:r>
          </w:p>
          <w:p w:rsidR="001244B2" w:rsidRPr="004B0055" w:rsidRDefault="001244B2" w:rsidP="00C96F0C">
            <w:pPr>
              <w:rPr>
                <w:sz w:val="18"/>
                <w:szCs w:val="20"/>
              </w:rPr>
            </w:pPr>
            <w:r w:rsidRPr="004B0055">
              <w:rPr>
                <w:sz w:val="18"/>
                <w:szCs w:val="20"/>
              </w:rPr>
              <w:t>Makes provisions of the duties of a person keeping a greyhound in relation to care, welfare, notification and control.</w:t>
            </w:r>
          </w:p>
          <w:p w:rsidR="001244B2" w:rsidRPr="004B0055" w:rsidRDefault="001244B2" w:rsidP="00C96F0C">
            <w:pPr>
              <w:rPr>
                <w:sz w:val="18"/>
                <w:szCs w:val="20"/>
              </w:rPr>
            </w:pPr>
            <w:r w:rsidRPr="004B0055">
              <w:rPr>
                <w:sz w:val="18"/>
                <w:szCs w:val="20"/>
              </w:rPr>
              <w:t>Provides a requirement for microchip and ear brand identification, registration and ownership of a greyhound.</w:t>
            </w:r>
          </w:p>
          <w:p w:rsidR="001244B2" w:rsidRPr="004B0055" w:rsidRDefault="001244B2" w:rsidP="00C96F0C">
            <w:pPr>
              <w:rPr>
                <w:sz w:val="18"/>
                <w:szCs w:val="20"/>
              </w:rPr>
            </w:pPr>
            <w:r w:rsidRPr="004B0055">
              <w:rPr>
                <w:sz w:val="18"/>
                <w:szCs w:val="20"/>
              </w:rPr>
              <w:t xml:space="preserve">Requires approval for breeding and registration of breeding dogs, mating, and litters (including coverage of artificial insemination controls). </w:t>
            </w:r>
          </w:p>
        </w:tc>
      </w:tr>
      <w:tr w:rsidR="001244B2" w:rsidTr="004B0055">
        <w:trPr>
          <w:jc w:val="center"/>
        </w:trPr>
        <w:tc>
          <w:tcPr>
            <w:tcW w:w="1445" w:type="dxa"/>
            <w:tcBorders>
              <w:top w:val="single" w:sz="4" w:space="0" w:color="1F497D" w:themeColor="text2"/>
              <w:bottom w:val="single" w:sz="4" w:space="0" w:color="244061" w:themeColor="accent1" w:themeShade="80"/>
            </w:tcBorders>
          </w:tcPr>
          <w:p w:rsidR="001244B2" w:rsidRPr="004B0055" w:rsidRDefault="001244B2" w:rsidP="00C96F0C">
            <w:pPr>
              <w:rPr>
                <w:sz w:val="18"/>
                <w:szCs w:val="20"/>
              </w:rPr>
            </w:pPr>
            <w:r w:rsidRPr="004B0055">
              <w:rPr>
                <w:sz w:val="18"/>
                <w:szCs w:val="20"/>
              </w:rPr>
              <w:t>Code of Practice for the Operation of Greyhound Establishments</w:t>
            </w:r>
          </w:p>
        </w:tc>
        <w:tc>
          <w:tcPr>
            <w:tcW w:w="1990" w:type="dxa"/>
            <w:tcBorders>
              <w:top w:val="single" w:sz="4" w:space="0" w:color="1F497D" w:themeColor="text2"/>
              <w:bottom w:val="single" w:sz="4" w:space="0" w:color="244061" w:themeColor="accent1" w:themeShade="80"/>
            </w:tcBorders>
          </w:tcPr>
          <w:p w:rsidR="001244B2" w:rsidRPr="004B0055" w:rsidRDefault="001244B2" w:rsidP="00C96F0C">
            <w:pPr>
              <w:rPr>
                <w:sz w:val="18"/>
                <w:szCs w:val="20"/>
              </w:rPr>
            </w:pPr>
            <w:r w:rsidRPr="004B0055">
              <w:rPr>
                <w:sz w:val="18"/>
                <w:szCs w:val="20"/>
              </w:rPr>
              <w:t>Minimum standards for accommodation, management and care which are appropriate to the physical and behavioural needs of greyhounds.</w:t>
            </w:r>
          </w:p>
        </w:tc>
        <w:tc>
          <w:tcPr>
            <w:tcW w:w="4929" w:type="dxa"/>
            <w:tcBorders>
              <w:top w:val="single" w:sz="4" w:space="0" w:color="1F497D" w:themeColor="text2"/>
              <w:bottom w:val="single" w:sz="4" w:space="0" w:color="244061" w:themeColor="accent1" w:themeShade="80"/>
            </w:tcBorders>
          </w:tcPr>
          <w:p w:rsidR="001244B2" w:rsidRPr="004B0055" w:rsidRDefault="001244B2" w:rsidP="00C96F0C">
            <w:pPr>
              <w:rPr>
                <w:sz w:val="18"/>
                <w:szCs w:val="20"/>
              </w:rPr>
            </w:pPr>
            <w:r w:rsidRPr="004B0055">
              <w:rPr>
                <w:sz w:val="18"/>
                <w:szCs w:val="20"/>
              </w:rPr>
              <w:t>Provides requirements and duties for the manager, veterinarian and kennel attendants responsible for greyhounds.</w:t>
            </w:r>
          </w:p>
          <w:p w:rsidR="001244B2" w:rsidRPr="004B0055" w:rsidRDefault="001244B2" w:rsidP="00C96F0C">
            <w:pPr>
              <w:rPr>
                <w:sz w:val="18"/>
                <w:szCs w:val="20"/>
              </w:rPr>
            </w:pPr>
            <w:r w:rsidRPr="004B0055">
              <w:rPr>
                <w:sz w:val="18"/>
                <w:szCs w:val="20"/>
              </w:rPr>
              <w:t>Requires minimum standards of food and water.</w:t>
            </w:r>
          </w:p>
          <w:p w:rsidR="001244B2" w:rsidRPr="004B0055" w:rsidRDefault="001244B2" w:rsidP="00C96F0C">
            <w:pPr>
              <w:rPr>
                <w:sz w:val="18"/>
                <w:szCs w:val="20"/>
              </w:rPr>
            </w:pPr>
            <w:r w:rsidRPr="004B0055">
              <w:rPr>
                <w:sz w:val="18"/>
                <w:szCs w:val="20"/>
              </w:rPr>
              <w:t>Makes provisions relating to vaccination and health care, sale of pups, hygiene, exercise and security.</w:t>
            </w:r>
          </w:p>
          <w:p w:rsidR="001244B2" w:rsidRPr="004B0055" w:rsidRDefault="001244B2" w:rsidP="00C96F0C">
            <w:pPr>
              <w:rPr>
                <w:sz w:val="18"/>
                <w:szCs w:val="20"/>
              </w:rPr>
            </w:pPr>
            <w:r w:rsidRPr="004B0055">
              <w:rPr>
                <w:sz w:val="18"/>
                <w:szCs w:val="20"/>
              </w:rPr>
              <w:t>Sets minimum size and standards for housing and enclosure sizes.</w:t>
            </w:r>
          </w:p>
          <w:p w:rsidR="001244B2" w:rsidRPr="004B0055" w:rsidRDefault="001244B2" w:rsidP="00C96F0C">
            <w:pPr>
              <w:rPr>
                <w:sz w:val="18"/>
                <w:szCs w:val="20"/>
              </w:rPr>
            </w:pPr>
            <w:r w:rsidRPr="004B0055">
              <w:rPr>
                <w:sz w:val="18"/>
                <w:szCs w:val="20"/>
              </w:rPr>
              <w:t>Provides specific requirements of record keeping.</w:t>
            </w:r>
          </w:p>
        </w:tc>
      </w:tr>
      <w:tr w:rsidR="001244B2" w:rsidTr="004B0055">
        <w:trPr>
          <w:jc w:val="center"/>
        </w:trPr>
        <w:tc>
          <w:tcPr>
            <w:tcW w:w="1445" w:type="dxa"/>
            <w:tcBorders>
              <w:top w:val="single" w:sz="4" w:space="0" w:color="244061" w:themeColor="accent1" w:themeShade="80"/>
              <w:bottom w:val="single" w:sz="4" w:space="0" w:color="1F497D" w:themeColor="text2"/>
            </w:tcBorders>
          </w:tcPr>
          <w:p w:rsidR="001244B2" w:rsidRPr="004B0055" w:rsidRDefault="001244B2" w:rsidP="00C96F0C">
            <w:pPr>
              <w:rPr>
                <w:sz w:val="18"/>
                <w:szCs w:val="20"/>
              </w:rPr>
            </w:pPr>
            <w:r w:rsidRPr="004B0055">
              <w:rPr>
                <w:sz w:val="18"/>
                <w:szCs w:val="20"/>
              </w:rPr>
              <w:t>Wildlife Act</w:t>
            </w:r>
          </w:p>
        </w:tc>
        <w:tc>
          <w:tcPr>
            <w:tcW w:w="1990" w:type="dxa"/>
            <w:tcBorders>
              <w:top w:val="single" w:sz="4" w:space="0" w:color="244061" w:themeColor="accent1" w:themeShade="80"/>
              <w:bottom w:val="single" w:sz="4" w:space="0" w:color="1F497D" w:themeColor="text2"/>
            </w:tcBorders>
          </w:tcPr>
          <w:p w:rsidR="001244B2" w:rsidRPr="004B0055" w:rsidRDefault="001244B2" w:rsidP="00C96F0C">
            <w:pPr>
              <w:rPr>
                <w:sz w:val="18"/>
                <w:szCs w:val="20"/>
              </w:rPr>
            </w:pPr>
            <w:r w:rsidRPr="004B0055">
              <w:rPr>
                <w:sz w:val="18"/>
                <w:szCs w:val="20"/>
              </w:rPr>
              <w:t>Protect and conserve wildlife.</w:t>
            </w:r>
          </w:p>
        </w:tc>
        <w:tc>
          <w:tcPr>
            <w:tcW w:w="4929" w:type="dxa"/>
            <w:tcBorders>
              <w:top w:val="single" w:sz="4" w:space="0" w:color="244061" w:themeColor="accent1" w:themeShade="80"/>
              <w:bottom w:val="single" w:sz="4" w:space="0" w:color="1F497D" w:themeColor="text2"/>
            </w:tcBorders>
          </w:tcPr>
          <w:p w:rsidR="001244B2" w:rsidRPr="004B0055" w:rsidRDefault="001244B2" w:rsidP="00C96F0C">
            <w:pPr>
              <w:rPr>
                <w:sz w:val="18"/>
                <w:szCs w:val="20"/>
              </w:rPr>
            </w:pPr>
            <w:r w:rsidRPr="004B0055">
              <w:rPr>
                <w:sz w:val="18"/>
                <w:szCs w:val="20"/>
              </w:rPr>
              <w:t>Controls the keeping, hunting, killing or taking of wildlife.</w:t>
            </w:r>
          </w:p>
        </w:tc>
      </w:tr>
    </w:tbl>
    <w:p w:rsidR="001244B2" w:rsidRDefault="001244B2" w:rsidP="001244B2">
      <w:pPr>
        <w:jc w:val="both"/>
      </w:pPr>
    </w:p>
    <w:p w:rsidR="00074FC4" w:rsidRDefault="009815B2" w:rsidP="00DD0D8D">
      <w:pPr>
        <w:jc w:val="both"/>
      </w:pPr>
      <w:r>
        <w:t>The complex legislative framework is further complicated</w:t>
      </w:r>
      <w:r w:rsidR="00074FC4">
        <w:t xml:space="preserve"> in that each piece of legislation has a different emphasis depending on the section of the industry and each piece of legislation has a different level of </w:t>
      </w:r>
      <w:r w:rsidR="00B20FC4">
        <w:t>detail (</w:t>
      </w:r>
      <w:r w:rsidR="00074FC4">
        <w:t>prescriptiveness</w:t>
      </w:r>
      <w:r w:rsidR="00B20FC4">
        <w:t>)</w:t>
      </w:r>
      <w:r w:rsidR="00074FC4">
        <w:t xml:space="preserve"> to guide a person in-charge of a </w:t>
      </w:r>
      <w:r w:rsidR="00074FC4">
        <w:lastRenderedPageBreak/>
        <w:t>greyhound (educat</w:t>
      </w:r>
      <w:r w:rsidR="006F38D5">
        <w:t>ion</w:t>
      </w:r>
      <w:r w:rsidR="00074FC4">
        <w:t>) and a different penalty for non-compliance (</w:t>
      </w:r>
      <w:r w:rsidR="00440352">
        <w:t>deterren</w:t>
      </w:r>
      <w:r w:rsidR="006F38D5">
        <w:t>ce</w:t>
      </w:r>
      <w:r w:rsidR="00B20FC4">
        <w:t>)</w:t>
      </w:r>
      <w:r w:rsidR="00445729">
        <w:t xml:space="preserve"> as shown in Table </w:t>
      </w:r>
      <w:r w:rsidR="00450604">
        <w:t>10</w:t>
      </w:r>
      <w:r w:rsidR="00D76762">
        <w:t>.</w:t>
      </w:r>
    </w:p>
    <w:p w:rsidR="00C059D6" w:rsidRDefault="00C059D6" w:rsidP="00DD0D8D">
      <w:pPr>
        <w:jc w:val="both"/>
      </w:pPr>
    </w:p>
    <w:p w:rsidR="00074FC4" w:rsidRPr="00DD08EF" w:rsidRDefault="00074FC4" w:rsidP="00074FC4">
      <w:pPr>
        <w:autoSpaceDE w:val="0"/>
        <w:autoSpaceDN w:val="0"/>
        <w:adjustRightInd w:val="0"/>
        <w:jc w:val="center"/>
        <w:rPr>
          <w:rFonts w:cs="Arial-BoldMT"/>
          <w:b/>
          <w:bCs/>
          <w:sz w:val="20"/>
          <w:szCs w:val="20"/>
        </w:rPr>
      </w:pPr>
      <w:r w:rsidRPr="00C357B6">
        <w:rPr>
          <w:rFonts w:cs="Arial-BoldMT"/>
          <w:b/>
          <w:bCs/>
          <w:sz w:val="20"/>
          <w:szCs w:val="20"/>
        </w:rPr>
        <w:t xml:space="preserve">Table </w:t>
      </w:r>
      <w:r w:rsidR="00450604" w:rsidRPr="00C357B6">
        <w:rPr>
          <w:rFonts w:cs="Arial-BoldMT"/>
          <w:b/>
          <w:bCs/>
          <w:sz w:val="20"/>
          <w:szCs w:val="20"/>
        </w:rPr>
        <w:t>10</w:t>
      </w:r>
      <w:r w:rsidRPr="00C357B6">
        <w:rPr>
          <w:rFonts w:cs="Arial-BoldMT"/>
          <w:b/>
          <w:bCs/>
          <w:sz w:val="20"/>
          <w:szCs w:val="20"/>
        </w:rPr>
        <w:t>: Intricacies of the legislative framework</w:t>
      </w:r>
      <w:r w:rsidR="0003698C" w:rsidRPr="00C357B6">
        <w:rPr>
          <w:rFonts w:cs="Arial-BoldMT"/>
          <w:b/>
          <w:bCs/>
          <w:sz w:val="20"/>
          <w:szCs w:val="20"/>
        </w:rPr>
        <w:t xml:space="preserve"> and</w:t>
      </w:r>
      <w:r w:rsidRPr="00C357B6">
        <w:rPr>
          <w:rFonts w:cs="Arial-BoldMT"/>
          <w:b/>
          <w:bCs/>
          <w:sz w:val="20"/>
          <w:szCs w:val="20"/>
        </w:rPr>
        <w:t xml:space="preserve"> gaps in coverage</w:t>
      </w:r>
    </w:p>
    <w:p w:rsidR="0081601E" w:rsidRDefault="0081601E" w:rsidP="00DD0D8D">
      <w:pPr>
        <w:jc w:val="both"/>
      </w:pPr>
    </w:p>
    <w:tbl>
      <w:tblPr>
        <w:tblW w:w="8383" w:type="dxa"/>
        <w:jc w:val="center"/>
        <w:tblLook w:val="04A0" w:firstRow="1" w:lastRow="0" w:firstColumn="1" w:lastColumn="0" w:noHBand="0" w:noVBand="1"/>
      </w:tblPr>
      <w:tblGrid>
        <w:gridCol w:w="2552"/>
        <w:gridCol w:w="1559"/>
        <w:gridCol w:w="4272"/>
      </w:tblGrid>
      <w:tr w:rsidR="006961D5" w:rsidRPr="005E307C" w:rsidTr="00C357B6">
        <w:trPr>
          <w:tblHeader/>
          <w:jc w:val="center"/>
        </w:trPr>
        <w:tc>
          <w:tcPr>
            <w:tcW w:w="2552" w:type="dxa"/>
            <w:tcBorders>
              <w:top w:val="single" w:sz="4" w:space="0" w:color="1F497D" w:themeColor="text2"/>
              <w:bottom w:val="double" w:sz="4" w:space="0" w:color="1F497D" w:themeColor="text2"/>
            </w:tcBorders>
          </w:tcPr>
          <w:p w:rsidR="00905AA2" w:rsidRPr="005E307C" w:rsidRDefault="00905AA2" w:rsidP="0087674F">
            <w:pPr>
              <w:rPr>
                <w:b/>
                <w:color w:val="53565A"/>
                <w:sz w:val="18"/>
                <w:szCs w:val="20"/>
              </w:rPr>
            </w:pPr>
            <w:r w:rsidRPr="005E307C">
              <w:rPr>
                <w:b/>
                <w:color w:val="53565A"/>
                <w:sz w:val="18"/>
                <w:szCs w:val="20"/>
              </w:rPr>
              <w:t>Legislation</w:t>
            </w:r>
          </w:p>
          <w:p w:rsidR="00D44F5C" w:rsidRPr="005E307C" w:rsidRDefault="00D44F5C" w:rsidP="0087674F">
            <w:pPr>
              <w:rPr>
                <w:b/>
                <w:color w:val="53565A"/>
                <w:sz w:val="18"/>
                <w:szCs w:val="20"/>
              </w:rPr>
            </w:pPr>
            <w:r w:rsidRPr="005E307C">
              <w:rPr>
                <w:b/>
                <w:color w:val="53565A"/>
                <w:sz w:val="18"/>
                <w:szCs w:val="20"/>
              </w:rPr>
              <w:t>/main requirement</w:t>
            </w:r>
          </w:p>
        </w:tc>
        <w:tc>
          <w:tcPr>
            <w:tcW w:w="1559" w:type="dxa"/>
            <w:tcBorders>
              <w:top w:val="single" w:sz="4" w:space="0" w:color="1F497D" w:themeColor="text2"/>
              <w:bottom w:val="double" w:sz="4" w:space="0" w:color="1F497D" w:themeColor="text2"/>
            </w:tcBorders>
          </w:tcPr>
          <w:p w:rsidR="00905AA2" w:rsidRPr="005E307C" w:rsidRDefault="00905AA2" w:rsidP="0087674F">
            <w:pPr>
              <w:rPr>
                <w:b/>
                <w:color w:val="53565A"/>
                <w:sz w:val="18"/>
                <w:szCs w:val="20"/>
              </w:rPr>
            </w:pPr>
            <w:r w:rsidRPr="005E307C">
              <w:rPr>
                <w:b/>
                <w:color w:val="53565A"/>
                <w:sz w:val="18"/>
                <w:szCs w:val="20"/>
              </w:rPr>
              <w:t>Penalty for non-compliance (up to)</w:t>
            </w:r>
            <w:r w:rsidR="001E1BAB" w:rsidRPr="005E307C">
              <w:rPr>
                <w:rStyle w:val="FootnoteReference"/>
                <w:b/>
                <w:color w:val="53565A"/>
                <w:sz w:val="18"/>
                <w:szCs w:val="20"/>
              </w:rPr>
              <w:footnoteReference w:id="51"/>
            </w:r>
            <w:r w:rsidR="00A604D1" w:rsidRPr="005E307C">
              <w:rPr>
                <w:b/>
                <w:color w:val="53565A"/>
                <w:sz w:val="18"/>
                <w:szCs w:val="20"/>
              </w:rPr>
              <w:t xml:space="preserve"> </w:t>
            </w:r>
          </w:p>
        </w:tc>
        <w:tc>
          <w:tcPr>
            <w:tcW w:w="4272" w:type="dxa"/>
            <w:tcBorders>
              <w:top w:val="single" w:sz="4" w:space="0" w:color="1F497D" w:themeColor="text2"/>
              <w:bottom w:val="double" w:sz="4" w:space="0" w:color="1F497D" w:themeColor="text2"/>
            </w:tcBorders>
          </w:tcPr>
          <w:p w:rsidR="00905AA2" w:rsidRPr="005E307C" w:rsidRDefault="00905AA2" w:rsidP="0087674F">
            <w:pPr>
              <w:rPr>
                <w:b/>
                <w:color w:val="53565A"/>
                <w:sz w:val="18"/>
                <w:szCs w:val="20"/>
              </w:rPr>
            </w:pPr>
            <w:r w:rsidRPr="005E307C">
              <w:rPr>
                <w:b/>
                <w:color w:val="53565A"/>
                <w:sz w:val="18"/>
                <w:szCs w:val="20"/>
              </w:rPr>
              <w:t>Not covered (gaps)</w:t>
            </w:r>
          </w:p>
        </w:tc>
      </w:tr>
      <w:tr w:rsidR="006961D5" w:rsidTr="00C357B6">
        <w:trPr>
          <w:trHeight w:val="232"/>
          <w:jc w:val="center"/>
        </w:trPr>
        <w:tc>
          <w:tcPr>
            <w:tcW w:w="2552" w:type="dxa"/>
            <w:tcBorders>
              <w:top w:val="double" w:sz="4" w:space="0" w:color="1F497D" w:themeColor="text2"/>
              <w:bottom w:val="single" w:sz="4" w:space="0" w:color="1F497D" w:themeColor="text2"/>
            </w:tcBorders>
          </w:tcPr>
          <w:p w:rsidR="00905AA2" w:rsidRDefault="00905AA2" w:rsidP="0087674F">
            <w:pPr>
              <w:rPr>
                <w:b/>
                <w:sz w:val="18"/>
                <w:szCs w:val="20"/>
              </w:rPr>
            </w:pPr>
            <w:r w:rsidRPr="004B0055">
              <w:rPr>
                <w:b/>
                <w:sz w:val="18"/>
                <w:szCs w:val="20"/>
              </w:rPr>
              <w:t>POCTAA</w:t>
            </w:r>
          </w:p>
          <w:p w:rsidR="00802131" w:rsidRPr="004B0055" w:rsidRDefault="00802131" w:rsidP="0087674F">
            <w:pPr>
              <w:rPr>
                <w:b/>
                <w:sz w:val="18"/>
                <w:szCs w:val="20"/>
              </w:rPr>
            </w:pPr>
            <w:r>
              <w:rPr>
                <w:b/>
                <w:sz w:val="18"/>
                <w:szCs w:val="20"/>
              </w:rPr>
              <w:t>Protection of animals</w:t>
            </w:r>
          </w:p>
          <w:p w:rsidR="00905AA2" w:rsidRPr="004B0055" w:rsidRDefault="00905AA2" w:rsidP="0087674F">
            <w:pPr>
              <w:rPr>
                <w:sz w:val="18"/>
                <w:szCs w:val="20"/>
              </w:rPr>
            </w:pPr>
            <w:r w:rsidRPr="004B0055">
              <w:rPr>
                <w:sz w:val="18"/>
                <w:szCs w:val="20"/>
              </w:rPr>
              <w:t>-cruelty</w:t>
            </w:r>
          </w:p>
          <w:p w:rsidR="00905AA2" w:rsidRPr="004B0055" w:rsidRDefault="00905AA2" w:rsidP="0087674F">
            <w:pPr>
              <w:rPr>
                <w:sz w:val="18"/>
                <w:szCs w:val="20"/>
              </w:rPr>
            </w:pPr>
          </w:p>
          <w:p w:rsidR="00DE5099" w:rsidRDefault="00DE5099" w:rsidP="0087674F">
            <w:pPr>
              <w:rPr>
                <w:sz w:val="18"/>
                <w:szCs w:val="20"/>
              </w:rPr>
            </w:pPr>
          </w:p>
          <w:p w:rsidR="00905AA2" w:rsidRPr="004B0055" w:rsidRDefault="00905AA2" w:rsidP="0087674F">
            <w:pPr>
              <w:rPr>
                <w:sz w:val="18"/>
                <w:szCs w:val="20"/>
              </w:rPr>
            </w:pPr>
            <w:r w:rsidRPr="004B0055">
              <w:rPr>
                <w:sz w:val="18"/>
                <w:szCs w:val="20"/>
              </w:rPr>
              <w:t>-live baiting</w:t>
            </w:r>
          </w:p>
        </w:tc>
        <w:tc>
          <w:tcPr>
            <w:tcW w:w="1559" w:type="dxa"/>
            <w:tcBorders>
              <w:top w:val="double" w:sz="4" w:space="0" w:color="1F497D" w:themeColor="text2"/>
              <w:bottom w:val="single" w:sz="4" w:space="0" w:color="1F497D" w:themeColor="text2"/>
            </w:tcBorders>
          </w:tcPr>
          <w:p w:rsidR="00905AA2" w:rsidRPr="004B0055" w:rsidRDefault="00905AA2" w:rsidP="00C357B6">
            <w:pPr>
              <w:rPr>
                <w:sz w:val="18"/>
                <w:szCs w:val="20"/>
              </w:rPr>
            </w:pPr>
          </w:p>
          <w:p w:rsidR="00802131" w:rsidRDefault="00802131" w:rsidP="00C357B6">
            <w:pPr>
              <w:rPr>
                <w:sz w:val="18"/>
                <w:szCs w:val="20"/>
              </w:rPr>
            </w:pPr>
          </w:p>
          <w:p w:rsidR="00905AA2" w:rsidRPr="004B0055" w:rsidRDefault="00905AA2" w:rsidP="00C357B6">
            <w:pPr>
              <w:rPr>
                <w:sz w:val="18"/>
                <w:szCs w:val="20"/>
              </w:rPr>
            </w:pPr>
            <w:r w:rsidRPr="004B0055">
              <w:rPr>
                <w:sz w:val="18"/>
                <w:szCs w:val="20"/>
              </w:rPr>
              <w:t>$38,865 (or 1 y</w:t>
            </w:r>
            <w:r w:rsidR="006961D5" w:rsidRPr="004B0055">
              <w:rPr>
                <w:sz w:val="18"/>
                <w:szCs w:val="20"/>
              </w:rPr>
              <w:t>ear</w:t>
            </w:r>
            <w:r w:rsidRPr="004B0055">
              <w:rPr>
                <w:sz w:val="18"/>
                <w:szCs w:val="20"/>
              </w:rPr>
              <w:t xml:space="preserve"> jail)</w:t>
            </w:r>
          </w:p>
          <w:p w:rsidR="00905AA2" w:rsidRPr="004B0055" w:rsidRDefault="00905AA2" w:rsidP="00C357B6">
            <w:pPr>
              <w:rPr>
                <w:sz w:val="18"/>
                <w:szCs w:val="20"/>
              </w:rPr>
            </w:pPr>
          </w:p>
          <w:p w:rsidR="00905AA2" w:rsidRPr="004B0055" w:rsidRDefault="00905AA2" w:rsidP="00C357B6">
            <w:pPr>
              <w:rPr>
                <w:sz w:val="18"/>
                <w:szCs w:val="20"/>
              </w:rPr>
            </w:pPr>
            <w:r w:rsidRPr="004B0055">
              <w:rPr>
                <w:sz w:val="18"/>
                <w:szCs w:val="20"/>
              </w:rPr>
              <w:t>$77,730</w:t>
            </w:r>
            <w:r w:rsidR="006961D5" w:rsidRPr="004B0055">
              <w:rPr>
                <w:sz w:val="18"/>
                <w:szCs w:val="20"/>
              </w:rPr>
              <w:t xml:space="preserve"> </w:t>
            </w:r>
            <w:r w:rsidRPr="004B0055">
              <w:rPr>
                <w:sz w:val="18"/>
                <w:szCs w:val="20"/>
              </w:rPr>
              <w:t>(or 2 y</w:t>
            </w:r>
            <w:r w:rsidR="006961D5" w:rsidRPr="004B0055">
              <w:rPr>
                <w:sz w:val="18"/>
                <w:szCs w:val="20"/>
              </w:rPr>
              <w:t>ears</w:t>
            </w:r>
            <w:r w:rsidRPr="004B0055">
              <w:rPr>
                <w:sz w:val="18"/>
                <w:szCs w:val="20"/>
              </w:rPr>
              <w:t xml:space="preserve"> jail</w:t>
            </w:r>
            <w:r w:rsidR="00162DBD" w:rsidRPr="004B0055">
              <w:rPr>
                <w:sz w:val="18"/>
                <w:szCs w:val="20"/>
              </w:rPr>
              <w:t>)</w:t>
            </w:r>
          </w:p>
        </w:tc>
        <w:tc>
          <w:tcPr>
            <w:tcW w:w="4272" w:type="dxa"/>
            <w:tcBorders>
              <w:top w:val="double" w:sz="4" w:space="0" w:color="1F497D" w:themeColor="text2"/>
              <w:bottom w:val="single" w:sz="4" w:space="0" w:color="1F497D" w:themeColor="text2"/>
            </w:tcBorders>
          </w:tcPr>
          <w:p w:rsidR="003F6257" w:rsidRDefault="003F6257" w:rsidP="0087674F">
            <w:pPr>
              <w:rPr>
                <w:sz w:val="18"/>
                <w:szCs w:val="20"/>
              </w:rPr>
            </w:pPr>
          </w:p>
          <w:p w:rsidR="00802131" w:rsidRDefault="00802131" w:rsidP="00DE5099">
            <w:pPr>
              <w:rPr>
                <w:sz w:val="18"/>
                <w:szCs w:val="20"/>
              </w:rPr>
            </w:pPr>
          </w:p>
          <w:p w:rsidR="00DE5099" w:rsidRDefault="00DE5099" w:rsidP="00DE5099">
            <w:pPr>
              <w:rPr>
                <w:sz w:val="18"/>
                <w:szCs w:val="20"/>
              </w:rPr>
            </w:pPr>
            <w:r w:rsidRPr="004B0055">
              <w:rPr>
                <w:sz w:val="18"/>
                <w:szCs w:val="20"/>
              </w:rPr>
              <w:t xml:space="preserve">Management </w:t>
            </w:r>
            <w:r>
              <w:rPr>
                <w:sz w:val="18"/>
                <w:szCs w:val="20"/>
              </w:rPr>
              <w:t>practices in line with a code of practice that might lead to poor animal welfare.</w:t>
            </w:r>
          </w:p>
          <w:p w:rsidR="00DE5099" w:rsidRPr="004B0055" w:rsidRDefault="00DE5099" w:rsidP="00DE5099">
            <w:pPr>
              <w:rPr>
                <w:sz w:val="18"/>
                <w:szCs w:val="20"/>
              </w:rPr>
            </w:pPr>
          </w:p>
          <w:p w:rsidR="00905AA2" w:rsidRPr="004B0055" w:rsidRDefault="00DE5099" w:rsidP="0087674F">
            <w:pPr>
              <w:rPr>
                <w:sz w:val="18"/>
                <w:szCs w:val="20"/>
              </w:rPr>
            </w:pPr>
            <w:r w:rsidRPr="004B0055">
              <w:rPr>
                <w:sz w:val="18"/>
                <w:szCs w:val="20"/>
              </w:rPr>
              <w:t>Tracking or identification of</w:t>
            </w:r>
            <w:r>
              <w:rPr>
                <w:sz w:val="18"/>
                <w:szCs w:val="20"/>
              </w:rPr>
              <w:t xml:space="preserve"> animals at</w:t>
            </w:r>
            <w:r w:rsidRPr="004B0055">
              <w:rPr>
                <w:sz w:val="18"/>
                <w:szCs w:val="20"/>
              </w:rPr>
              <w:t xml:space="preserve"> any stage</w:t>
            </w:r>
            <w:r>
              <w:rPr>
                <w:sz w:val="18"/>
                <w:szCs w:val="20"/>
              </w:rPr>
              <w:t xml:space="preserve"> of the lifecycle to identify properties and dogs at risk of being used for live baiting</w:t>
            </w:r>
          </w:p>
        </w:tc>
      </w:tr>
      <w:tr w:rsidR="006961D5" w:rsidTr="00C357B6">
        <w:trPr>
          <w:trHeight w:val="1694"/>
          <w:jc w:val="center"/>
        </w:trPr>
        <w:tc>
          <w:tcPr>
            <w:tcW w:w="2552" w:type="dxa"/>
            <w:tcBorders>
              <w:top w:val="single" w:sz="4" w:space="0" w:color="1F497D" w:themeColor="text2"/>
              <w:bottom w:val="single" w:sz="4" w:space="0" w:color="1F497D" w:themeColor="text2"/>
            </w:tcBorders>
          </w:tcPr>
          <w:p w:rsidR="00905AA2" w:rsidRPr="004B0055" w:rsidRDefault="00905AA2" w:rsidP="0087674F">
            <w:pPr>
              <w:rPr>
                <w:sz w:val="18"/>
                <w:szCs w:val="20"/>
              </w:rPr>
            </w:pPr>
            <w:r w:rsidRPr="004B0055">
              <w:rPr>
                <w:b/>
                <w:sz w:val="18"/>
                <w:szCs w:val="20"/>
              </w:rPr>
              <w:t>DAA</w:t>
            </w:r>
          </w:p>
          <w:p w:rsidR="008A7469" w:rsidRPr="004B0055" w:rsidRDefault="008A7469" w:rsidP="008A7469">
            <w:pPr>
              <w:rPr>
                <w:sz w:val="18"/>
                <w:szCs w:val="20"/>
              </w:rPr>
            </w:pPr>
            <w:r>
              <w:rPr>
                <w:b/>
                <w:sz w:val="18"/>
                <w:szCs w:val="20"/>
              </w:rPr>
              <w:t>Registration of dogs:</w:t>
            </w:r>
          </w:p>
          <w:p w:rsidR="008A7469" w:rsidRPr="004B0055" w:rsidRDefault="008A7469" w:rsidP="008A7469">
            <w:pPr>
              <w:rPr>
                <w:sz w:val="18"/>
                <w:szCs w:val="20"/>
              </w:rPr>
            </w:pPr>
            <w:r w:rsidRPr="004B0055">
              <w:rPr>
                <w:sz w:val="18"/>
                <w:szCs w:val="20"/>
              </w:rPr>
              <w:t>-Not registered dog</w:t>
            </w:r>
          </w:p>
          <w:p w:rsidR="008A7469" w:rsidRDefault="008A7469" w:rsidP="008A7469">
            <w:pPr>
              <w:rPr>
                <w:b/>
                <w:sz w:val="18"/>
                <w:szCs w:val="20"/>
              </w:rPr>
            </w:pPr>
          </w:p>
          <w:p w:rsidR="008A7469" w:rsidRPr="004B0055" w:rsidRDefault="008A7469" w:rsidP="008A7469">
            <w:pPr>
              <w:rPr>
                <w:sz w:val="18"/>
                <w:szCs w:val="20"/>
              </w:rPr>
            </w:pPr>
            <w:r>
              <w:rPr>
                <w:b/>
                <w:sz w:val="18"/>
                <w:szCs w:val="20"/>
              </w:rPr>
              <w:t>C</w:t>
            </w:r>
            <w:r w:rsidRPr="00701A68">
              <w:rPr>
                <w:b/>
                <w:sz w:val="18"/>
                <w:szCs w:val="20"/>
              </w:rPr>
              <w:t>onduct of a domestic animal business</w:t>
            </w:r>
            <w:r>
              <w:rPr>
                <w:sz w:val="18"/>
                <w:szCs w:val="20"/>
              </w:rPr>
              <w:t>:</w:t>
            </w:r>
          </w:p>
          <w:p w:rsidR="00905AA2" w:rsidRPr="004B0055" w:rsidRDefault="008A7469" w:rsidP="0087674F">
            <w:pPr>
              <w:rPr>
                <w:sz w:val="18"/>
                <w:szCs w:val="20"/>
              </w:rPr>
            </w:pPr>
            <w:r w:rsidRPr="004B0055">
              <w:rPr>
                <w:sz w:val="18"/>
                <w:szCs w:val="20"/>
              </w:rPr>
              <w:t>-Non-compliance with mandatory code</w:t>
            </w:r>
          </w:p>
        </w:tc>
        <w:tc>
          <w:tcPr>
            <w:tcW w:w="1559" w:type="dxa"/>
            <w:tcBorders>
              <w:top w:val="single" w:sz="4" w:space="0" w:color="1F497D" w:themeColor="text2"/>
              <w:bottom w:val="single" w:sz="4" w:space="0" w:color="1F497D" w:themeColor="text2"/>
            </w:tcBorders>
          </w:tcPr>
          <w:p w:rsidR="00905AA2" w:rsidRPr="004B0055" w:rsidRDefault="00905AA2" w:rsidP="00C357B6">
            <w:pPr>
              <w:rPr>
                <w:sz w:val="18"/>
                <w:szCs w:val="20"/>
              </w:rPr>
            </w:pPr>
          </w:p>
          <w:p w:rsidR="008A7469" w:rsidRDefault="008A7469" w:rsidP="00C357B6">
            <w:pPr>
              <w:rPr>
                <w:sz w:val="18"/>
                <w:szCs w:val="20"/>
              </w:rPr>
            </w:pPr>
          </w:p>
          <w:p w:rsidR="00905AA2" w:rsidRPr="004B0055" w:rsidRDefault="000B036A" w:rsidP="00C357B6">
            <w:pPr>
              <w:rPr>
                <w:sz w:val="18"/>
                <w:szCs w:val="20"/>
              </w:rPr>
            </w:pPr>
            <w:r w:rsidRPr="004B0055">
              <w:rPr>
                <w:sz w:val="18"/>
                <w:szCs w:val="20"/>
              </w:rPr>
              <w:t>$3,109.20</w:t>
            </w:r>
          </w:p>
          <w:p w:rsidR="00905AA2" w:rsidRPr="004B0055" w:rsidRDefault="00905AA2" w:rsidP="00C357B6">
            <w:pPr>
              <w:rPr>
                <w:sz w:val="18"/>
                <w:szCs w:val="20"/>
              </w:rPr>
            </w:pPr>
          </w:p>
          <w:p w:rsidR="000B036A" w:rsidRPr="004B0055" w:rsidRDefault="000B036A" w:rsidP="00C357B6">
            <w:pPr>
              <w:rPr>
                <w:sz w:val="18"/>
                <w:szCs w:val="20"/>
              </w:rPr>
            </w:pPr>
          </w:p>
          <w:p w:rsidR="008A7469" w:rsidRDefault="008A7469" w:rsidP="00C357B6">
            <w:pPr>
              <w:rPr>
                <w:sz w:val="18"/>
                <w:szCs w:val="20"/>
              </w:rPr>
            </w:pPr>
          </w:p>
          <w:p w:rsidR="000B036A" w:rsidRPr="004B0055" w:rsidRDefault="000B036A" w:rsidP="00C357B6">
            <w:pPr>
              <w:rPr>
                <w:sz w:val="18"/>
                <w:szCs w:val="20"/>
              </w:rPr>
            </w:pPr>
            <w:r w:rsidRPr="004B0055">
              <w:rPr>
                <w:sz w:val="18"/>
                <w:szCs w:val="20"/>
              </w:rPr>
              <w:t>$38,243.16</w:t>
            </w:r>
          </w:p>
        </w:tc>
        <w:tc>
          <w:tcPr>
            <w:tcW w:w="4272" w:type="dxa"/>
            <w:tcBorders>
              <w:top w:val="single" w:sz="4" w:space="0" w:color="1F497D" w:themeColor="text2"/>
              <w:bottom w:val="single" w:sz="4" w:space="0" w:color="1F497D" w:themeColor="text2"/>
            </w:tcBorders>
          </w:tcPr>
          <w:p w:rsidR="008A7469" w:rsidRDefault="008A7469" w:rsidP="00802131">
            <w:pPr>
              <w:rPr>
                <w:sz w:val="18"/>
                <w:szCs w:val="20"/>
              </w:rPr>
            </w:pPr>
          </w:p>
          <w:p w:rsidR="008A7469" w:rsidRDefault="008A7469" w:rsidP="00802131">
            <w:pPr>
              <w:rPr>
                <w:sz w:val="18"/>
                <w:szCs w:val="20"/>
              </w:rPr>
            </w:pPr>
          </w:p>
          <w:p w:rsidR="00802131" w:rsidRDefault="00802131" w:rsidP="00802131">
            <w:pPr>
              <w:rPr>
                <w:sz w:val="18"/>
                <w:szCs w:val="20"/>
              </w:rPr>
            </w:pPr>
            <w:r w:rsidRPr="004B0055">
              <w:rPr>
                <w:sz w:val="18"/>
                <w:szCs w:val="20"/>
              </w:rPr>
              <w:t xml:space="preserve">GRV greyhounds </w:t>
            </w:r>
            <w:r w:rsidR="003B3E70">
              <w:rPr>
                <w:sz w:val="18"/>
                <w:szCs w:val="20"/>
              </w:rPr>
              <w:t>being required to register with local council whilst registered with GRV</w:t>
            </w:r>
          </w:p>
          <w:p w:rsidR="00802131" w:rsidRDefault="00802131" w:rsidP="00802131">
            <w:pPr>
              <w:rPr>
                <w:sz w:val="18"/>
                <w:szCs w:val="20"/>
              </w:rPr>
            </w:pPr>
          </w:p>
          <w:p w:rsidR="00905AA2" w:rsidRPr="004B0055" w:rsidRDefault="00802131" w:rsidP="0087674F">
            <w:pPr>
              <w:rPr>
                <w:sz w:val="18"/>
                <w:szCs w:val="20"/>
              </w:rPr>
            </w:pPr>
            <w:r w:rsidRPr="004B0055">
              <w:rPr>
                <w:sz w:val="18"/>
                <w:szCs w:val="20"/>
              </w:rPr>
              <w:t xml:space="preserve">Greyhound </w:t>
            </w:r>
            <w:r w:rsidR="008A7469" w:rsidRPr="004B0055">
              <w:rPr>
                <w:sz w:val="18"/>
                <w:szCs w:val="20"/>
              </w:rPr>
              <w:t>operators do</w:t>
            </w:r>
            <w:r>
              <w:rPr>
                <w:sz w:val="18"/>
                <w:szCs w:val="20"/>
              </w:rPr>
              <w:t xml:space="preserve"> not have to </w:t>
            </w:r>
            <w:r w:rsidRPr="004B0055">
              <w:rPr>
                <w:sz w:val="18"/>
                <w:szCs w:val="20"/>
              </w:rPr>
              <w:t xml:space="preserve">comply with </w:t>
            </w:r>
            <w:r>
              <w:rPr>
                <w:sz w:val="18"/>
                <w:szCs w:val="20"/>
              </w:rPr>
              <w:t>the</w:t>
            </w:r>
            <w:r w:rsidRPr="004B0055">
              <w:rPr>
                <w:sz w:val="18"/>
                <w:szCs w:val="20"/>
              </w:rPr>
              <w:t xml:space="preserve"> </w:t>
            </w:r>
            <w:r>
              <w:rPr>
                <w:sz w:val="18"/>
                <w:szCs w:val="20"/>
              </w:rPr>
              <w:t xml:space="preserve">much more prescriptive </w:t>
            </w:r>
            <w:r w:rsidRPr="004B0055">
              <w:rPr>
                <w:sz w:val="18"/>
                <w:szCs w:val="20"/>
              </w:rPr>
              <w:t xml:space="preserve">mandatory </w:t>
            </w:r>
            <w:r>
              <w:rPr>
                <w:sz w:val="18"/>
                <w:szCs w:val="20"/>
              </w:rPr>
              <w:t xml:space="preserve">dog breeding </w:t>
            </w:r>
            <w:r w:rsidRPr="004B0055">
              <w:rPr>
                <w:sz w:val="18"/>
                <w:szCs w:val="20"/>
              </w:rPr>
              <w:t>code</w:t>
            </w:r>
            <w:r>
              <w:rPr>
                <w:sz w:val="18"/>
                <w:szCs w:val="20"/>
              </w:rPr>
              <w:t xml:space="preserve"> that covers such requirements as: staffing levels, breeding </w:t>
            </w:r>
            <w:r w:rsidR="008A7469">
              <w:rPr>
                <w:sz w:val="18"/>
                <w:szCs w:val="20"/>
              </w:rPr>
              <w:t>plans, health</w:t>
            </w:r>
            <w:r>
              <w:rPr>
                <w:sz w:val="18"/>
                <w:szCs w:val="20"/>
              </w:rPr>
              <w:t xml:space="preserve"> management plans, veterinary checks, socialisation and enrichment</w:t>
            </w:r>
            <w:r w:rsidRPr="004B0055">
              <w:rPr>
                <w:sz w:val="18"/>
                <w:szCs w:val="20"/>
              </w:rPr>
              <w:t>.</w:t>
            </w:r>
          </w:p>
        </w:tc>
      </w:tr>
      <w:tr w:rsidR="006961D5" w:rsidTr="00C357B6">
        <w:trPr>
          <w:jc w:val="center"/>
        </w:trPr>
        <w:tc>
          <w:tcPr>
            <w:tcW w:w="2552" w:type="dxa"/>
            <w:tcBorders>
              <w:top w:val="single" w:sz="4" w:space="0" w:color="1F497D" w:themeColor="text2"/>
              <w:bottom w:val="single" w:sz="4" w:space="0" w:color="1F497D" w:themeColor="text2"/>
            </w:tcBorders>
          </w:tcPr>
          <w:p w:rsidR="00905AA2" w:rsidRDefault="00905AA2" w:rsidP="0087674F">
            <w:pPr>
              <w:rPr>
                <w:b/>
                <w:sz w:val="18"/>
                <w:szCs w:val="20"/>
              </w:rPr>
            </w:pPr>
            <w:r w:rsidRPr="004B0055">
              <w:rPr>
                <w:b/>
                <w:sz w:val="18"/>
                <w:szCs w:val="20"/>
              </w:rPr>
              <w:t>Racing Act</w:t>
            </w:r>
          </w:p>
          <w:p w:rsidR="00A03895" w:rsidRPr="004B0055" w:rsidRDefault="00A03895" w:rsidP="0087674F">
            <w:pPr>
              <w:rPr>
                <w:b/>
                <w:sz w:val="18"/>
                <w:szCs w:val="20"/>
              </w:rPr>
            </w:pPr>
            <w:r>
              <w:rPr>
                <w:b/>
                <w:sz w:val="18"/>
                <w:szCs w:val="20"/>
              </w:rPr>
              <w:t>Restrictions on and licences for greyhound racing:</w:t>
            </w:r>
          </w:p>
          <w:p w:rsidR="00D44F5C" w:rsidRPr="004B0055" w:rsidRDefault="00D44F5C" w:rsidP="0087674F">
            <w:pPr>
              <w:rPr>
                <w:sz w:val="18"/>
                <w:szCs w:val="20"/>
              </w:rPr>
            </w:pPr>
            <w:r w:rsidRPr="004B0055">
              <w:rPr>
                <w:sz w:val="18"/>
                <w:szCs w:val="20"/>
              </w:rPr>
              <w:t>-Involved in Live baiting</w:t>
            </w:r>
          </w:p>
          <w:p w:rsidR="00D44F5C" w:rsidRPr="004B0055" w:rsidRDefault="00D44F5C" w:rsidP="0087674F">
            <w:pPr>
              <w:rPr>
                <w:sz w:val="18"/>
                <w:szCs w:val="20"/>
              </w:rPr>
            </w:pPr>
          </w:p>
          <w:p w:rsidR="00D44F5C" w:rsidRPr="004B0055" w:rsidRDefault="00D44F5C" w:rsidP="0087674F">
            <w:pPr>
              <w:rPr>
                <w:sz w:val="18"/>
                <w:szCs w:val="20"/>
              </w:rPr>
            </w:pPr>
            <w:r w:rsidRPr="004B0055">
              <w:rPr>
                <w:sz w:val="18"/>
                <w:szCs w:val="20"/>
              </w:rPr>
              <w:t>-Trials on unregistered tracks</w:t>
            </w:r>
          </w:p>
        </w:tc>
        <w:tc>
          <w:tcPr>
            <w:tcW w:w="1559" w:type="dxa"/>
            <w:tcBorders>
              <w:top w:val="single" w:sz="4" w:space="0" w:color="1F497D" w:themeColor="text2"/>
              <w:bottom w:val="single" w:sz="4" w:space="0" w:color="1F497D" w:themeColor="text2"/>
            </w:tcBorders>
          </w:tcPr>
          <w:p w:rsidR="00905AA2" w:rsidRPr="004B0055" w:rsidRDefault="00905AA2" w:rsidP="00C357B6">
            <w:pPr>
              <w:rPr>
                <w:sz w:val="18"/>
                <w:szCs w:val="20"/>
              </w:rPr>
            </w:pPr>
          </w:p>
          <w:p w:rsidR="00A03895" w:rsidRDefault="00A03895" w:rsidP="007F67FA">
            <w:pPr>
              <w:rPr>
                <w:sz w:val="18"/>
                <w:szCs w:val="20"/>
              </w:rPr>
            </w:pPr>
          </w:p>
          <w:p w:rsidR="00A03895" w:rsidRDefault="00A03895" w:rsidP="007F67FA">
            <w:pPr>
              <w:rPr>
                <w:sz w:val="18"/>
                <w:szCs w:val="20"/>
              </w:rPr>
            </w:pPr>
          </w:p>
          <w:p w:rsidR="00D44F5C" w:rsidRPr="004B0055" w:rsidRDefault="00D44F5C" w:rsidP="007F67FA">
            <w:pPr>
              <w:rPr>
                <w:sz w:val="18"/>
                <w:szCs w:val="20"/>
              </w:rPr>
            </w:pPr>
            <w:r w:rsidRPr="004B0055">
              <w:rPr>
                <w:sz w:val="18"/>
                <w:szCs w:val="20"/>
              </w:rPr>
              <w:t>$15,546</w:t>
            </w:r>
          </w:p>
          <w:p w:rsidR="00D44F5C" w:rsidRPr="004B0055" w:rsidRDefault="00D44F5C" w:rsidP="007F67FA">
            <w:pPr>
              <w:rPr>
                <w:sz w:val="18"/>
                <w:szCs w:val="20"/>
              </w:rPr>
            </w:pPr>
          </w:p>
          <w:p w:rsidR="00D44F5C" w:rsidRPr="004B0055" w:rsidRDefault="00D44F5C" w:rsidP="007F67FA">
            <w:pPr>
              <w:rPr>
                <w:sz w:val="18"/>
                <w:szCs w:val="20"/>
              </w:rPr>
            </w:pPr>
            <w:r w:rsidRPr="004B0055">
              <w:rPr>
                <w:sz w:val="18"/>
                <w:szCs w:val="20"/>
              </w:rPr>
              <w:t>$7</w:t>
            </w:r>
            <w:r w:rsidR="006961D5" w:rsidRPr="004B0055">
              <w:rPr>
                <w:sz w:val="18"/>
                <w:szCs w:val="20"/>
              </w:rPr>
              <w:t>,</w:t>
            </w:r>
            <w:r w:rsidRPr="004B0055">
              <w:rPr>
                <w:sz w:val="18"/>
                <w:szCs w:val="20"/>
              </w:rPr>
              <w:t>773</w:t>
            </w:r>
          </w:p>
        </w:tc>
        <w:tc>
          <w:tcPr>
            <w:tcW w:w="4272" w:type="dxa"/>
            <w:tcBorders>
              <w:top w:val="single" w:sz="4" w:space="0" w:color="1F497D" w:themeColor="text2"/>
              <w:bottom w:val="single" w:sz="4" w:space="0" w:color="1F497D" w:themeColor="text2"/>
            </w:tcBorders>
          </w:tcPr>
          <w:p w:rsidR="00A03895" w:rsidRDefault="00A03895" w:rsidP="0087674F">
            <w:pPr>
              <w:rPr>
                <w:sz w:val="18"/>
                <w:szCs w:val="20"/>
              </w:rPr>
            </w:pPr>
          </w:p>
          <w:p w:rsidR="00A03895" w:rsidRDefault="00A03895" w:rsidP="0087674F">
            <w:pPr>
              <w:rPr>
                <w:sz w:val="18"/>
                <w:szCs w:val="20"/>
              </w:rPr>
            </w:pPr>
          </w:p>
          <w:p w:rsidR="00A03895" w:rsidRDefault="00A03895" w:rsidP="0087674F">
            <w:pPr>
              <w:rPr>
                <w:sz w:val="18"/>
                <w:szCs w:val="20"/>
              </w:rPr>
            </w:pPr>
          </w:p>
          <w:p w:rsidR="00905AA2" w:rsidRPr="004B0055" w:rsidRDefault="00A03895" w:rsidP="0087674F">
            <w:pPr>
              <w:rPr>
                <w:sz w:val="18"/>
                <w:szCs w:val="20"/>
              </w:rPr>
            </w:pPr>
            <w:r>
              <w:rPr>
                <w:sz w:val="18"/>
                <w:szCs w:val="20"/>
              </w:rPr>
              <w:t>There are no requirements for the g</w:t>
            </w:r>
            <w:r w:rsidRPr="004B0055">
              <w:rPr>
                <w:sz w:val="18"/>
                <w:szCs w:val="20"/>
              </w:rPr>
              <w:t>eneral Care of greyhounds at all stages</w:t>
            </w:r>
            <w:r>
              <w:rPr>
                <w:sz w:val="18"/>
                <w:szCs w:val="20"/>
              </w:rPr>
              <w:t>.</w:t>
            </w:r>
          </w:p>
        </w:tc>
      </w:tr>
      <w:tr w:rsidR="006961D5" w:rsidTr="00C357B6">
        <w:trPr>
          <w:jc w:val="center"/>
        </w:trPr>
        <w:tc>
          <w:tcPr>
            <w:tcW w:w="2552" w:type="dxa"/>
            <w:tcBorders>
              <w:top w:val="single" w:sz="4" w:space="0" w:color="1F497D" w:themeColor="text2"/>
              <w:bottom w:val="single" w:sz="4" w:space="0" w:color="1F497D" w:themeColor="text2"/>
            </w:tcBorders>
          </w:tcPr>
          <w:p w:rsidR="00905AA2" w:rsidRDefault="00905AA2" w:rsidP="0087674F">
            <w:pPr>
              <w:rPr>
                <w:b/>
                <w:sz w:val="18"/>
                <w:szCs w:val="20"/>
              </w:rPr>
            </w:pPr>
            <w:r w:rsidRPr="004B0055">
              <w:rPr>
                <w:b/>
                <w:sz w:val="18"/>
                <w:szCs w:val="20"/>
              </w:rPr>
              <w:t>GRV – Local Rules</w:t>
            </w:r>
          </w:p>
          <w:p w:rsidR="00367AAB" w:rsidRPr="004B0055" w:rsidRDefault="00367AAB" w:rsidP="0087674F">
            <w:pPr>
              <w:rPr>
                <w:b/>
                <w:sz w:val="18"/>
                <w:szCs w:val="20"/>
              </w:rPr>
            </w:pPr>
            <w:r>
              <w:rPr>
                <w:b/>
                <w:sz w:val="18"/>
                <w:szCs w:val="20"/>
              </w:rPr>
              <w:t>Welfare of greyhounds:</w:t>
            </w:r>
          </w:p>
          <w:p w:rsidR="00871C2A" w:rsidRPr="004B0055" w:rsidRDefault="00871C2A" w:rsidP="0087674F">
            <w:pPr>
              <w:rPr>
                <w:sz w:val="18"/>
                <w:szCs w:val="20"/>
              </w:rPr>
            </w:pPr>
            <w:r w:rsidRPr="004B0055">
              <w:rPr>
                <w:sz w:val="18"/>
                <w:szCs w:val="20"/>
              </w:rPr>
              <w:t>-compromised welfare</w:t>
            </w:r>
          </w:p>
          <w:p w:rsidR="006961D5" w:rsidRPr="004B0055" w:rsidRDefault="006961D5" w:rsidP="0087674F">
            <w:pPr>
              <w:rPr>
                <w:sz w:val="18"/>
                <w:szCs w:val="20"/>
              </w:rPr>
            </w:pPr>
          </w:p>
          <w:p w:rsidR="00871C2A" w:rsidRPr="004B0055" w:rsidRDefault="00871C2A" w:rsidP="0087674F">
            <w:pPr>
              <w:rPr>
                <w:sz w:val="18"/>
                <w:szCs w:val="20"/>
              </w:rPr>
            </w:pPr>
            <w:r w:rsidRPr="004B0055">
              <w:rPr>
                <w:sz w:val="18"/>
                <w:szCs w:val="20"/>
              </w:rPr>
              <w:t>-poor welfare leading to death</w:t>
            </w:r>
          </w:p>
          <w:p w:rsidR="006961D5" w:rsidRPr="004B0055" w:rsidRDefault="006961D5" w:rsidP="0087674F">
            <w:pPr>
              <w:rPr>
                <w:sz w:val="18"/>
                <w:szCs w:val="20"/>
              </w:rPr>
            </w:pPr>
          </w:p>
          <w:p w:rsidR="00367AAB" w:rsidRDefault="00367AAB" w:rsidP="0087674F">
            <w:pPr>
              <w:rPr>
                <w:sz w:val="18"/>
                <w:szCs w:val="20"/>
              </w:rPr>
            </w:pPr>
          </w:p>
          <w:p w:rsidR="0025402A" w:rsidRDefault="0025402A" w:rsidP="0087674F">
            <w:pPr>
              <w:rPr>
                <w:sz w:val="18"/>
                <w:szCs w:val="20"/>
              </w:rPr>
            </w:pPr>
          </w:p>
          <w:p w:rsidR="00871C2A" w:rsidRPr="004B0055" w:rsidRDefault="00871C2A" w:rsidP="0087674F">
            <w:pPr>
              <w:rPr>
                <w:sz w:val="18"/>
                <w:szCs w:val="20"/>
              </w:rPr>
            </w:pPr>
            <w:r w:rsidRPr="004B0055">
              <w:rPr>
                <w:sz w:val="18"/>
                <w:szCs w:val="20"/>
              </w:rPr>
              <w:t>-live baiting</w:t>
            </w:r>
          </w:p>
        </w:tc>
        <w:tc>
          <w:tcPr>
            <w:tcW w:w="1559" w:type="dxa"/>
            <w:tcBorders>
              <w:top w:val="single" w:sz="4" w:space="0" w:color="1F497D" w:themeColor="text2"/>
              <w:bottom w:val="single" w:sz="4" w:space="0" w:color="1F497D" w:themeColor="text2"/>
            </w:tcBorders>
          </w:tcPr>
          <w:p w:rsidR="00905AA2" w:rsidRPr="004B0055" w:rsidRDefault="00905AA2" w:rsidP="00C357B6">
            <w:pPr>
              <w:rPr>
                <w:sz w:val="18"/>
                <w:szCs w:val="20"/>
              </w:rPr>
            </w:pPr>
          </w:p>
          <w:p w:rsidR="00367AAB" w:rsidRDefault="00367AAB" w:rsidP="007F67FA">
            <w:pPr>
              <w:rPr>
                <w:sz w:val="18"/>
                <w:szCs w:val="20"/>
              </w:rPr>
            </w:pPr>
          </w:p>
          <w:p w:rsidR="00871C2A" w:rsidRPr="004B0055" w:rsidRDefault="00871C2A" w:rsidP="007F67FA">
            <w:pPr>
              <w:rPr>
                <w:sz w:val="18"/>
                <w:szCs w:val="20"/>
              </w:rPr>
            </w:pPr>
            <w:r w:rsidRPr="004B0055">
              <w:rPr>
                <w:sz w:val="18"/>
                <w:szCs w:val="20"/>
              </w:rPr>
              <w:t>$1</w:t>
            </w:r>
            <w:r w:rsidR="006961D5" w:rsidRPr="004B0055">
              <w:rPr>
                <w:sz w:val="18"/>
                <w:szCs w:val="20"/>
              </w:rPr>
              <w:t>,</w:t>
            </w:r>
            <w:r w:rsidRPr="004B0055">
              <w:rPr>
                <w:sz w:val="18"/>
                <w:szCs w:val="20"/>
              </w:rPr>
              <w:t>000</w:t>
            </w:r>
          </w:p>
          <w:p w:rsidR="006961D5" w:rsidRPr="004B0055" w:rsidRDefault="006961D5" w:rsidP="007F67FA">
            <w:pPr>
              <w:rPr>
                <w:sz w:val="18"/>
                <w:szCs w:val="20"/>
              </w:rPr>
            </w:pPr>
          </w:p>
          <w:p w:rsidR="00871C2A" w:rsidRPr="004B0055" w:rsidRDefault="00871C2A" w:rsidP="007F67FA">
            <w:pPr>
              <w:rPr>
                <w:sz w:val="18"/>
                <w:szCs w:val="20"/>
              </w:rPr>
            </w:pPr>
            <w:r w:rsidRPr="004B0055">
              <w:rPr>
                <w:sz w:val="18"/>
                <w:szCs w:val="20"/>
              </w:rPr>
              <w:t>2</w:t>
            </w:r>
            <w:r w:rsidR="006961D5" w:rsidRPr="004B0055">
              <w:rPr>
                <w:sz w:val="18"/>
                <w:szCs w:val="20"/>
              </w:rPr>
              <w:t xml:space="preserve"> years</w:t>
            </w:r>
            <w:r w:rsidRPr="004B0055">
              <w:rPr>
                <w:sz w:val="18"/>
                <w:szCs w:val="20"/>
              </w:rPr>
              <w:t xml:space="preserve"> disqualif</w:t>
            </w:r>
            <w:r w:rsidR="006961D5" w:rsidRPr="004B0055">
              <w:rPr>
                <w:sz w:val="18"/>
                <w:szCs w:val="20"/>
              </w:rPr>
              <w:t>ication</w:t>
            </w:r>
            <w:r w:rsidRPr="004B0055">
              <w:rPr>
                <w:sz w:val="18"/>
                <w:szCs w:val="20"/>
              </w:rPr>
              <w:t xml:space="preserve"> +/-$2</w:t>
            </w:r>
            <w:r w:rsidR="006961D5" w:rsidRPr="004B0055">
              <w:rPr>
                <w:sz w:val="18"/>
                <w:szCs w:val="20"/>
              </w:rPr>
              <w:t>,</w:t>
            </w:r>
            <w:r w:rsidRPr="004B0055">
              <w:rPr>
                <w:sz w:val="18"/>
                <w:szCs w:val="20"/>
              </w:rPr>
              <w:t>000</w:t>
            </w:r>
          </w:p>
          <w:p w:rsidR="006961D5" w:rsidRPr="004B0055" w:rsidRDefault="006961D5" w:rsidP="007F67FA">
            <w:pPr>
              <w:rPr>
                <w:sz w:val="18"/>
                <w:szCs w:val="20"/>
              </w:rPr>
            </w:pPr>
          </w:p>
          <w:p w:rsidR="00871C2A" w:rsidRPr="004B0055" w:rsidRDefault="00871C2A" w:rsidP="00C357B6">
            <w:pPr>
              <w:rPr>
                <w:sz w:val="18"/>
                <w:szCs w:val="20"/>
              </w:rPr>
            </w:pPr>
            <w:r w:rsidRPr="004B0055">
              <w:rPr>
                <w:sz w:val="18"/>
                <w:szCs w:val="20"/>
              </w:rPr>
              <w:t>10 y</w:t>
            </w:r>
            <w:r w:rsidR="006961D5" w:rsidRPr="004B0055">
              <w:rPr>
                <w:sz w:val="18"/>
                <w:szCs w:val="20"/>
              </w:rPr>
              <w:t>ears</w:t>
            </w:r>
            <w:r w:rsidRPr="004B0055">
              <w:rPr>
                <w:sz w:val="18"/>
                <w:szCs w:val="20"/>
              </w:rPr>
              <w:t xml:space="preserve"> </w:t>
            </w:r>
            <w:r w:rsidR="006961D5" w:rsidRPr="004B0055">
              <w:rPr>
                <w:sz w:val="18"/>
                <w:szCs w:val="20"/>
              </w:rPr>
              <w:t>disqualification</w:t>
            </w:r>
            <w:r w:rsidR="00162DBD" w:rsidRPr="004B0055">
              <w:rPr>
                <w:sz w:val="18"/>
                <w:szCs w:val="20"/>
              </w:rPr>
              <w:t>.</w:t>
            </w:r>
          </w:p>
        </w:tc>
        <w:tc>
          <w:tcPr>
            <w:tcW w:w="4272" w:type="dxa"/>
            <w:tcBorders>
              <w:top w:val="single" w:sz="4" w:space="0" w:color="1F497D" w:themeColor="text2"/>
              <w:bottom w:val="single" w:sz="4" w:space="0" w:color="1F497D" w:themeColor="text2"/>
            </w:tcBorders>
          </w:tcPr>
          <w:p w:rsidR="00367AAB" w:rsidRDefault="00367AAB" w:rsidP="00367AAB">
            <w:pPr>
              <w:rPr>
                <w:sz w:val="18"/>
                <w:szCs w:val="20"/>
              </w:rPr>
            </w:pPr>
          </w:p>
          <w:p w:rsidR="00367AAB" w:rsidRDefault="00367AAB" w:rsidP="00367AAB">
            <w:pPr>
              <w:rPr>
                <w:sz w:val="18"/>
                <w:szCs w:val="20"/>
              </w:rPr>
            </w:pPr>
            <w:r w:rsidRPr="004B0055">
              <w:rPr>
                <w:sz w:val="18"/>
                <w:szCs w:val="20"/>
              </w:rPr>
              <w:t xml:space="preserve">Management </w:t>
            </w:r>
            <w:r>
              <w:rPr>
                <w:sz w:val="18"/>
                <w:szCs w:val="20"/>
              </w:rPr>
              <w:t>practices in line with a code of practice that might lead to poor animal welfare.</w:t>
            </w:r>
          </w:p>
          <w:p w:rsidR="00367AAB" w:rsidRDefault="00367AAB" w:rsidP="00367AAB">
            <w:pPr>
              <w:rPr>
                <w:sz w:val="18"/>
                <w:szCs w:val="20"/>
              </w:rPr>
            </w:pPr>
          </w:p>
          <w:p w:rsidR="00367AAB" w:rsidRPr="004B0055" w:rsidRDefault="00654F95" w:rsidP="00367AAB">
            <w:pPr>
              <w:rPr>
                <w:sz w:val="18"/>
                <w:szCs w:val="20"/>
              </w:rPr>
            </w:pPr>
            <w:r>
              <w:rPr>
                <w:sz w:val="18"/>
                <w:szCs w:val="20"/>
              </w:rPr>
              <w:t>Current rule does not identify p</w:t>
            </w:r>
            <w:r w:rsidRPr="004B0055">
              <w:rPr>
                <w:sz w:val="18"/>
                <w:szCs w:val="20"/>
              </w:rPr>
              <w:t>roperties other than owners, breeders and trainers</w:t>
            </w:r>
            <w:r>
              <w:rPr>
                <w:sz w:val="18"/>
                <w:szCs w:val="20"/>
              </w:rPr>
              <w:t>, to identify where enforcement might be required.</w:t>
            </w:r>
          </w:p>
          <w:p w:rsidR="00905AA2" w:rsidRPr="004B0055" w:rsidRDefault="00905AA2" w:rsidP="0087674F">
            <w:pPr>
              <w:rPr>
                <w:sz w:val="18"/>
                <w:szCs w:val="20"/>
              </w:rPr>
            </w:pPr>
          </w:p>
        </w:tc>
      </w:tr>
      <w:tr w:rsidR="006961D5" w:rsidTr="00C357B6">
        <w:trPr>
          <w:jc w:val="center"/>
        </w:trPr>
        <w:tc>
          <w:tcPr>
            <w:tcW w:w="2552" w:type="dxa"/>
            <w:tcBorders>
              <w:top w:val="single" w:sz="4" w:space="0" w:color="1F497D" w:themeColor="text2"/>
              <w:bottom w:val="single" w:sz="4" w:space="0" w:color="1F497D" w:themeColor="text2"/>
            </w:tcBorders>
          </w:tcPr>
          <w:p w:rsidR="00905AA2" w:rsidRPr="004B0055" w:rsidRDefault="00905AA2" w:rsidP="0087674F">
            <w:pPr>
              <w:rPr>
                <w:b/>
                <w:sz w:val="18"/>
                <w:szCs w:val="20"/>
              </w:rPr>
            </w:pPr>
            <w:r w:rsidRPr="004B0055">
              <w:rPr>
                <w:b/>
                <w:sz w:val="18"/>
                <w:szCs w:val="20"/>
              </w:rPr>
              <w:t>Greyhounds Australasia – GA Rules</w:t>
            </w:r>
          </w:p>
        </w:tc>
        <w:tc>
          <w:tcPr>
            <w:tcW w:w="1559" w:type="dxa"/>
            <w:tcBorders>
              <w:top w:val="single" w:sz="4" w:space="0" w:color="1F497D" w:themeColor="text2"/>
              <w:bottom w:val="single" w:sz="4" w:space="0" w:color="1F497D" w:themeColor="text2"/>
            </w:tcBorders>
          </w:tcPr>
          <w:p w:rsidR="00905AA2" w:rsidRPr="004B0055" w:rsidRDefault="00871C2A" w:rsidP="007F67FA">
            <w:pPr>
              <w:rPr>
                <w:sz w:val="18"/>
                <w:szCs w:val="20"/>
              </w:rPr>
            </w:pPr>
            <w:r w:rsidRPr="004B0055">
              <w:rPr>
                <w:sz w:val="18"/>
                <w:szCs w:val="20"/>
              </w:rPr>
              <w:t>See local rules above.</w:t>
            </w:r>
          </w:p>
        </w:tc>
        <w:tc>
          <w:tcPr>
            <w:tcW w:w="4272" w:type="dxa"/>
            <w:tcBorders>
              <w:top w:val="single" w:sz="4" w:space="0" w:color="1F497D" w:themeColor="text2"/>
              <w:bottom w:val="single" w:sz="4" w:space="0" w:color="1F497D" w:themeColor="text2"/>
            </w:tcBorders>
          </w:tcPr>
          <w:p w:rsidR="00905AA2" w:rsidRPr="004B0055" w:rsidRDefault="00367AAB" w:rsidP="00367AAB">
            <w:pPr>
              <w:rPr>
                <w:sz w:val="18"/>
                <w:szCs w:val="20"/>
              </w:rPr>
            </w:pPr>
            <w:r>
              <w:rPr>
                <w:sz w:val="18"/>
                <w:szCs w:val="20"/>
              </w:rPr>
              <w:t>See local rules above</w:t>
            </w:r>
          </w:p>
        </w:tc>
      </w:tr>
      <w:tr w:rsidR="006961D5" w:rsidTr="00C357B6">
        <w:trPr>
          <w:jc w:val="center"/>
        </w:trPr>
        <w:tc>
          <w:tcPr>
            <w:tcW w:w="2552" w:type="dxa"/>
            <w:tcBorders>
              <w:top w:val="single" w:sz="4" w:space="0" w:color="1F497D" w:themeColor="text2"/>
              <w:bottom w:val="single" w:sz="4" w:space="0" w:color="1F497D" w:themeColor="text2"/>
            </w:tcBorders>
          </w:tcPr>
          <w:p w:rsidR="00905AA2" w:rsidRPr="004B0055" w:rsidRDefault="00905AA2" w:rsidP="0087674F">
            <w:pPr>
              <w:rPr>
                <w:b/>
                <w:sz w:val="18"/>
                <w:szCs w:val="20"/>
              </w:rPr>
            </w:pPr>
            <w:r w:rsidRPr="004B0055">
              <w:rPr>
                <w:b/>
                <w:sz w:val="18"/>
                <w:szCs w:val="20"/>
              </w:rPr>
              <w:t>Code of Practice for the Operation of Greyhound Establishments</w:t>
            </w:r>
          </w:p>
        </w:tc>
        <w:tc>
          <w:tcPr>
            <w:tcW w:w="1559" w:type="dxa"/>
            <w:tcBorders>
              <w:top w:val="single" w:sz="4" w:space="0" w:color="1F497D" w:themeColor="text2"/>
              <w:bottom w:val="single" w:sz="4" w:space="0" w:color="1F497D" w:themeColor="text2"/>
            </w:tcBorders>
          </w:tcPr>
          <w:p w:rsidR="00905AA2" w:rsidRPr="004B0055" w:rsidRDefault="00D44F5C" w:rsidP="00CF0421">
            <w:pPr>
              <w:rPr>
                <w:sz w:val="18"/>
                <w:szCs w:val="20"/>
              </w:rPr>
            </w:pPr>
            <w:r w:rsidRPr="004B0055">
              <w:rPr>
                <w:sz w:val="18"/>
                <w:szCs w:val="20"/>
              </w:rPr>
              <w:t>See above (DAA non-</w:t>
            </w:r>
            <w:r w:rsidR="006961D5" w:rsidRPr="004B0055">
              <w:rPr>
                <w:sz w:val="18"/>
                <w:szCs w:val="20"/>
              </w:rPr>
              <w:t>compliance</w:t>
            </w:r>
            <w:r w:rsidRPr="004B0055">
              <w:rPr>
                <w:sz w:val="18"/>
                <w:szCs w:val="20"/>
              </w:rPr>
              <w:t xml:space="preserve"> with Code if enforced under DAA</w:t>
            </w:r>
            <w:r w:rsidR="001763BF" w:rsidRPr="004B0055">
              <w:rPr>
                <w:sz w:val="18"/>
                <w:szCs w:val="20"/>
              </w:rPr>
              <w:t>)</w:t>
            </w:r>
            <w:r w:rsidRPr="004B0055">
              <w:rPr>
                <w:sz w:val="18"/>
                <w:szCs w:val="20"/>
              </w:rPr>
              <w:t xml:space="preserve"> OR </w:t>
            </w:r>
            <w:r w:rsidR="001763BF" w:rsidRPr="004B0055">
              <w:rPr>
                <w:sz w:val="18"/>
                <w:szCs w:val="20"/>
              </w:rPr>
              <w:t>(</w:t>
            </w:r>
            <w:r w:rsidRPr="004B0055">
              <w:rPr>
                <w:sz w:val="18"/>
                <w:szCs w:val="20"/>
              </w:rPr>
              <w:t>GRV Local</w:t>
            </w:r>
            <w:r w:rsidR="001763BF" w:rsidRPr="004B0055">
              <w:rPr>
                <w:sz w:val="18"/>
                <w:szCs w:val="20"/>
              </w:rPr>
              <w:t xml:space="preserve"> Rules if enforced under GRV requirements)</w:t>
            </w:r>
            <w:r w:rsidR="00162DBD" w:rsidRPr="004B0055">
              <w:rPr>
                <w:sz w:val="18"/>
                <w:szCs w:val="20"/>
              </w:rPr>
              <w:t>.</w:t>
            </w:r>
          </w:p>
        </w:tc>
        <w:tc>
          <w:tcPr>
            <w:tcW w:w="4272" w:type="dxa"/>
            <w:tcBorders>
              <w:top w:val="single" w:sz="4" w:space="0" w:color="1F497D" w:themeColor="text2"/>
              <w:bottom w:val="single" w:sz="4" w:space="0" w:color="1F497D" w:themeColor="text2"/>
            </w:tcBorders>
          </w:tcPr>
          <w:p w:rsidR="00905AA2" w:rsidRPr="004B0055" w:rsidRDefault="00367AAB" w:rsidP="00A20E77">
            <w:pPr>
              <w:rPr>
                <w:sz w:val="18"/>
                <w:szCs w:val="20"/>
              </w:rPr>
            </w:pPr>
            <w:r w:rsidRPr="004B0055">
              <w:rPr>
                <w:sz w:val="18"/>
                <w:szCs w:val="20"/>
              </w:rPr>
              <w:t>Greyhound operators do</w:t>
            </w:r>
            <w:r>
              <w:rPr>
                <w:sz w:val="18"/>
                <w:szCs w:val="20"/>
              </w:rPr>
              <w:t xml:space="preserve"> not have to </w:t>
            </w:r>
            <w:r w:rsidRPr="004B0055">
              <w:rPr>
                <w:sz w:val="18"/>
                <w:szCs w:val="20"/>
              </w:rPr>
              <w:t xml:space="preserve">comply with </w:t>
            </w:r>
            <w:r>
              <w:rPr>
                <w:sz w:val="18"/>
                <w:szCs w:val="20"/>
              </w:rPr>
              <w:t>the</w:t>
            </w:r>
            <w:r w:rsidRPr="004B0055">
              <w:rPr>
                <w:sz w:val="18"/>
                <w:szCs w:val="20"/>
              </w:rPr>
              <w:t xml:space="preserve"> </w:t>
            </w:r>
            <w:r>
              <w:rPr>
                <w:sz w:val="18"/>
                <w:szCs w:val="20"/>
              </w:rPr>
              <w:t xml:space="preserve">much more prescriptive </w:t>
            </w:r>
            <w:r w:rsidRPr="004B0055">
              <w:rPr>
                <w:sz w:val="18"/>
                <w:szCs w:val="20"/>
              </w:rPr>
              <w:t xml:space="preserve">mandatory </w:t>
            </w:r>
            <w:r>
              <w:rPr>
                <w:sz w:val="18"/>
                <w:szCs w:val="20"/>
              </w:rPr>
              <w:t xml:space="preserve">dog breeding </w:t>
            </w:r>
            <w:r w:rsidRPr="004B0055">
              <w:rPr>
                <w:sz w:val="18"/>
                <w:szCs w:val="20"/>
              </w:rPr>
              <w:t>code</w:t>
            </w:r>
            <w:r>
              <w:rPr>
                <w:sz w:val="18"/>
                <w:szCs w:val="20"/>
              </w:rPr>
              <w:t xml:space="preserve"> that covers such requirements as: staffing levels, breeding plans, health management plans, veterinary checks, socialisation and enrichment</w:t>
            </w:r>
            <w:r w:rsidRPr="004B0055">
              <w:rPr>
                <w:sz w:val="18"/>
                <w:szCs w:val="20"/>
              </w:rPr>
              <w:t>.</w:t>
            </w:r>
          </w:p>
        </w:tc>
      </w:tr>
      <w:tr w:rsidR="006961D5" w:rsidTr="00C357B6">
        <w:trPr>
          <w:jc w:val="center"/>
        </w:trPr>
        <w:tc>
          <w:tcPr>
            <w:tcW w:w="2552" w:type="dxa"/>
            <w:tcBorders>
              <w:top w:val="single" w:sz="4" w:space="0" w:color="1F497D" w:themeColor="text2"/>
              <w:bottom w:val="single" w:sz="4" w:space="0" w:color="1F497D" w:themeColor="text2"/>
            </w:tcBorders>
          </w:tcPr>
          <w:p w:rsidR="00905AA2" w:rsidRDefault="00905AA2" w:rsidP="0087674F">
            <w:pPr>
              <w:rPr>
                <w:b/>
                <w:sz w:val="18"/>
                <w:szCs w:val="20"/>
              </w:rPr>
            </w:pPr>
            <w:r w:rsidRPr="004B0055">
              <w:rPr>
                <w:b/>
                <w:sz w:val="18"/>
                <w:szCs w:val="20"/>
              </w:rPr>
              <w:t>Wildlife Act</w:t>
            </w:r>
          </w:p>
          <w:p w:rsidR="00367AAB" w:rsidRPr="004B0055" w:rsidRDefault="00367AAB" w:rsidP="0087674F">
            <w:pPr>
              <w:rPr>
                <w:b/>
                <w:sz w:val="18"/>
                <w:szCs w:val="20"/>
              </w:rPr>
            </w:pPr>
            <w:r>
              <w:rPr>
                <w:b/>
                <w:sz w:val="18"/>
                <w:szCs w:val="20"/>
              </w:rPr>
              <w:t>Offence:</w:t>
            </w:r>
          </w:p>
          <w:p w:rsidR="00162DBD" w:rsidRPr="004B0055" w:rsidRDefault="00162DBD" w:rsidP="0087674F">
            <w:pPr>
              <w:rPr>
                <w:sz w:val="18"/>
                <w:szCs w:val="20"/>
              </w:rPr>
            </w:pPr>
            <w:r w:rsidRPr="004B0055">
              <w:rPr>
                <w:sz w:val="18"/>
                <w:szCs w:val="20"/>
              </w:rPr>
              <w:t>-taking or destroying threatened wildlife</w:t>
            </w:r>
          </w:p>
        </w:tc>
        <w:tc>
          <w:tcPr>
            <w:tcW w:w="1559" w:type="dxa"/>
            <w:tcBorders>
              <w:top w:val="single" w:sz="4" w:space="0" w:color="1F497D" w:themeColor="text2"/>
              <w:bottom w:val="single" w:sz="4" w:space="0" w:color="1F497D" w:themeColor="text2"/>
            </w:tcBorders>
          </w:tcPr>
          <w:p w:rsidR="00905AA2" w:rsidRPr="004B0055" w:rsidRDefault="00905AA2" w:rsidP="00C357B6">
            <w:pPr>
              <w:jc w:val="center"/>
              <w:rPr>
                <w:sz w:val="18"/>
                <w:szCs w:val="20"/>
              </w:rPr>
            </w:pPr>
          </w:p>
          <w:p w:rsidR="00162DBD" w:rsidRPr="004B0055" w:rsidRDefault="00162DBD" w:rsidP="00CF0421">
            <w:pPr>
              <w:rPr>
                <w:sz w:val="18"/>
                <w:szCs w:val="20"/>
              </w:rPr>
            </w:pPr>
            <w:r w:rsidRPr="004B0055">
              <w:rPr>
                <w:sz w:val="18"/>
                <w:szCs w:val="20"/>
              </w:rPr>
              <w:t>$37</w:t>
            </w:r>
            <w:r w:rsidR="006961D5" w:rsidRPr="004B0055">
              <w:rPr>
                <w:sz w:val="18"/>
                <w:szCs w:val="20"/>
              </w:rPr>
              <w:t>,</w:t>
            </w:r>
            <w:r w:rsidRPr="004B0055">
              <w:rPr>
                <w:sz w:val="18"/>
                <w:szCs w:val="20"/>
              </w:rPr>
              <w:t>310.40 +/- 2 y</w:t>
            </w:r>
            <w:r w:rsidR="006961D5" w:rsidRPr="004B0055">
              <w:rPr>
                <w:sz w:val="18"/>
                <w:szCs w:val="20"/>
              </w:rPr>
              <w:t>ears</w:t>
            </w:r>
            <w:r w:rsidRPr="004B0055">
              <w:rPr>
                <w:sz w:val="18"/>
                <w:szCs w:val="20"/>
              </w:rPr>
              <w:t xml:space="preserve"> jail</w:t>
            </w:r>
          </w:p>
        </w:tc>
        <w:tc>
          <w:tcPr>
            <w:tcW w:w="4272" w:type="dxa"/>
            <w:tcBorders>
              <w:top w:val="single" w:sz="4" w:space="0" w:color="1F497D" w:themeColor="text2"/>
              <w:bottom w:val="single" w:sz="4" w:space="0" w:color="1F497D" w:themeColor="text2"/>
            </w:tcBorders>
          </w:tcPr>
          <w:p w:rsidR="003F6257" w:rsidRDefault="003F6257" w:rsidP="0087674F">
            <w:pPr>
              <w:rPr>
                <w:sz w:val="18"/>
                <w:szCs w:val="20"/>
              </w:rPr>
            </w:pPr>
          </w:p>
          <w:p w:rsidR="00905AA2" w:rsidRPr="004B0055" w:rsidRDefault="00905AA2" w:rsidP="0087674F">
            <w:pPr>
              <w:rPr>
                <w:sz w:val="18"/>
                <w:szCs w:val="20"/>
              </w:rPr>
            </w:pPr>
            <w:r w:rsidRPr="004B0055">
              <w:rPr>
                <w:sz w:val="18"/>
                <w:szCs w:val="20"/>
              </w:rPr>
              <w:t>Any animal other than wildlife</w:t>
            </w:r>
          </w:p>
        </w:tc>
      </w:tr>
    </w:tbl>
    <w:p w:rsidR="00DE5465" w:rsidRDefault="00DE5465">
      <w:pPr>
        <w:jc w:val="both"/>
      </w:pPr>
      <w:r w:rsidRPr="00DD0D8D">
        <w:lastRenderedPageBreak/>
        <w:t xml:space="preserve">The current legislative environment does not offer </w:t>
      </w:r>
      <w:r w:rsidR="00A1498B">
        <w:t xml:space="preserve">consistent </w:t>
      </w:r>
      <w:r w:rsidRPr="00DD0D8D">
        <w:t xml:space="preserve">protection of </w:t>
      </w:r>
      <w:r w:rsidR="00B20FC4">
        <w:t>a greyhound</w:t>
      </w:r>
      <w:r w:rsidR="00FA622C">
        <w:t xml:space="preserve">, </w:t>
      </w:r>
      <w:r w:rsidRPr="00DD0D8D">
        <w:t>throughout its whole lifecycle</w:t>
      </w:r>
      <w:r w:rsidR="00B310B2" w:rsidRPr="00DE6E6E">
        <w:t xml:space="preserve">. In addition, </w:t>
      </w:r>
      <w:r w:rsidR="00B17D58" w:rsidRPr="00DE6E6E">
        <w:t xml:space="preserve">it </w:t>
      </w:r>
      <w:r w:rsidR="00B17D58" w:rsidRPr="007046FB">
        <w:t>offers</w:t>
      </w:r>
      <w:r w:rsidR="00A1498B">
        <w:t xml:space="preserve"> </w:t>
      </w:r>
      <w:r w:rsidR="00DD0D8D" w:rsidRPr="00DD0D8D">
        <w:t>no prescriptive requirements to ensure adeq</w:t>
      </w:r>
      <w:r w:rsidR="00DD0D8D">
        <w:t>uate housing, socialisation,</w:t>
      </w:r>
      <w:r w:rsidR="00B20FC4">
        <w:t xml:space="preserve"> health checks and monitoring</w:t>
      </w:r>
      <w:r w:rsidR="00B310B2">
        <w:t xml:space="preserve">. Failures in any or each of these areas can </w:t>
      </w:r>
      <w:r w:rsidR="00A1498B">
        <w:t xml:space="preserve">have a cumulative </w:t>
      </w:r>
      <w:r w:rsidR="0077019D">
        <w:t>effect</w:t>
      </w:r>
      <w:r w:rsidR="00DD0D8D">
        <w:t xml:space="preserve"> </w:t>
      </w:r>
      <w:r w:rsidR="00A1498B">
        <w:t xml:space="preserve">on an </w:t>
      </w:r>
      <w:r w:rsidR="00DD0D8D">
        <w:t>animal</w:t>
      </w:r>
      <w:r w:rsidR="00B310B2">
        <w:t>’</w:t>
      </w:r>
      <w:r w:rsidR="00A1498B">
        <w:t>s</w:t>
      </w:r>
      <w:r w:rsidR="00DD0D8D" w:rsidRPr="00DD0D8D">
        <w:t xml:space="preserve"> welfare</w:t>
      </w:r>
      <w:r w:rsidRPr="00DD0D8D">
        <w:t xml:space="preserve">. </w:t>
      </w:r>
      <w:r w:rsidR="00B310B2">
        <w:t>Furthermore</w:t>
      </w:r>
      <w:r w:rsidR="00B17D58">
        <w:t>, depending</w:t>
      </w:r>
      <w:r w:rsidR="00A1498B">
        <w:t xml:space="preserve"> which </w:t>
      </w:r>
      <w:r w:rsidR="00B20FC4">
        <w:t>offence</w:t>
      </w:r>
      <w:r w:rsidR="00FA622C">
        <w:t xml:space="preserve"> </w:t>
      </w:r>
      <w:r w:rsidR="00B20FC4">
        <w:t>a person is found guilty of,</w:t>
      </w:r>
      <w:r w:rsidR="00A1498B">
        <w:t xml:space="preserve"> </w:t>
      </w:r>
      <w:r w:rsidR="00A1498B" w:rsidRPr="00DE6E6E">
        <w:t>the penalty</w:t>
      </w:r>
      <w:r w:rsidR="00DE6E6E" w:rsidRPr="00DE6E6E">
        <w:t xml:space="preserve"> </w:t>
      </w:r>
      <w:r w:rsidR="00A1498B" w:rsidRPr="00DE6E6E">
        <w:t>is often so sm</w:t>
      </w:r>
      <w:r w:rsidR="00B20FC4" w:rsidRPr="00DE6E6E">
        <w:t>all it</w:t>
      </w:r>
      <w:r w:rsidR="00A1498B" w:rsidRPr="00DE6E6E">
        <w:t xml:space="preserve"> offers no deterrent to </w:t>
      </w:r>
      <w:r w:rsidR="00B20FC4" w:rsidRPr="00DE6E6E">
        <w:t>the industry</w:t>
      </w:r>
      <w:r w:rsidR="00DE6E6E" w:rsidRPr="00DE6E6E">
        <w:t xml:space="preserve"> (see </w:t>
      </w:r>
      <w:r w:rsidR="006F38D5">
        <w:t>T</w:t>
      </w:r>
      <w:r w:rsidR="00DE6E6E" w:rsidRPr="00DE6E6E">
        <w:t xml:space="preserve">able </w:t>
      </w:r>
      <w:r w:rsidR="006F38D5">
        <w:t>8</w:t>
      </w:r>
      <w:r w:rsidR="00DE6E6E" w:rsidRPr="00DE6E6E">
        <w:t>. GRV – Local Rules)</w:t>
      </w:r>
      <w:r w:rsidR="00A1498B" w:rsidRPr="00DE6E6E">
        <w:t>.</w:t>
      </w:r>
      <w:r w:rsidR="00A1498B">
        <w:t xml:space="preserve"> </w:t>
      </w:r>
    </w:p>
    <w:p w:rsidR="001244B2" w:rsidRPr="00070EEF" w:rsidRDefault="001244B2" w:rsidP="001244B2"/>
    <w:p w:rsidR="001244B2" w:rsidRDefault="001244B2" w:rsidP="001244B2">
      <w:pPr>
        <w:jc w:val="both"/>
        <w:rPr>
          <w:rFonts w:cs="HelveticaNeueLT Std"/>
          <w:iCs/>
        </w:rPr>
      </w:pPr>
      <w:r w:rsidRPr="00070EEF">
        <w:rPr>
          <w:rFonts w:cs="HelveticaNeueLT Std"/>
        </w:rPr>
        <w:t xml:space="preserve">The framework for control and enforcement is equally complex, in that different licensing and registration, oversight and compliance falls under the </w:t>
      </w:r>
      <w:r w:rsidRPr="00070EEF">
        <w:rPr>
          <w:rFonts w:cs="HelveticaNeueLT Std"/>
          <w:i/>
          <w:iCs/>
        </w:rPr>
        <w:t xml:space="preserve">Domestic Animals Act 1994, </w:t>
      </w:r>
      <w:r w:rsidRPr="00070EEF">
        <w:rPr>
          <w:rFonts w:cs="HelveticaNeueLT Std"/>
        </w:rPr>
        <w:t xml:space="preserve">the </w:t>
      </w:r>
      <w:r w:rsidRPr="00070EEF">
        <w:rPr>
          <w:rFonts w:cs="HelveticaNeueLT Std"/>
          <w:i/>
          <w:iCs/>
        </w:rPr>
        <w:t xml:space="preserve">Prevention of Cruelty to Animals Act 1986, </w:t>
      </w:r>
      <w:r w:rsidRPr="00070EEF">
        <w:rPr>
          <w:rFonts w:cs="HelveticaNeueLT Std"/>
          <w:iCs/>
        </w:rPr>
        <w:t xml:space="preserve">the </w:t>
      </w:r>
      <w:r w:rsidRPr="00070EEF">
        <w:rPr>
          <w:rFonts w:cs="HelveticaNeueLT Std"/>
          <w:i/>
          <w:iCs/>
        </w:rPr>
        <w:t xml:space="preserve">Racing Act of 1958 </w:t>
      </w:r>
      <w:r w:rsidRPr="00070EEF">
        <w:rPr>
          <w:rFonts w:cs="HelveticaNeueLT Std"/>
          <w:iCs/>
        </w:rPr>
        <w:t>and the GRV itself</w:t>
      </w:r>
      <w:r w:rsidR="005D22C9">
        <w:rPr>
          <w:rFonts w:cs="HelveticaNeueLT Std"/>
          <w:iCs/>
        </w:rPr>
        <w:t xml:space="preserve">, as shown in Chart </w:t>
      </w:r>
      <w:r w:rsidR="006F38D5">
        <w:rPr>
          <w:rFonts w:cs="HelveticaNeueLT Std"/>
          <w:iCs/>
        </w:rPr>
        <w:t>4</w:t>
      </w:r>
      <w:r w:rsidRPr="00070EEF">
        <w:rPr>
          <w:rFonts w:cs="HelveticaNeueLT Std"/>
          <w:iCs/>
        </w:rPr>
        <w:t>.</w:t>
      </w:r>
    </w:p>
    <w:p w:rsidR="00B25912" w:rsidRDefault="00B25912" w:rsidP="001244B2">
      <w:pPr>
        <w:rPr>
          <w:rFonts w:cs="HelveticaNeueLT Std"/>
          <w:iCs/>
        </w:rPr>
      </w:pPr>
    </w:p>
    <w:p w:rsidR="001244B2" w:rsidRPr="00793D7D" w:rsidRDefault="001244B2" w:rsidP="007046FB">
      <w:pPr>
        <w:jc w:val="center"/>
        <w:rPr>
          <w:rFonts w:cs="HelveticaNeueLT Std"/>
          <w:b/>
          <w:iCs/>
          <w:color w:val="auto"/>
          <w:sz w:val="20"/>
        </w:rPr>
      </w:pPr>
      <w:r w:rsidRPr="00596689">
        <w:rPr>
          <w:rFonts w:cs="HelveticaNeueLT Std"/>
          <w:b/>
          <w:iCs/>
          <w:color w:val="000000" w:themeColor="text1"/>
          <w:sz w:val="20"/>
        </w:rPr>
        <w:t xml:space="preserve">Chart </w:t>
      </w:r>
      <w:r w:rsidR="006F38D5">
        <w:rPr>
          <w:rFonts w:cs="HelveticaNeueLT Std"/>
          <w:b/>
          <w:iCs/>
          <w:color w:val="000000" w:themeColor="text1"/>
          <w:sz w:val="20"/>
        </w:rPr>
        <w:t>4</w:t>
      </w:r>
      <w:r w:rsidRPr="00596689">
        <w:rPr>
          <w:rFonts w:cs="HelveticaNeueLT Std"/>
          <w:b/>
          <w:iCs/>
          <w:color w:val="000000" w:themeColor="text1"/>
          <w:sz w:val="20"/>
        </w:rPr>
        <w:t xml:space="preserve">: </w:t>
      </w:r>
      <w:r w:rsidR="003F6257">
        <w:rPr>
          <w:rFonts w:cs="HelveticaNeueLT Std"/>
          <w:b/>
          <w:iCs/>
          <w:color w:val="000000" w:themeColor="text1"/>
          <w:sz w:val="20"/>
        </w:rPr>
        <w:t xml:space="preserve">Legislation </w:t>
      </w:r>
      <w:r w:rsidRPr="00596689">
        <w:rPr>
          <w:rFonts w:cs="HelveticaNeueLT Std"/>
          <w:b/>
          <w:iCs/>
          <w:color w:val="000000" w:themeColor="text1"/>
          <w:sz w:val="20"/>
        </w:rPr>
        <w:t>and enforcemen</w:t>
      </w:r>
      <w:r>
        <w:rPr>
          <w:rFonts w:cs="HelveticaNeueLT Std"/>
          <w:b/>
          <w:iCs/>
          <w:color w:val="000000" w:themeColor="text1"/>
          <w:sz w:val="20"/>
        </w:rPr>
        <w:t>t</w:t>
      </w:r>
    </w:p>
    <w:p w:rsidR="001244B2" w:rsidRDefault="001244B2" w:rsidP="001244B2">
      <w:pPr>
        <w:rPr>
          <w:rFonts w:cs="HelveticaNeueLT Std"/>
          <w:b/>
          <w:iCs/>
          <w:color w:val="000000" w:themeColor="text1"/>
          <w:sz w:val="20"/>
        </w:rPr>
      </w:pPr>
    </w:p>
    <w:p w:rsidR="001244B2" w:rsidRDefault="003F6257" w:rsidP="001244B2">
      <w:pPr>
        <w:rPr>
          <w:rFonts w:cs="HelveticaNeueLT Std"/>
          <w:sz w:val="23"/>
          <w:szCs w:val="23"/>
        </w:rPr>
      </w:pPr>
      <w:r>
        <w:rPr>
          <w:rFonts w:cs="HelveticaNeueLT Std"/>
          <w:noProof/>
          <w:sz w:val="23"/>
          <w:szCs w:val="23"/>
          <w:lang w:eastAsia="en-AU"/>
        </w:rPr>
        <w:drawing>
          <wp:inline distT="0" distB="0" distL="0" distR="0" wp14:anchorId="4BB1F07F" wp14:editId="04640804">
            <wp:extent cx="5218680" cy="1345565"/>
            <wp:effectExtent l="0" t="0" r="1270" b="6985"/>
            <wp:docPr id="39" name="Picture 39" descr="The Local Rules under Racing Act covers GRV Authorised Officers. GRV Authorised Officers are also covered by the DAA and DAA Greyhound Code, and that Code also covers DAA Authorised GRV Officer.  POCTAA covers POCTAA Authorised RSPCA Officer and POCTAA Authorised Local Govt Officer." title="Legislation and enforc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946" cy="1348470"/>
                    </a:xfrm>
                    <a:prstGeom prst="rect">
                      <a:avLst/>
                    </a:prstGeom>
                    <a:noFill/>
                  </pic:spPr>
                </pic:pic>
              </a:graphicData>
            </a:graphic>
          </wp:inline>
        </w:drawing>
      </w:r>
    </w:p>
    <w:p w:rsidR="001C22D0" w:rsidRPr="001C22D0" w:rsidRDefault="001C22D0" w:rsidP="001C22D0">
      <w:pPr>
        <w:rPr>
          <w:lang w:val="en-US"/>
        </w:rPr>
      </w:pPr>
    </w:p>
    <w:p w:rsidR="001C22D0" w:rsidRDefault="00F803A8" w:rsidP="005E307C">
      <w:pPr>
        <w:pStyle w:val="Heading3"/>
        <w:rPr>
          <w:lang w:val="en-US"/>
        </w:rPr>
      </w:pPr>
      <w:bookmarkStart w:id="51" w:name="_Toc469529144"/>
      <w:bookmarkStart w:id="52" w:name="_Toc477190155"/>
      <w:r>
        <w:rPr>
          <w:lang w:val="en-US"/>
        </w:rPr>
        <w:t>1.3.2 The existing code</w:t>
      </w:r>
      <w:bookmarkEnd w:id="51"/>
      <w:bookmarkEnd w:id="52"/>
    </w:p>
    <w:p w:rsidR="00CE4867" w:rsidRPr="008B742E" w:rsidRDefault="009D44E8" w:rsidP="005D22C9">
      <w:pPr>
        <w:jc w:val="both"/>
        <w:rPr>
          <w:rFonts w:cs="Arial-BoldMT"/>
          <w:bCs/>
        </w:rPr>
      </w:pPr>
      <w:r>
        <w:t xml:space="preserve">The focus of the proposal in this RIS is the replacement of </w:t>
      </w:r>
      <w:r w:rsidR="00014CDA" w:rsidRPr="00DD0D8D">
        <w:t xml:space="preserve">The </w:t>
      </w:r>
      <w:r w:rsidR="00DD0D8D" w:rsidRPr="00DD0D8D">
        <w:rPr>
          <w:i/>
        </w:rPr>
        <w:t xml:space="preserve">Code of Practice for the Operation of Greyhound Establishments, </w:t>
      </w:r>
      <w:r w:rsidR="006F38D5">
        <w:rPr>
          <w:i/>
        </w:rPr>
        <w:t>‘</w:t>
      </w:r>
      <w:r w:rsidR="00DD0D8D" w:rsidRPr="00DD0D8D">
        <w:t>the existing code</w:t>
      </w:r>
      <w:r w:rsidR="006F38D5">
        <w:t>’</w:t>
      </w:r>
      <w:r>
        <w:t xml:space="preserve"> as it</w:t>
      </w:r>
      <w:r w:rsidR="00DD0D8D" w:rsidRPr="00DD0D8D">
        <w:t xml:space="preserve"> </w:t>
      </w:r>
      <w:r w:rsidR="00014CDA" w:rsidRPr="00DD0D8D">
        <w:t>does not prov</w:t>
      </w:r>
      <w:r w:rsidR="008B742E">
        <w:t>ide the same level of prescribed care</w:t>
      </w:r>
      <w:r w:rsidR="00014CDA" w:rsidRPr="00DD0D8D">
        <w:t xml:space="preserve"> as provided to other dogs in Victor</w:t>
      </w:r>
      <w:r w:rsidR="00DD0D8D" w:rsidRPr="00DD0D8D">
        <w:t>ia</w:t>
      </w:r>
      <w:r w:rsidR="00014CDA" w:rsidRPr="00DD0D8D">
        <w:t xml:space="preserve">. </w:t>
      </w:r>
      <w:r w:rsidR="008B742E" w:rsidRPr="00FC6506">
        <w:t xml:space="preserve">Currently the existing code is enforced </w:t>
      </w:r>
      <w:r w:rsidR="00FC6506" w:rsidRPr="00FC6506">
        <w:t xml:space="preserve">throughout Victoria, </w:t>
      </w:r>
      <w:r w:rsidR="008B742E" w:rsidRPr="00FC6506">
        <w:t>under GRV</w:t>
      </w:r>
      <w:r w:rsidR="006F38D5">
        <w:t xml:space="preserve"> </w:t>
      </w:r>
      <w:r w:rsidR="008B742E" w:rsidRPr="00FC6506">
        <w:t xml:space="preserve">local rules and used for guidance and prescriptive detail for prosecution under the GRV local rules. </w:t>
      </w:r>
      <w:r w:rsidR="00FC6506" w:rsidRPr="00FC6506">
        <w:t xml:space="preserve">Local Rules are in fact rules for the whole of the state of Victoria made under the powers of the Racing Act. </w:t>
      </w:r>
      <w:r w:rsidR="008B742E" w:rsidRPr="00FC6506">
        <w:t>The code is used as a defensible code and enforced by GRV enforcement officers. Greyhound</w:t>
      </w:r>
      <w:r w:rsidR="008B742E" w:rsidRPr="008B742E">
        <w:t xml:space="preserve"> owners/carers do not have to follow the </w:t>
      </w:r>
      <w:r w:rsidR="008B742E" w:rsidRPr="008B742E">
        <w:rPr>
          <w:i/>
        </w:rPr>
        <w:t>Code of Practice for the Operation of Breeding and Rearing Businesses</w:t>
      </w:r>
      <w:r w:rsidR="008B742E" w:rsidRPr="008B742E">
        <w:t>, which came into effect on 10 April 2014 to improve the wel</w:t>
      </w:r>
      <w:r w:rsidR="008B742E">
        <w:t xml:space="preserve">fare of animals in puppy farms. </w:t>
      </w:r>
      <w:r w:rsidR="008B742E" w:rsidRPr="008B742E">
        <w:t xml:space="preserve">The new breeding and rearing code reflected the current social value placed on dogs and cats by society. </w:t>
      </w:r>
      <w:r w:rsidR="008B742E">
        <w:rPr>
          <w:rFonts w:cs="HelveticaNeueLT Std Lt"/>
        </w:rPr>
        <w:t>Additionally,</w:t>
      </w:r>
      <w:r w:rsidR="008B742E" w:rsidRPr="008B742E">
        <w:rPr>
          <w:rFonts w:cs="HelveticaNeueLT Std Lt"/>
        </w:rPr>
        <w:t xml:space="preserve"> </w:t>
      </w:r>
      <w:r w:rsidR="008B742E" w:rsidRPr="008B742E">
        <w:t>u</w:t>
      </w:r>
      <w:r w:rsidR="00014CDA" w:rsidRPr="008B742E">
        <w:t>nder the DAA greyhound owners are exempt from the requirements of registration with local government if the dog is registered to GRV</w:t>
      </w:r>
      <w:r w:rsidR="002255E4">
        <w:t>.</w:t>
      </w:r>
      <w:r w:rsidR="007B521C">
        <w:t xml:space="preserve"> </w:t>
      </w:r>
      <w:r w:rsidR="000636CD">
        <w:rPr>
          <w:rFonts w:cs="Arial-BoldMT"/>
          <w:bCs/>
        </w:rPr>
        <w:t>The c</w:t>
      </w:r>
      <w:r w:rsidR="00673E43" w:rsidRPr="008B742E">
        <w:rPr>
          <w:rFonts w:cs="Arial-BoldMT"/>
          <w:bCs/>
        </w:rPr>
        <w:t>urrent reporting requirements</w:t>
      </w:r>
      <w:r w:rsidR="006943AB">
        <w:rPr>
          <w:rFonts w:cs="Arial-BoldMT"/>
          <w:bCs/>
        </w:rPr>
        <w:t xml:space="preserve"> of greyhounds </w:t>
      </w:r>
      <w:r w:rsidR="000636CD">
        <w:rPr>
          <w:rFonts w:cs="Arial-BoldMT"/>
          <w:bCs/>
        </w:rPr>
        <w:t>to GRV</w:t>
      </w:r>
      <w:r w:rsidR="008B742E">
        <w:rPr>
          <w:rFonts w:cs="Arial-BoldMT"/>
          <w:bCs/>
        </w:rPr>
        <w:t xml:space="preserve"> </w:t>
      </w:r>
      <w:r w:rsidR="006943AB">
        <w:rPr>
          <w:rFonts w:cs="Arial-BoldMT"/>
          <w:bCs/>
        </w:rPr>
        <w:t xml:space="preserve">at </w:t>
      </w:r>
      <w:r w:rsidR="008B742E">
        <w:rPr>
          <w:rFonts w:cs="Arial-BoldMT"/>
          <w:bCs/>
        </w:rPr>
        <w:t>birth, naming, racing and retirement</w:t>
      </w:r>
      <w:r w:rsidR="00B17D58">
        <w:rPr>
          <w:rFonts w:cs="Arial-BoldMT"/>
          <w:bCs/>
        </w:rPr>
        <w:t>,</w:t>
      </w:r>
      <w:r w:rsidR="00B17D58" w:rsidRPr="008B742E">
        <w:rPr>
          <w:rFonts w:cs="Arial-BoldMT"/>
          <w:bCs/>
        </w:rPr>
        <w:t xml:space="preserve"> mean</w:t>
      </w:r>
      <w:r w:rsidR="00673E43" w:rsidRPr="008B742E">
        <w:rPr>
          <w:rFonts w:cs="Arial-BoldMT"/>
          <w:bCs/>
        </w:rPr>
        <w:t xml:space="preserve"> that greyhounds are effectively unregulated in the period between litter regi</w:t>
      </w:r>
      <w:r w:rsidR="005D22C9">
        <w:rPr>
          <w:rFonts w:cs="Arial-BoldMT"/>
          <w:bCs/>
        </w:rPr>
        <w:t xml:space="preserve">stration and naming </w:t>
      </w:r>
      <w:r w:rsidR="006943AB">
        <w:rPr>
          <w:rFonts w:cs="Arial-BoldMT"/>
          <w:bCs/>
        </w:rPr>
        <w:t>and post retirement (see Chart 2).</w:t>
      </w:r>
    </w:p>
    <w:p w:rsidR="00673E43" w:rsidRDefault="00673E43" w:rsidP="005E307C"/>
    <w:p w:rsidR="005E307C" w:rsidRDefault="005E307C">
      <w:r>
        <w:br w:type="page"/>
      </w:r>
    </w:p>
    <w:p w:rsidR="00CE4867" w:rsidRPr="008B742E" w:rsidRDefault="00CE4867" w:rsidP="005D22C9">
      <w:pPr>
        <w:jc w:val="both"/>
        <w:rPr>
          <w:rFonts w:cs="HelveticaNeueLT Std Lt"/>
          <w:b/>
          <w:i/>
        </w:rPr>
      </w:pPr>
      <w:r w:rsidRPr="008B742E">
        <w:lastRenderedPageBreak/>
        <w:t xml:space="preserve">Victoria’s Chief Veterinary Officer, Dr Charles Milne, presented his final report to Parliament on 30 April 2015. </w:t>
      </w:r>
      <w:r w:rsidRPr="008B742E">
        <w:rPr>
          <w:rFonts w:cs="HelveticaNeueLT Std Lt"/>
        </w:rPr>
        <w:t>The Review determined that the existing code is lacking in content and scope, in particular he noted:</w:t>
      </w:r>
      <w:r w:rsidRPr="008B742E">
        <w:rPr>
          <w:rFonts w:cs="HelveticaNeueLT Std Lt"/>
          <w:b/>
          <w:i/>
        </w:rPr>
        <w:t xml:space="preserve"> </w:t>
      </w:r>
    </w:p>
    <w:p w:rsidR="00CE4867" w:rsidRPr="008B742E" w:rsidRDefault="00CE4867" w:rsidP="005D22C9">
      <w:pPr>
        <w:jc w:val="both"/>
      </w:pPr>
    </w:p>
    <w:p w:rsidR="00CE4867" w:rsidRPr="004B0055" w:rsidRDefault="00CE4867" w:rsidP="005D22C9">
      <w:pPr>
        <w:ind w:left="567" w:right="709"/>
        <w:jc w:val="both"/>
        <w:rPr>
          <w:rFonts w:cs="HelveticaNeueLT Std Lt"/>
          <w:i/>
          <w:sz w:val="20"/>
        </w:rPr>
      </w:pPr>
      <w:r w:rsidRPr="004B0055">
        <w:rPr>
          <w:rFonts w:cs="HelveticaNeueLT Std Lt"/>
          <w:b/>
          <w:i/>
          <w:sz w:val="20"/>
        </w:rPr>
        <w:t>‘</w:t>
      </w:r>
      <w:r w:rsidRPr="004B0055">
        <w:rPr>
          <w:rFonts w:cs="HelveticaNeueLT Std Lt"/>
          <w:i/>
          <w:sz w:val="20"/>
        </w:rPr>
        <w:t xml:space="preserve">It does not adequately cover all of the different stages of a greyhound’s life and does not include critical standards that address a greyhound’s exercise, socialisation, handling, transportation and enrichment needs. He added that the existing code is … inconsistent with the detail of the DAA </w:t>
      </w:r>
      <w:r w:rsidRPr="004B0055">
        <w:rPr>
          <w:rFonts w:cs="HelveticaNeueLT Std Lt"/>
          <w:i/>
          <w:iCs/>
          <w:sz w:val="20"/>
        </w:rPr>
        <w:t xml:space="preserve">Code of Practice for the Operation of Breeding and Rearing Businesses </w:t>
      </w:r>
      <w:r w:rsidRPr="004B0055">
        <w:rPr>
          <w:rFonts w:cs="HelveticaNeueLT Std Lt"/>
          <w:i/>
          <w:sz w:val="20"/>
        </w:rPr>
        <w:t>that applies generally to dog breeding and rearing</w:t>
      </w:r>
      <w:r w:rsidRPr="004B0055">
        <w:rPr>
          <w:i/>
          <w:sz w:val="20"/>
        </w:rPr>
        <w:t xml:space="preserve"> [and]</w:t>
      </w:r>
      <w:r w:rsidRPr="004B0055">
        <w:rPr>
          <w:rFonts w:cs="HelveticaNeueLT Std Lt"/>
          <w:i/>
          <w:sz w:val="20"/>
        </w:rPr>
        <w:t>…does not include critical standards that address a greyhound’s exercise, socialisation, handling, transportation and enrichment needs at all stages of the dog’s life’.</w:t>
      </w:r>
      <w:r w:rsidRPr="004B0055">
        <w:rPr>
          <w:rStyle w:val="FootnoteReference"/>
          <w:rFonts w:cs="HelveticaNeueLT Std Lt"/>
          <w:sz w:val="20"/>
        </w:rPr>
        <w:footnoteReference w:id="52"/>
      </w:r>
    </w:p>
    <w:p w:rsidR="00CE4867" w:rsidRDefault="00CE4867" w:rsidP="005E307C"/>
    <w:p w:rsidR="006943AB" w:rsidRDefault="00DE691D" w:rsidP="007046FB">
      <w:pPr>
        <w:jc w:val="both"/>
        <w:rPr>
          <w:color w:val="000000" w:themeColor="text1"/>
        </w:rPr>
      </w:pPr>
      <w:r w:rsidRPr="007046FB">
        <w:rPr>
          <w:color w:val="000000" w:themeColor="text1"/>
        </w:rPr>
        <w:t xml:space="preserve">GRV </w:t>
      </w:r>
      <w:r w:rsidR="00395AF7">
        <w:rPr>
          <w:color w:val="000000" w:themeColor="text1"/>
        </w:rPr>
        <w:t>subsequently do not charge offending participants</w:t>
      </w:r>
      <w:r w:rsidRPr="007046FB">
        <w:rPr>
          <w:color w:val="000000" w:themeColor="text1"/>
        </w:rPr>
        <w:t xml:space="preserve"> under the current code of practice per se, </w:t>
      </w:r>
      <w:r w:rsidR="00395AF7">
        <w:rPr>
          <w:color w:val="000000" w:themeColor="text1"/>
        </w:rPr>
        <w:t>but rather</w:t>
      </w:r>
      <w:r w:rsidRPr="007046FB">
        <w:rPr>
          <w:color w:val="000000" w:themeColor="text1"/>
        </w:rPr>
        <w:t xml:space="preserve"> any disciplinary action is undertaken under Local rules 42.1 and 42.2. These rules set minimum standards for the keeping of racing greyhounds</w:t>
      </w:r>
      <w:r w:rsidR="00B310B2">
        <w:rPr>
          <w:color w:val="000000" w:themeColor="text1"/>
        </w:rPr>
        <w:t>. R</w:t>
      </w:r>
      <w:r w:rsidRPr="007046FB">
        <w:rPr>
          <w:color w:val="000000" w:themeColor="text1"/>
        </w:rPr>
        <w:t>ule 106 of Greyhound Australasia rules (GAR) prescribes responsibilities of owners of carers towards providing veterinary attention and monitoring the general welfare of a Greyhound. The current code of practice is used as prescriptive detail under which a person can be charged under the Local Rules</w:t>
      </w:r>
      <w:r w:rsidR="0007532D">
        <w:rPr>
          <w:color w:val="000000" w:themeColor="text1"/>
        </w:rPr>
        <w:t>.</w:t>
      </w:r>
    </w:p>
    <w:p w:rsidR="00E552AE" w:rsidRDefault="00E552AE" w:rsidP="005E307C">
      <w:bookmarkStart w:id="53" w:name="_Toc469529145"/>
    </w:p>
    <w:p w:rsidR="0007532D" w:rsidRPr="005F3BA9" w:rsidRDefault="0007532D" w:rsidP="005E307C">
      <w:pPr>
        <w:pStyle w:val="H13pt"/>
      </w:pPr>
      <w:bookmarkStart w:id="54" w:name="_Toc477190156"/>
      <w:r w:rsidRPr="005F3BA9">
        <w:t>1.4 Current issues in</w:t>
      </w:r>
      <w:r w:rsidR="009D44E8" w:rsidRPr="005F3BA9">
        <w:t xml:space="preserve"> </w:t>
      </w:r>
      <w:r w:rsidR="00984DD9" w:rsidRPr="005F3BA9">
        <w:t>greyhound racing</w:t>
      </w:r>
      <w:bookmarkEnd w:id="53"/>
      <w:bookmarkEnd w:id="54"/>
      <w:r w:rsidRPr="005F3BA9">
        <w:t xml:space="preserve"> </w:t>
      </w:r>
    </w:p>
    <w:p w:rsidR="0007532D" w:rsidRDefault="00395AF7" w:rsidP="007046FB">
      <w:pPr>
        <w:jc w:val="both"/>
      </w:pPr>
      <w:r>
        <w:t>Historically, t</w:t>
      </w:r>
      <w:r w:rsidR="0007532D" w:rsidRPr="009C2886">
        <w:t xml:space="preserve">here are a variety of concerns in relation to </w:t>
      </w:r>
      <w:r w:rsidR="009D44E8">
        <w:t xml:space="preserve">greyhound racing including a </w:t>
      </w:r>
      <w:r w:rsidR="0007532D" w:rsidRPr="009C2886">
        <w:t>lack of transparency or identification of operators, lack of education or information of operators, perceived poor breeding</w:t>
      </w:r>
      <w:r w:rsidR="00823880">
        <w:t>, rearing</w:t>
      </w:r>
      <w:r w:rsidR="0007532D" w:rsidRPr="009C2886">
        <w:t xml:space="preserve"> and training programs, poor welfare of dogs, wastage</w:t>
      </w:r>
      <w:r w:rsidR="009D44E8">
        <w:t xml:space="preserve"> (oversupply)</w:t>
      </w:r>
      <w:r w:rsidR="0007532D" w:rsidRPr="009C2886">
        <w:t xml:space="preserve"> of animals, governance of racing and betting, and the live baiting issue. </w:t>
      </w:r>
      <w:r w:rsidR="000E409F">
        <w:t>As discussed in Section 1.1 of this RIS, r</w:t>
      </w:r>
      <w:r w:rsidR="0007532D" w:rsidRPr="009C2886">
        <w:t xml:space="preserve">eports and investigations of all of these matters </w:t>
      </w:r>
      <w:r w:rsidR="000E409F">
        <w:t xml:space="preserve">identified issues falling into </w:t>
      </w:r>
      <w:r w:rsidR="0007532D">
        <w:rPr>
          <w:color w:val="000000" w:themeColor="text1"/>
        </w:rPr>
        <w:t>six</w:t>
      </w:r>
      <w:r w:rsidR="0007532D" w:rsidRPr="00014CDA">
        <w:rPr>
          <w:color w:val="000000" w:themeColor="text1"/>
        </w:rPr>
        <w:t xml:space="preserve"> main categories</w:t>
      </w:r>
      <w:r w:rsidR="000E409F">
        <w:rPr>
          <w:color w:val="000000" w:themeColor="text1"/>
        </w:rPr>
        <w:t xml:space="preserve"> including</w:t>
      </w:r>
      <w:r w:rsidR="0007532D">
        <w:rPr>
          <w:color w:val="000000" w:themeColor="text1"/>
        </w:rPr>
        <w:t>:</w:t>
      </w:r>
    </w:p>
    <w:p w:rsidR="00A1781E" w:rsidRDefault="00A1781E" w:rsidP="005E307C">
      <w:pPr>
        <w:pStyle w:val="ListParagraph"/>
        <w:numPr>
          <w:ilvl w:val="0"/>
          <w:numId w:val="10"/>
        </w:numPr>
        <w:ind w:left="426" w:hanging="426"/>
      </w:pPr>
      <w:r>
        <w:t xml:space="preserve">erosion of public confidence in the greyhound racing industry </w:t>
      </w:r>
    </w:p>
    <w:p w:rsidR="00A1781E" w:rsidRDefault="00A1781E" w:rsidP="005E307C">
      <w:pPr>
        <w:pStyle w:val="ListParagraph"/>
        <w:numPr>
          <w:ilvl w:val="0"/>
          <w:numId w:val="10"/>
        </w:numPr>
        <w:ind w:left="426" w:hanging="426"/>
      </w:pPr>
      <w:r>
        <w:t>roles and powers - unclear accountabilities;</w:t>
      </w:r>
    </w:p>
    <w:p w:rsidR="004229D7" w:rsidRDefault="00B310B2" w:rsidP="005E307C">
      <w:pPr>
        <w:pStyle w:val="ListParagraph"/>
        <w:numPr>
          <w:ilvl w:val="0"/>
          <w:numId w:val="10"/>
        </w:numPr>
        <w:ind w:left="426" w:hanging="426"/>
      </w:pPr>
      <w:r>
        <w:t>w</w:t>
      </w:r>
      <w:r w:rsidR="004229D7">
        <w:t>eaknesses and fragmented current regulatory environment</w:t>
      </w:r>
      <w:r>
        <w:t>;</w:t>
      </w:r>
    </w:p>
    <w:p w:rsidR="004229D7" w:rsidRDefault="00B310B2" w:rsidP="005E307C">
      <w:pPr>
        <w:pStyle w:val="ListParagraph"/>
        <w:numPr>
          <w:ilvl w:val="0"/>
          <w:numId w:val="10"/>
        </w:numPr>
        <w:ind w:left="426" w:hanging="426"/>
      </w:pPr>
      <w:r>
        <w:t>i</w:t>
      </w:r>
      <w:r w:rsidR="004229D7">
        <w:t xml:space="preserve">nformation management (of </w:t>
      </w:r>
      <w:r>
        <w:t>greyhounds</w:t>
      </w:r>
      <w:r w:rsidR="004229D7">
        <w:t>)</w:t>
      </w:r>
      <w:r>
        <w:t>;</w:t>
      </w:r>
    </w:p>
    <w:p w:rsidR="004229D7" w:rsidRDefault="00B310B2" w:rsidP="005E307C">
      <w:pPr>
        <w:pStyle w:val="ListParagraph"/>
        <w:numPr>
          <w:ilvl w:val="0"/>
          <w:numId w:val="10"/>
        </w:numPr>
        <w:ind w:left="426" w:hanging="426"/>
      </w:pPr>
      <w:r>
        <w:t>t</w:t>
      </w:r>
      <w:r w:rsidR="004229D7">
        <w:t>raining/education/information (for carers)</w:t>
      </w:r>
      <w:r>
        <w:t>;</w:t>
      </w:r>
      <w:r w:rsidR="009D44E8">
        <w:t xml:space="preserve"> and</w:t>
      </w:r>
    </w:p>
    <w:p w:rsidR="004229D7" w:rsidRDefault="00B310B2" w:rsidP="005E307C">
      <w:pPr>
        <w:pStyle w:val="ListParagraph"/>
        <w:numPr>
          <w:ilvl w:val="0"/>
          <w:numId w:val="10"/>
        </w:numPr>
        <w:ind w:left="426" w:hanging="426"/>
      </w:pPr>
      <w:r>
        <w:t>a</w:t>
      </w:r>
      <w:r w:rsidR="004229D7">
        <w:t>nimal welfare/cruelty</w:t>
      </w:r>
      <w:r w:rsidR="009D44E8">
        <w:t>.</w:t>
      </w:r>
    </w:p>
    <w:p w:rsidR="00395AF7" w:rsidRDefault="00395AF7" w:rsidP="00C2542E"/>
    <w:tbl>
      <w:tblPr>
        <w:tblW w:w="0" w:type="auto"/>
        <w:tblLook w:val="04A0" w:firstRow="1" w:lastRow="0" w:firstColumn="1" w:lastColumn="0" w:noHBand="0" w:noVBand="1"/>
      </w:tblPr>
      <w:tblGrid>
        <w:gridCol w:w="8437"/>
      </w:tblGrid>
      <w:tr w:rsidR="00FA31C9" w:rsidTr="00FA31C9">
        <w:trPr>
          <w:cantSplit/>
          <w:trHeight w:val="2551"/>
        </w:trPr>
        <w:tc>
          <w:tcPr>
            <w:tcW w:w="8437" w:type="dxa"/>
            <w:shd w:val="clear" w:color="auto" w:fill="D9D9D9" w:themeFill="background1" w:themeFillShade="D9"/>
          </w:tcPr>
          <w:p w:rsidR="00FA31C9" w:rsidRDefault="00FA31C9" w:rsidP="00C2542E">
            <w:pPr>
              <w:rPr>
                <w:b/>
              </w:rPr>
            </w:pPr>
            <w:r>
              <w:rPr>
                <w:b/>
              </w:rPr>
              <w:t>Comment by GRV</w:t>
            </w:r>
            <w:r w:rsidRPr="00457D62">
              <w:rPr>
                <w:b/>
              </w:rPr>
              <w:t>;</w:t>
            </w:r>
          </w:p>
          <w:p w:rsidR="00FA31C9" w:rsidRDefault="00FA31C9" w:rsidP="00FA31C9">
            <w:r>
              <w:t>GRV now comprises a new CEO, Board and Executive that are committed to the delivery of strong animal welfare and regulatory outcomes and which is implementing a range of programs to address historical issues.</w:t>
            </w:r>
            <w:r w:rsidR="007B521C">
              <w:t xml:space="preserve"> </w:t>
            </w:r>
            <w:r>
              <w:t xml:space="preserve">These programs are aimed at the reduction of premature injury and death of racing greyhounds, enhanced care of greyhounds at all stages of their lifecycle, prevention of excessive breeding through an enhanced registrations and monitoring regime, ensuring greyhounds get more opportunities to race, improving racing and training infrastructure and developing training and awareness programs for industry participants. </w:t>
            </w:r>
          </w:p>
        </w:tc>
      </w:tr>
      <w:tr w:rsidR="00FA31C9" w:rsidTr="00FA31C9">
        <w:trPr>
          <w:cantSplit/>
          <w:trHeight w:val="3592"/>
        </w:trPr>
        <w:tc>
          <w:tcPr>
            <w:tcW w:w="8437" w:type="dxa"/>
            <w:shd w:val="clear" w:color="auto" w:fill="D9D9D9" w:themeFill="background1" w:themeFillShade="D9"/>
          </w:tcPr>
          <w:p w:rsidR="00FA31C9" w:rsidRPr="004306C0" w:rsidRDefault="00FA31C9" w:rsidP="00FA31C9">
            <w:r w:rsidRPr="004306C0">
              <w:lastRenderedPageBreak/>
              <w:t xml:space="preserve">This is being supported by a strong program of regulatory scrutiny, including participant education. Through these initiatives </w:t>
            </w:r>
            <w:r>
              <w:t xml:space="preserve">GRV </w:t>
            </w:r>
            <w:r w:rsidRPr="004306C0">
              <w:t>has reported the achievement of:</w:t>
            </w:r>
          </w:p>
          <w:p w:rsidR="00FA31C9" w:rsidRPr="004306C0" w:rsidRDefault="00FA31C9" w:rsidP="00FA31C9">
            <w:pPr>
              <w:pStyle w:val="ListParagraph"/>
              <w:numPr>
                <w:ilvl w:val="0"/>
                <w:numId w:val="59"/>
              </w:numPr>
              <w:ind w:left="426" w:hanging="426"/>
            </w:pPr>
            <w:r w:rsidRPr="004306C0">
              <w:t>A</w:t>
            </w:r>
            <w:r>
              <w:t>n</w:t>
            </w:r>
            <w:r w:rsidRPr="004306C0">
              <w:t xml:space="preserve"> increase in Animal Welfare Inspectors</w:t>
            </w:r>
            <w:r>
              <w:t xml:space="preserve"> from 2 to 18 as at 1 January 2017</w:t>
            </w:r>
            <w:r w:rsidRPr="004306C0">
              <w:t xml:space="preserve">, </w:t>
            </w:r>
          </w:p>
          <w:p w:rsidR="00FA31C9" w:rsidRPr="004306C0" w:rsidRDefault="00FA31C9" w:rsidP="00FA31C9">
            <w:pPr>
              <w:pStyle w:val="ListParagraph"/>
              <w:numPr>
                <w:ilvl w:val="0"/>
                <w:numId w:val="59"/>
              </w:numPr>
              <w:ind w:left="426" w:hanging="426"/>
            </w:pPr>
            <w:r w:rsidRPr="004306C0">
              <w:t>A new Investigations Unit,</w:t>
            </w:r>
            <w:r>
              <w:t xml:space="preserve"> increasing the number of inspectors from 1 to 10, including an intelligence capability</w:t>
            </w:r>
          </w:p>
          <w:p w:rsidR="00FA31C9" w:rsidRPr="004306C0" w:rsidRDefault="00FA31C9" w:rsidP="00FA31C9">
            <w:pPr>
              <w:pStyle w:val="ListParagraph"/>
              <w:numPr>
                <w:ilvl w:val="0"/>
                <w:numId w:val="59"/>
              </w:numPr>
              <w:ind w:left="426" w:hanging="426"/>
            </w:pPr>
            <w:r>
              <w:t xml:space="preserve">A more than tripling </w:t>
            </w:r>
            <w:r w:rsidRPr="004306C0">
              <w:t>of samples for prohibited substances,</w:t>
            </w:r>
          </w:p>
          <w:p w:rsidR="00FA31C9" w:rsidRPr="004306C0" w:rsidRDefault="00FA31C9" w:rsidP="00FA31C9">
            <w:pPr>
              <w:pStyle w:val="ListParagraph"/>
              <w:numPr>
                <w:ilvl w:val="0"/>
                <w:numId w:val="59"/>
              </w:numPr>
              <w:ind w:left="426" w:hanging="426"/>
            </w:pPr>
            <w:r w:rsidRPr="004306C0">
              <w:t>A $3.5 million expansion of the Greyhound Adoption Program</w:t>
            </w:r>
            <w:r>
              <w:t>’s Seymour facilities</w:t>
            </w:r>
            <w:r w:rsidRPr="004306C0">
              <w:t>,</w:t>
            </w:r>
          </w:p>
          <w:p w:rsidR="00FA31C9" w:rsidRPr="004306C0" w:rsidRDefault="00FA31C9" w:rsidP="00FA31C9">
            <w:pPr>
              <w:pStyle w:val="ListParagraph"/>
              <w:numPr>
                <w:ilvl w:val="0"/>
                <w:numId w:val="59"/>
              </w:numPr>
              <w:ind w:left="426" w:hanging="426"/>
            </w:pPr>
            <w:r w:rsidRPr="004306C0">
              <w:t xml:space="preserve">A new regulatory framework </w:t>
            </w:r>
            <w:r>
              <w:t xml:space="preserve">which adopts a risk based assessment of the industry and </w:t>
            </w:r>
            <w:r w:rsidRPr="004306C0">
              <w:t>which will include better management of breeding,</w:t>
            </w:r>
          </w:p>
          <w:p w:rsidR="00FA31C9" w:rsidRPr="004306C0" w:rsidRDefault="00FA31C9" w:rsidP="00FA31C9">
            <w:pPr>
              <w:pStyle w:val="ListParagraph"/>
              <w:numPr>
                <w:ilvl w:val="0"/>
                <w:numId w:val="59"/>
              </w:numPr>
              <w:ind w:left="426" w:hanging="426"/>
            </w:pPr>
            <w:r w:rsidRPr="004306C0">
              <w:t>A 3</w:t>
            </w:r>
            <w:r>
              <w:t>1</w:t>
            </w:r>
            <w:r w:rsidRPr="004306C0">
              <w:t xml:space="preserve"> per cent reduction in the numbers of pups whelped in 2015-16 on the previous year,</w:t>
            </w:r>
            <w:r w:rsidR="007B521C">
              <w:t xml:space="preserve"> </w:t>
            </w:r>
          </w:p>
          <w:p w:rsidR="00FA31C9" w:rsidRDefault="00FA31C9" w:rsidP="00FA31C9">
            <w:pPr>
              <w:pStyle w:val="ListParagraph"/>
              <w:numPr>
                <w:ilvl w:val="0"/>
                <w:numId w:val="59"/>
              </w:numPr>
              <w:ind w:left="426" w:hanging="426"/>
            </w:pPr>
            <w:r>
              <w:t>A major capital works program with specific focus on animal welfare and education and training programs focused on whole-of-life plans for all Victorian greyhounds,</w:t>
            </w:r>
          </w:p>
          <w:p w:rsidR="00FA31C9" w:rsidRDefault="00FA31C9" w:rsidP="00FA31C9">
            <w:pPr>
              <w:rPr>
                <w:b/>
              </w:rPr>
            </w:pPr>
            <w:r>
              <w:t>Track safety improvements, stronger reporting requirements for race day veterinarians and better capture and analysis of race injury data.</w:t>
            </w:r>
          </w:p>
        </w:tc>
      </w:tr>
    </w:tbl>
    <w:p w:rsidR="00002510" w:rsidRDefault="00002510" w:rsidP="00C2542E"/>
    <w:p w:rsidR="00FA2598" w:rsidRDefault="0007532D" w:rsidP="004B0055">
      <w:r>
        <w:t>The current main issues in the industry are summarised</w:t>
      </w:r>
      <w:r w:rsidR="000E409F">
        <w:t xml:space="preserve"> in the next sections</w:t>
      </w:r>
      <w:r>
        <w:t>.</w:t>
      </w:r>
    </w:p>
    <w:p w:rsidR="00FA2598" w:rsidRPr="004B0055" w:rsidRDefault="00FA2598" w:rsidP="004B0055"/>
    <w:p w:rsidR="00756A2B" w:rsidRDefault="00756A2B" w:rsidP="005E307C">
      <w:pPr>
        <w:pStyle w:val="Heading3"/>
        <w:rPr>
          <w:lang w:val="en-US"/>
        </w:rPr>
      </w:pPr>
      <w:bookmarkStart w:id="55" w:name="_Toc469529146"/>
      <w:bookmarkStart w:id="56" w:name="_Toc477190157"/>
      <w:r>
        <w:rPr>
          <w:lang w:val="en-US"/>
        </w:rPr>
        <w:t>1.4.1 Social license (including wastage and live baiting)</w:t>
      </w:r>
      <w:bookmarkEnd w:id="55"/>
      <w:bookmarkEnd w:id="56"/>
    </w:p>
    <w:p w:rsidR="006355FB" w:rsidRDefault="00756A2B">
      <w:pPr>
        <w:jc w:val="both"/>
        <w:rPr>
          <w:rFonts w:asciiTheme="majorHAnsi" w:hAnsiTheme="majorHAnsi" w:cs="Arial-BoldMT"/>
          <w:bCs/>
        </w:rPr>
      </w:pPr>
      <w:r w:rsidRPr="00073893">
        <w:rPr>
          <w:rFonts w:asciiTheme="majorHAnsi" w:hAnsiTheme="majorHAnsi"/>
        </w:rPr>
        <w:t xml:space="preserve">For greyhound racing </w:t>
      </w:r>
      <w:r w:rsidR="006355FB">
        <w:rPr>
          <w:rFonts w:asciiTheme="majorHAnsi" w:hAnsiTheme="majorHAnsi" w:cs="Arial-BoldMT"/>
          <w:bCs/>
        </w:rPr>
        <w:t>to exist</w:t>
      </w:r>
      <w:r w:rsidR="00C2542E">
        <w:rPr>
          <w:rFonts w:asciiTheme="majorHAnsi" w:hAnsiTheme="majorHAnsi" w:cs="Arial-BoldMT"/>
          <w:bCs/>
        </w:rPr>
        <w:t xml:space="preserve"> it requires </w:t>
      </w:r>
      <w:r w:rsidR="006355FB">
        <w:rPr>
          <w:rFonts w:asciiTheme="majorHAnsi" w:hAnsiTheme="majorHAnsi" w:cs="Arial-BoldMT"/>
          <w:bCs/>
        </w:rPr>
        <w:t xml:space="preserve">social licence from </w:t>
      </w:r>
      <w:r w:rsidRPr="00073893">
        <w:rPr>
          <w:rFonts w:asciiTheme="majorHAnsi" w:hAnsiTheme="majorHAnsi" w:cs="Arial-BoldMT"/>
          <w:bCs/>
        </w:rPr>
        <w:t>community</w:t>
      </w:r>
      <w:r w:rsidR="00A07BC6">
        <w:rPr>
          <w:rFonts w:asciiTheme="majorHAnsi" w:hAnsiTheme="majorHAnsi" w:cs="Arial-BoldMT"/>
          <w:bCs/>
        </w:rPr>
        <w:t xml:space="preserve">. </w:t>
      </w:r>
      <w:r w:rsidR="00A07BC6" w:rsidRPr="00073893">
        <w:rPr>
          <w:rFonts w:asciiTheme="majorHAnsi" w:hAnsiTheme="majorHAnsi" w:cs="Arial-BoldMT"/>
          <w:bCs/>
        </w:rPr>
        <w:t>A social licence to operate has been defined as the ‘ongoing acceptance or approval from the local community and other stakeholders’</w:t>
      </w:r>
      <w:r w:rsidR="00A07BC6" w:rsidRPr="004B0055">
        <w:rPr>
          <w:rStyle w:val="FootnoteReference"/>
          <w:rFonts w:asciiTheme="majorHAnsi" w:hAnsiTheme="majorHAnsi"/>
        </w:rPr>
        <w:footnoteReference w:id="53"/>
      </w:r>
      <w:r w:rsidR="00A07BC6">
        <w:rPr>
          <w:rFonts w:asciiTheme="majorHAnsi" w:hAnsiTheme="majorHAnsi"/>
        </w:rPr>
        <w:t xml:space="preserve">. </w:t>
      </w:r>
      <w:r w:rsidR="00A07BC6" w:rsidRPr="00073893">
        <w:rPr>
          <w:rFonts w:asciiTheme="majorHAnsi" w:hAnsiTheme="majorHAnsi" w:cs="Arial-BoldMT"/>
          <w:bCs/>
        </w:rPr>
        <w:t xml:space="preserve">The </w:t>
      </w:r>
      <w:r w:rsidR="00A07BC6" w:rsidRPr="00073893">
        <w:rPr>
          <w:rFonts w:asciiTheme="majorHAnsi" w:hAnsiTheme="majorHAnsi"/>
        </w:rPr>
        <w:t>Minister for Racing acknowledged that greyhound racing ‘operates under social licence’ and that ‘that social licence was at risk after the live baiting scandal erupted’</w:t>
      </w:r>
      <w:r w:rsidR="00A07BC6" w:rsidRPr="00073893">
        <w:rPr>
          <w:rStyle w:val="FootnoteReference"/>
          <w:rFonts w:asciiTheme="majorHAnsi" w:hAnsiTheme="majorHAnsi"/>
        </w:rPr>
        <w:footnoteReference w:id="54"/>
      </w:r>
      <w:r w:rsidR="00A07BC6" w:rsidRPr="00073893">
        <w:rPr>
          <w:rFonts w:asciiTheme="majorHAnsi" w:hAnsiTheme="majorHAnsi"/>
        </w:rPr>
        <w:t>.</w:t>
      </w:r>
      <w:r w:rsidR="007B521C">
        <w:rPr>
          <w:rFonts w:asciiTheme="majorHAnsi" w:hAnsiTheme="majorHAnsi"/>
        </w:rPr>
        <w:t xml:space="preserve"> </w:t>
      </w:r>
      <w:r w:rsidR="00A07BC6">
        <w:rPr>
          <w:rFonts w:asciiTheme="majorHAnsi" w:hAnsiTheme="majorHAnsi" w:cs="Arial-BoldMT"/>
          <w:bCs/>
        </w:rPr>
        <w:t>McHugh claims ‘L</w:t>
      </w:r>
      <w:r w:rsidR="006355FB">
        <w:rPr>
          <w:rFonts w:asciiTheme="majorHAnsi" w:hAnsiTheme="majorHAnsi" w:cs="Arial-BoldMT"/>
          <w:bCs/>
        </w:rPr>
        <w:t xml:space="preserve">oss of integrity-based trust </w:t>
      </w:r>
      <w:r w:rsidR="00A07BC6">
        <w:rPr>
          <w:rFonts w:asciiTheme="majorHAnsi" w:hAnsiTheme="majorHAnsi" w:cs="Arial-BoldMT"/>
          <w:bCs/>
        </w:rPr>
        <w:t>of</w:t>
      </w:r>
      <w:r w:rsidR="006355FB">
        <w:rPr>
          <w:rFonts w:asciiTheme="majorHAnsi" w:hAnsiTheme="majorHAnsi" w:cs="Arial-BoldMT"/>
          <w:bCs/>
        </w:rPr>
        <w:t xml:space="preserve"> the community and other stakeholders in NSW was due to the fact that the industry:</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implicitly condoned as well as caused, the unnecessary deaths of tens of thousands of health greyhounds;</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failed to demonstrate that in the future it will be able to reduce the deaths of healthy greyhounds to levels the community could tolerate;</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engaged in the barbaric practice of live baiting;</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caused and will continue to cause injuries to greyhounds that range from minor to catastrophic;</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treated greyhounds as dispensable commercial commodities;</w:t>
      </w:r>
    </w:p>
    <w:p w:rsidR="006355FB" w:rsidRPr="00FA31C9" w:rsidRDefault="006355FB"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deceived the community concerning the extent of injuries and deaths caused during race meetings;</w:t>
      </w:r>
    </w:p>
    <w:p w:rsidR="00A07BC6" w:rsidRPr="00FA31C9" w:rsidRDefault="00A07BC6"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preferred the commercial interests of the industry to the animal welfare interests of greyhounds;</w:t>
      </w:r>
    </w:p>
    <w:p w:rsidR="00A07BC6" w:rsidRPr="00FA31C9" w:rsidRDefault="00A07BC6"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 xml:space="preserve">has exported greyhounds to race </w:t>
      </w:r>
      <w:r w:rsidR="00FA2598" w:rsidRPr="00FA31C9">
        <w:rPr>
          <w:rFonts w:asciiTheme="majorHAnsi" w:hAnsiTheme="majorHAnsi" w:cs="Arial-BoldMT"/>
          <w:bCs/>
        </w:rPr>
        <w:t xml:space="preserve">in </w:t>
      </w:r>
      <w:r w:rsidRPr="00FA31C9">
        <w:rPr>
          <w:rFonts w:asciiTheme="majorHAnsi" w:hAnsiTheme="majorHAnsi" w:cs="Arial-BoldMT"/>
          <w:bCs/>
        </w:rPr>
        <w:t>places such as Macau where animal welfare sta</w:t>
      </w:r>
      <w:r w:rsidR="00FA2598" w:rsidRPr="00FA31C9">
        <w:rPr>
          <w:rFonts w:asciiTheme="majorHAnsi" w:hAnsiTheme="majorHAnsi" w:cs="Arial-BoldMT"/>
          <w:bCs/>
        </w:rPr>
        <w:t>n</w:t>
      </w:r>
      <w:r w:rsidRPr="00FA31C9">
        <w:rPr>
          <w:rFonts w:asciiTheme="majorHAnsi" w:hAnsiTheme="majorHAnsi" w:cs="Arial-BoldMT"/>
          <w:bCs/>
        </w:rPr>
        <w:t>dards are very poor; and</w:t>
      </w:r>
    </w:p>
    <w:p w:rsidR="00A07BC6" w:rsidRPr="00FA31C9" w:rsidRDefault="00A07BC6" w:rsidP="005E307C">
      <w:pPr>
        <w:pStyle w:val="ListParagraph"/>
        <w:numPr>
          <w:ilvl w:val="0"/>
          <w:numId w:val="11"/>
        </w:numPr>
        <w:ind w:left="426" w:hanging="426"/>
        <w:jc w:val="both"/>
        <w:rPr>
          <w:rFonts w:asciiTheme="majorHAnsi" w:hAnsiTheme="majorHAnsi" w:cs="Arial-BoldMT"/>
          <w:bCs/>
        </w:rPr>
      </w:pPr>
      <w:r w:rsidRPr="00FA31C9">
        <w:rPr>
          <w:rFonts w:asciiTheme="majorHAnsi" w:hAnsiTheme="majorHAnsi" w:cs="Arial-BoldMT"/>
          <w:bCs/>
        </w:rPr>
        <w:t>has ignored or failed to recognise that the industry has obligations to the community that go beyond its strictly legal obligations’.</w:t>
      </w:r>
      <w:r w:rsidRPr="00FA31C9">
        <w:rPr>
          <w:rStyle w:val="FootnoteReference"/>
        </w:rPr>
        <w:footnoteReference w:id="55"/>
      </w:r>
    </w:p>
    <w:p w:rsidR="00756A2B" w:rsidRPr="00073893" w:rsidRDefault="00756A2B" w:rsidP="00756A2B">
      <w:pPr>
        <w:jc w:val="both"/>
        <w:rPr>
          <w:rFonts w:asciiTheme="majorHAnsi" w:hAnsiTheme="majorHAnsi" w:cs="Arial-BoldMT"/>
          <w:bCs/>
        </w:rPr>
      </w:pPr>
    </w:p>
    <w:p w:rsidR="00FA31C9" w:rsidRDefault="00FA31C9">
      <w:pPr>
        <w:rPr>
          <w:b/>
          <w:i/>
          <w:color w:val="53565A"/>
          <w:lang w:val="en-US"/>
        </w:rPr>
      </w:pPr>
      <w:bookmarkStart w:id="57" w:name="_Toc477190158"/>
      <w:r>
        <w:br w:type="page"/>
      </w:r>
    </w:p>
    <w:p w:rsidR="00A07BC6" w:rsidRPr="004B0055" w:rsidRDefault="00A07BC6" w:rsidP="005E307C">
      <w:pPr>
        <w:pStyle w:val="H11italic"/>
      </w:pPr>
      <w:r w:rsidRPr="004B0055">
        <w:lastRenderedPageBreak/>
        <w:t>Wastage:</w:t>
      </w:r>
      <w:bookmarkEnd w:id="57"/>
    </w:p>
    <w:p w:rsidR="00657F7C" w:rsidRDefault="004B43DF" w:rsidP="00657F7C">
      <w:pPr>
        <w:jc w:val="both"/>
        <w:rPr>
          <w:rFonts w:asciiTheme="majorHAnsi" w:hAnsiTheme="majorHAnsi"/>
        </w:rPr>
      </w:pPr>
      <w:r>
        <w:rPr>
          <w:rFonts w:asciiTheme="majorHAnsi" w:hAnsiTheme="majorHAnsi" w:cs="Arial-BoldMT"/>
          <w:bCs/>
        </w:rPr>
        <w:t>Greyhound racing is an</w:t>
      </w:r>
      <w:r w:rsidRPr="00073893">
        <w:rPr>
          <w:rFonts w:asciiTheme="majorHAnsi" w:hAnsiTheme="majorHAnsi" w:cs="Arial-BoldMT"/>
          <w:bCs/>
        </w:rPr>
        <w:t xml:space="preserve"> asset to Victoria </w:t>
      </w:r>
      <w:r w:rsidRPr="00073893">
        <w:rPr>
          <w:rFonts w:asciiTheme="majorHAnsi" w:hAnsiTheme="majorHAnsi"/>
        </w:rPr>
        <w:t>and industry viabili</w:t>
      </w:r>
      <w:r w:rsidR="00BD486B">
        <w:rPr>
          <w:rFonts w:asciiTheme="majorHAnsi" w:hAnsiTheme="majorHAnsi"/>
        </w:rPr>
        <w:t xml:space="preserve">ty </w:t>
      </w:r>
      <w:r w:rsidR="00823880">
        <w:rPr>
          <w:rFonts w:asciiTheme="majorHAnsi" w:hAnsiTheme="majorHAnsi"/>
        </w:rPr>
        <w:t>requires</w:t>
      </w:r>
      <w:r w:rsidR="00BD486B">
        <w:rPr>
          <w:rFonts w:asciiTheme="majorHAnsi" w:hAnsiTheme="majorHAnsi"/>
        </w:rPr>
        <w:t xml:space="preserve"> an adequate number</w:t>
      </w:r>
      <w:r w:rsidRPr="00073893">
        <w:rPr>
          <w:rFonts w:asciiTheme="majorHAnsi" w:hAnsiTheme="majorHAnsi"/>
        </w:rPr>
        <w:t xml:space="preserve"> of dogs to continue the industry. </w:t>
      </w:r>
      <w:r w:rsidR="00756A2B" w:rsidRPr="00073893">
        <w:rPr>
          <w:rFonts w:asciiTheme="majorHAnsi" w:hAnsiTheme="majorHAnsi"/>
        </w:rPr>
        <w:t>A major concern in the community, that affects community assurance, and therefore risks the social licence, is ‘wastage’</w:t>
      </w:r>
      <w:r w:rsidR="00657F7C">
        <w:rPr>
          <w:rFonts w:asciiTheme="majorHAnsi" w:hAnsiTheme="majorHAnsi"/>
        </w:rPr>
        <w:t xml:space="preserve"> which comes about from the oversupply of greyhounds and the </w:t>
      </w:r>
      <w:r w:rsidR="009D1F1B">
        <w:rPr>
          <w:rFonts w:asciiTheme="majorHAnsi" w:hAnsiTheme="majorHAnsi"/>
        </w:rPr>
        <w:t xml:space="preserve">unnecessary use </w:t>
      </w:r>
      <w:r w:rsidR="00657F7C">
        <w:rPr>
          <w:rFonts w:asciiTheme="majorHAnsi" w:hAnsiTheme="majorHAnsi"/>
        </w:rPr>
        <w:t>o</w:t>
      </w:r>
      <w:r w:rsidR="009D1F1B">
        <w:rPr>
          <w:rFonts w:asciiTheme="majorHAnsi" w:hAnsiTheme="majorHAnsi"/>
        </w:rPr>
        <w:t>f</w:t>
      </w:r>
      <w:r w:rsidR="00657F7C">
        <w:rPr>
          <w:rFonts w:asciiTheme="majorHAnsi" w:hAnsiTheme="majorHAnsi"/>
        </w:rPr>
        <w:t xml:space="preserve"> euthanasia</w:t>
      </w:r>
      <w:r w:rsidR="00D71386">
        <w:rPr>
          <w:rFonts w:asciiTheme="majorHAnsi" w:hAnsiTheme="majorHAnsi"/>
        </w:rPr>
        <w:t>.</w:t>
      </w:r>
    </w:p>
    <w:p w:rsidR="00657F7C" w:rsidRDefault="00657F7C" w:rsidP="00657F7C">
      <w:pPr>
        <w:jc w:val="both"/>
        <w:rPr>
          <w:rFonts w:asciiTheme="majorHAnsi" w:hAnsiTheme="majorHAnsi"/>
        </w:rPr>
      </w:pPr>
    </w:p>
    <w:p w:rsidR="00002510" w:rsidRDefault="00657F7C" w:rsidP="00657F7C">
      <w:pPr>
        <w:jc w:val="both"/>
      </w:pPr>
      <w:r>
        <w:t>It is reported that ‘w</w:t>
      </w:r>
      <w:r w:rsidRPr="00904414">
        <w:t>astage</w:t>
      </w:r>
      <w:r>
        <w:t>’</w:t>
      </w:r>
      <w:r w:rsidRPr="00904414">
        <w:t xml:space="preserve"> is a function of the interaction between </w:t>
      </w:r>
      <w:r w:rsidRPr="00E64674">
        <w:t>over breeding of greyhounds in the pursuit of more competitive dogs and the destruction of excess greyhounds if they do not meet the competitive threshold or are no longer competitive’</w:t>
      </w:r>
      <w:r w:rsidRPr="00552099">
        <w:rPr>
          <w:rFonts w:eastAsia="MS Mincho"/>
          <w:sz w:val="21"/>
          <w:vertAlign w:val="superscript"/>
        </w:rPr>
        <w:footnoteReference w:id="56"/>
      </w:r>
      <w:r w:rsidRPr="00E64674">
        <w:t>.</w:t>
      </w:r>
      <w:r>
        <w:t xml:space="preserve"> </w:t>
      </w:r>
    </w:p>
    <w:p w:rsidR="00002510" w:rsidRDefault="00002510" w:rsidP="00657F7C">
      <w:pPr>
        <w:jc w:val="both"/>
      </w:pPr>
    </w:p>
    <w:tbl>
      <w:tblPr>
        <w:tblW w:w="0" w:type="auto"/>
        <w:tblLook w:val="04A0" w:firstRow="1" w:lastRow="0" w:firstColumn="1" w:lastColumn="0" w:noHBand="0" w:noVBand="1"/>
      </w:tblPr>
      <w:tblGrid>
        <w:gridCol w:w="8437"/>
      </w:tblGrid>
      <w:tr w:rsidR="00FA6A0B" w:rsidTr="00FA6A0B">
        <w:tc>
          <w:tcPr>
            <w:tcW w:w="8437" w:type="dxa"/>
            <w:shd w:val="clear" w:color="auto" w:fill="D9D9D9" w:themeFill="background1" w:themeFillShade="D9"/>
          </w:tcPr>
          <w:p w:rsidR="00FA6A0B" w:rsidRDefault="00FA6A0B" w:rsidP="00FA6A0B">
            <w:pPr>
              <w:rPr>
                <w:b/>
              </w:rPr>
            </w:pPr>
            <w:r>
              <w:rPr>
                <w:b/>
              </w:rPr>
              <w:t>Comment by GRV</w:t>
            </w:r>
            <w:r w:rsidRPr="00457D62">
              <w:rPr>
                <w:b/>
              </w:rPr>
              <w:t>;</w:t>
            </w:r>
          </w:p>
          <w:p w:rsidR="00FA6A0B" w:rsidRDefault="00FA6A0B" w:rsidP="00FA6A0B">
            <w:r>
              <w:t>It should also be noted that destruction becomes an issue where adequate rehoming is not achieved.</w:t>
            </w:r>
          </w:p>
        </w:tc>
      </w:tr>
    </w:tbl>
    <w:p w:rsidR="00002510" w:rsidRDefault="00002510" w:rsidP="00657F7C">
      <w:pPr>
        <w:jc w:val="both"/>
      </w:pPr>
    </w:p>
    <w:p w:rsidR="00657F7C" w:rsidRPr="0062446A" w:rsidRDefault="00657F7C" w:rsidP="00657F7C">
      <w:pPr>
        <w:jc w:val="both"/>
      </w:pPr>
      <w:r w:rsidRPr="00E64674">
        <w:rPr>
          <w:lang w:val="en-US"/>
        </w:rPr>
        <w:t xml:space="preserve">The </w:t>
      </w:r>
      <w:r w:rsidRPr="00E64674">
        <w:t xml:space="preserve">RSPCA claim many </w:t>
      </w:r>
      <w:r w:rsidRPr="00E64674">
        <w:rPr>
          <w:i/>
        </w:rPr>
        <w:t>‘unwanted greyhounds will be euthanased despite being otherwise healthy and rehomable’</w:t>
      </w:r>
      <w:r w:rsidRPr="00552099">
        <w:rPr>
          <w:rStyle w:val="FootnoteReference"/>
        </w:rPr>
        <w:footnoteReference w:id="57"/>
      </w:r>
      <w:r w:rsidRPr="00E64674">
        <w:rPr>
          <w:i/>
        </w:rPr>
        <w:t xml:space="preserve">. </w:t>
      </w:r>
      <w:r w:rsidRPr="00E64674">
        <w:t>Figures recently released in the NSW special commission states they have evidence that 40% of greyhounds born (in NSW) do not make it to the race track</w:t>
      </w:r>
      <w:r w:rsidRPr="00E64674">
        <w:rPr>
          <w:rStyle w:val="FootnoteReference"/>
        </w:rPr>
        <w:footnoteReference w:id="58"/>
      </w:r>
      <w:r w:rsidRPr="00E64674">
        <w:t>.</w:t>
      </w:r>
      <w:r w:rsidRPr="00E64674">
        <w:rPr>
          <w:lang w:val="en-US"/>
        </w:rPr>
        <w:t xml:space="preserve"> </w:t>
      </w:r>
      <w:r w:rsidRPr="00E64674">
        <w:t>Animals Australia</w:t>
      </w:r>
      <w:r w:rsidRPr="00E64674">
        <w:rPr>
          <w:rStyle w:val="FootnoteReference"/>
        </w:rPr>
        <w:footnoteReference w:id="59"/>
      </w:r>
      <w:r w:rsidRPr="00E64674">
        <w:t xml:space="preserve"> estimate that only 10% of greyhounds live out their natural lifespan of 12 </w:t>
      </w:r>
      <w:r>
        <w:t>to</w:t>
      </w:r>
      <w:r w:rsidRPr="00E64674">
        <w:t xml:space="preserve"> 14 years.</w:t>
      </w:r>
    </w:p>
    <w:p w:rsidR="00657F7C" w:rsidRDefault="00657F7C" w:rsidP="00756A2B">
      <w:pPr>
        <w:jc w:val="both"/>
        <w:rPr>
          <w:rFonts w:asciiTheme="majorHAnsi" w:hAnsiTheme="majorHAnsi"/>
        </w:rPr>
      </w:pPr>
    </w:p>
    <w:p w:rsidR="007C5FC6" w:rsidRDefault="00F02A55">
      <w:pPr>
        <w:jc w:val="both"/>
        <w:rPr>
          <w:rFonts w:asciiTheme="majorHAnsi" w:hAnsiTheme="majorHAnsi"/>
        </w:rPr>
      </w:pPr>
      <w:r>
        <w:rPr>
          <w:rFonts w:asciiTheme="majorHAnsi" w:hAnsiTheme="majorHAnsi"/>
        </w:rPr>
        <w:t>H</w:t>
      </w:r>
      <w:r w:rsidRPr="00073893">
        <w:rPr>
          <w:rFonts w:asciiTheme="majorHAnsi" w:hAnsiTheme="majorHAnsi"/>
        </w:rPr>
        <w:t xml:space="preserve">igh </w:t>
      </w:r>
      <w:r w:rsidR="00756A2B" w:rsidRPr="00073893">
        <w:rPr>
          <w:rFonts w:asciiTheme="majorHAnsi" w:hAnsiTheme="majorHAnsi"/>
        </w:rPr>
        <w:t xml:space="preserve">wastage increases the risk of </w:t>
      </w:r>
      <w:r>
        <w:rPr>
          <w:rFonts w:asciiTheme="majorHAnsi" w:hAnsiTheme="majorHAnsi"/>
        </w:rPr>
        <w:t xml:space="preserve">a </w:t>
      </w:r>
      <w:r w:rsidR="00756A2B" w:rsidRPr="00073893">
        <w:rPr>
          <w:rFonts w:asciiTheme="majorHAnsi" w:hAnsiTheme="majorHAnsi"/>
        </w:rPr>
        <w:t>socie</w:t>
      </w:r>
      <w:r>
        <w:rPr>
          <w:rFonts w:asciiTheme="majorHAnsi" w:hAnsiTheme="majorHAnsi"/>
        </w:rPr>
        <w:t>tal</w:t>
      </w:r>
      <w:r w:rsidR="00756A2B" w:rsidRPr="00073893">
        <w:rPr>
          <w:rFonts w:asciiTheme="majorHAnsi" w:hAnsiTheme="majorHAnsi"/>
        </w:rPr>
        <w:t xml:space="preserve"> backlash, decaying the social licence to operate.</w:t>
      </w:r>
      <w:r w:rsidR="007B521C">
        <w:rPr>
          <w:rFonts w:asciiTheme="majorHAnsi" w:hAnsiTheme="majorHAnsi"/>
        </w:rPr>
        <w:t xml:space="preserve"> </w:t>
      </w:r>
      <w:r w:rsidR="00756A2B" w:rsidRPr="00073893">
        <w:rPr>
          <w:rFonts w:asciiTheme="majorHAnsi" w:hAnsiTheme="majorHAnsi"/>
        </w:rPr>
        <w:t>The</w:t>
      </w:r>
      <w:r w:rsidR="00756A2B">
        <w:rPr>
          <w:rFonts w:asciiTheme="majorHAnsi" w:hAnsiTheme="majorHAnsi"/>
        </w:rPr>
        <w:t xml:space="preserve"> Queensland</w:t>
      </w:r>
      <w:r w:rsidR="00756A2B" w:rsidRPr="00073893">
        <w:rPr>
          <w:rFonts w:asciiTheme="majorHAnsi" w:hAnsiTheme="majorHAnsi"/>
        </w:rPr>
        <w:t xml:space="preserve"> Office of </w:t>
      </w:r>
      <w:r w:rsidR="00756A2B">
        <w:rPr>
          <w:rFonts w:asciiTheme="majorHAnsi" w:hAnsiTheme="majorHAnsi"/>
        </w:rPr>
        <w:t xml:space="preserve">Racing Regulation </w:t>
      </w:r>
      <w:r w:rsidR="00A07BC6">
        <w:rPr>
          <w:rFonts w:asciiTheme="majorHAnsi" w:hAnsiTheme="majorHAnsi"/>
        </w:rPr>
        <w:t>recognised that greyhounds have a short racing career and that there are also greyhounds that never make it to track</w:t>
      </w:r>
      <w:r w:rsidR="0027521F">
        <w:rPr>
          <w:rFonts w:asciiTheme="majorHAnsi" w:hAnsiTheme="majorHAnsi"/>
        </w:rPr>
        <w:t>, and s</w:t>
      </w:r>
      <w:r w:rsidR="007C5FC6">
        <w:rPr>
          <w:rFonts w:asciiTheme="majorHAnsi" w:hAnsiTheme="majorHAnsi"/>
        </w:rPr>
        <w:t>o</w:t>
      </w:r>
      <w:r w:rsidR="0027521F">
        <w:rPr>
          <w:rFonts w:asciiTheme="majorHAnsi" w:hAnsiTheme="majorHAnsi"/>
        </w:rPr>
        <w:t xml:space="preserve"> the</w:t>
      </w:r>
      <w:r w:rsidR="007C5FC6">
        <w:rPr>
          <w:rFonts w:asciiTheme="majorHAnsi" w:hAnsiTheme="majorHAnsi"/>
        </w:rPr>
        <w:t>re is a</w:t>
      </w:r>
      <w:r w:rsidR="0027521F">
        <w:rPr>
          <w:rFonts w:asciiTheme="majorHAnsi" w:hAnsiTheme="majorHAnsi"/>
        </w:rPr>
        <w:t xml:space="preserve"> reality that many animals are being euthanased despite being perfectly healthy</w:t>
      </w:r>
      <w:r w:rsidR="0027521F" w:rsidRPr="00073893">
        <w:rPr>
          <w:rStyle w:val="FootnoteReference"/>
          <w:rFonts w:asciiTheme="majorHAnsi" w:eastAsia="Times New Roman" w:hAnsiTheme="majorHAnsi" w:cs="Times New Roman"/>
          <w:sz w:val="20"/>
          <w:szCs w:val="24"/>
          <w:lang w:val="en-US"/>
        </w:rPr>
        <w:footnoteReference w:id="60"/>
      </w:r>
      <w:r w:rsidR="0027521F">
        <w:rPr>
          <w:rFonts w:asciiTheme="majorHAnsi" w:hAnsiTheme="majorHAnsi"/>
        </w:rPr>
        <w:t>.</w:t>
      </w:r>
      <w:r w:rsidR="007C5FC6">
        <w:rPr>
          <w:rFonts w:asciiTheme="majorHAnsi" w:hAnsiTheme="majorHAnsi"/>
        </w:rPr>
        <w:t xml:space="preserve"> </w:t>
      </w:r>
    </w:p>
    <w:p w:rsidR="007C5FC6" w:rsidRDefault="007C5FC6">
      <w:pPr>
        <w:jc w:val="both"/>
        <w:rPr>
          <w:rFonts w:asciiTheme="majorHAnsi" w:hAnsiTheme="majorHAnsi"/>
        </w:rPr>
      </w:pPr>
    </w:p>
    <w:p w:rsidR="00756A2B" w:rsidRDefault="009D44E8">
      <w:pPr>
        <w:jc w:val="both"/>
        <w:rPr>
          <w:rFonts w:asciiTheme="majorHAnsi" w:hAnsiTheme="majorHAnsi"/>
        </w:rPr>
      </w:pPr>
      <w:r>
        <w:rPr>
          <w:rFonts w:asciiTheme="majorHAnsi" w:hAnsiTheme="majorHAnsi"/>
          <w:lang w:val="en-US"/>
        </w:rPr>
        <w:t>Furthermore,</w:t>
      </w:r>
      <w:r w:rsidR="00756A2B" w:rsidRPr="00073893">
        <w:rPr>
          <w:rFonts w:asciiTheme="majorHAnsi" w:hAnsiTheme="majorHAnsi"/>
          <w:lang w:val="en-US"/>
        </w:rPr>
        <w:t xml:space="preserve"> on 7 July this year the Premier of NSW announced the shutdown of greyhound racing in NSW believing that the industry had lost its ‘social </w:t>
      </w:r>
      <w:r w:rsidR="00654F95" w:rsidRPr="00073893">
        <w:rPr>
          <w:rFonts w:asciiTheme="majorHAnsi" w:hAnsiTheme="majorHAnsi"/>
          <w:lang w:val="en-US"/>
        </w:rPr>
        <w:t>license</w:t>
      </w:r>
      <w:r w:rsidR="00756A2B" w:rsidRPr="00073893">
        <w:rPr>
          <w:rFonts w:asciiTheme="majorHAnsi" w:hAnsiTheme="majorHAnsi"/>
          <w:lang w:val="en-US"/>
        </w:rPr>
        <w:t>’, citing the massive killing of greyhounds (through wastage) as one of the reasons for the shutdown</w:t>
      </w:r>
      <w:r w:rsidR="00756A2B" w:rsidRPr="00073893">
        <w:rPr>
          <w:rStyle w:val="FootnoteReference"/>
          <w:rFonts w:asciiTheme="majorHAnsi" w:eastAsia="Times New Roman" w:hAnsiTheme="majorHAnsi" w:cs="Times New Roman"/>
          <w:sz w:val="20"/>
          <w:szCs w:val="24"/>
          <w:lang w:val="en-US"/>
        </w:rPr>
        <w:footnoteReference w:id="61"/>
      </w:r>
      <w:r w:rsidR="00DD0F7D">
        <w:t xml:space="preserve"> notwithstanding plans officially signed off on by Cabinet Ministers on 10</w:t>
      </w:r>
      <w:r w:rsidR="00DD0F7D">
        <w:rPr>
          <w:vertAlign w:val="superscript"/>
        </w:rPr>
        <w:t xml:space="preserve"> </w:t>
      </w:r>
      <w:r w:rsidR="00DD0F7D">
        <w:t xml:space="preserve">October to </w:t>
      </w:r>
      <w:r w:rsidR="00DD0F7D" w:rsidRPr="00DD0F7D">
        <w:t>reverse this decision</w:t>
      </w:r>
      <w:r w:rsidR="00DD0F7D">
        <w:t>.</w:t>
      </w:r>
      <w:r w:rsidR="00DD0F7D">
        <w:rPr>
          <w:rStyle w:val="FootnoteReference"/>
        </w:rPr>
        <w:footnoteReference w:id="62"/>
      </w:r>
    </w:p>
    <w:p w:rsidR="00756A2B" w:rsidRDefault="00756A2B">
      <w:pPr>
        <w:jc w:val="both"/>
        <w:rPr>
          <w:rFonts w:asciiTheme="majorHAnsi" w:hAnsiTheme="majorHAnsi"/>
        </w:rPr>
      </w:pPr>
    </w:p>
    <w:p w:rsidR="00502145" w:rsidRDefault="00756A2B">
      <w:pPr>
        <w:jc w:val="both"/>
      </w:pPr>
      <w:r w:rsidRPr="00073893">
        <w:rPr>
          <w:rFonts w:asciiTheme="majorHAnsi" w:hAnsiTheme="majorHAnsi"/>
          <w:lang w:val="en-US"/>
        </w:rPr>
        <w:t xml:space="preserve">Wastage has also been an issue in the UK where it has been noted that, </w:t>
      </w:r>
      <w:r w:rsidRPr="00073893">
        <w:rPr>
          <w:rFonts w:asciiTheme="majorHAnsi" w:hAnsiTheme="majorHAnsi"/>
          <w:i/>
          <w:lang w:val="en-US"/>
        </w:rPr>
        <w:t>‘reducing the number of puppies bred each year then should be a continued priority to secure the long term sustainability of the industry, as well as animal welfare.’</w:t>
      </w:r>
      <w:r w:rsidRPr="004B0055">
        <w:rPr>
          <w:rStyle w:val="FootnoteReference"/>
          <w:rFonts w:asciiTheme="majorHAnsi" w:hAnsiTheme="majorHAnsi"/>
          <w:lang w:val="en-US"/>
        </w:rPr>
        <w:footnoteReference w:id="63"/>
      </w:r>
      <w:r w:rsidR="00DD0F7D">
        <w:rPr>
          <w:rFonts w:asciiTheme="majorHAnsi" w:hAnsiTheme="majorHAnsi"/>
          <w:i/>
          <w:lang w:val="en-US"/>
        </w:rPr>
        <w:t xml:space="preserve"> </w:t>
      </w:r>
      <w:r w:rsidR="000A611C">
        <w:t>F</w:t>
      </w:r>
      <w:r w:rsidR="00657F7C">
        <w:t xml:space="preserve">or </w:t>
      </w:r>
      <w:r w:rsidR="00502145">
        <w:t>a society that values dogs and sees them as a family member, euthanasia of healthy animals is distasteful</w:t>
      </w:r>
      <w:r w:rsidR="000A611C">
        <w:t>.</w:t>
      </w:r>
      <w:r w:rsidR="007B521C">
        <w:t xml:space="preserve"> </w:t>
      </w:r>
      <w:r w:rsidR="00657F7C">
        <w:t>In this sense, the e</w:t>
      </w:r>
      <w:r w:rsidR="007C19E1">
        <w:t xml:space="preserve">uthanasia of </w:t>
      </w:r>
      <w:r w:rsidR="00657F7C">
        <w:t>greyhounds where there is oversupply</w:t>
      </w:r>
      <w:r w:rsidR="007C19E1">
        <w:t xml:space="preserve"> </w:t>
      </w:r>
      <w:r w:rsidR="00502145">
        <w:t xml:space="preserve">has a severe effect on the industry’s social licence. </w:t>
      </w:r>
    </w:p>
    <w:p w:rsidR="00502145" w:rsidRDefault="00502145" w:rsidP="00502145">
      <w:pPr>
        <w:pStyle w:val="ListParagraph"/>
        <w:ind w:left="0"/>
        <w:jc w:val="both"/>
      </w:pPr>
    </w:p>
    <w:p w:rsidR="00FA31C9" w:rsidRDefault="00FA31C9">
      <w:r>
        <w:br w:type="page"/>
      </w:r>
    </w:p>
    <w:p w:rsidR="004F4949" w:rsidRDefault="0050711D" w:rsidP="0050711D">
      <w:pPr>
        <w:pStyle w:val="ListParagraph"/>
        <w:ind w:left="0"/>
        <w:jc w:val="both"/>
      </w:pPr>
      <w:r>
        <w:lastRenderedPageBreak/>
        <w:t>Euthanasia is distasteful and not supported</w:t>
      </w:r>
      <w:r w:rsidR="00657F7C">
        <w:t>,</w:t>
      </w:r>
      <w:r>
        <w:t xml:space="preserve"> however in some cases the alternative (life for the animal) may be worse. An alternative for </w:t>
      </w:r>
      <w:r w:rsidR="00B17D58">
        <w:t>a</w:t>
      </w:r>
      <w:r>
        <w:t xml:space="preserve"> greyhound living with painful extended health outcomes, or a life of confinement, or being shipped overseas to a disreputable </w:t>
      </w:r>
      <w:r w:rsidR="00823880">
        <w:t xml:space="preserve">destination </w:t>
      </w:r>
      <w:r>
        <w:t>is a very poor quality of life.</w:t>
      </w:r>
      <w:r w:rsidR="004F4949">
        <w:t xml:space="preserve"> Any in-humane method of killing an animal is cruel and illegal and prohibited under POCTA.</w:t>
      </w:r>
    </w:p>
    <w:p w:rsidR="0050711D" w:rsidRDefault="0050711D" w:rsidP="005E307C"/>
    <w:p w:rsidR="00EA6663" w:rsidRDefault="00EA6663">
      <w:pPr>
        <w:jc w:val="both"/>
      </w:pPr>
      <w:r>
        <w:t>As well as initiatives which have significantly reduced breeding numbers, u</w:t>
      </w:r>
      <w:r w:rsidR="00BE709A" w:rsidRPr="000043B9">
        <w:t xml:space="preserve">nder local rules </w:t>
      </w:r>
      <w:r w:rsidR="00BE709A">
        <w:t xml:space="preserve">the </w:t>
      </w:r>
      <w:r w:rsidR="00BE709A" w:rsidRPr="000043B9">
        <w:t xml:space="preserve">owner must notify GRV </w:t>
      </w:r>
      <w:r w:rsidR="00657F7C">
        <w:t xml:space="preserve">at least 14 days </w:t>
      </w:r>
      <w:r w:rsidR="00657F7C" w:rsidRPr="000043B9">
        <w:t xml:space="preserve">prior </w:t>
      </w:r>
      <w:r w:rsidR="00BE709A" w:rsidRPr="000043B9">
        <w:t>if</w:t>
      </w:r>
      <w:r w:rsidR="009D1F1B">
        <w:t>, in certain circumstances,</w:t>
      </w:r>
      <w:r w:rsidR="00BE709A" w:rsidRPr="000043B9">
        <w:t xml:space="preserve"> an animal is being euthan</w:t>
      </w:r>
      <w:r w:rsidR="00B17D58">
        <w:t>a</w:t>
      </w:r>
      <w:r w:rsidR="00BE709A" w:rsidRPr="000043B9">
        <w:t>sed for non-medical reasons where dogs do not have behavioural concerns or stress</w:t>
      </w:r>
      <w:r w:rsidR="00657F7C">
        <w:t>.</w:t>
      </w:r>
      <w:r w:rsidR="00BE709A" w:rsidRPr="000043B9">
        <w:t xml:space="preserve"> </w:t>
      </w:r>
      <w:r w:rsidR="00657F7C">
        <w:t xml:space="preserve">Furthermore, </w:t>
      </w:r>
      <w:r w:rsidR="00BE709A">
        <w:t xml:space="preserve">there are </w:t>
      </w:r>
      <w:r w:rsidR="00BE709A" w:rsidRPr="000043B9">
        <w:t>strict co</w:t>
      </w:r>
      <w:r w:rsidR="00BE709A">
        <w:t xml:space="preserve">ntrols on who may do it and how under regulation. </w:t>
      </w:r>
    </w:p>
    <w:p w:rsidR="00EA6663" w:rsidRDefault="00EA6663">
      <w:pPr>
        <w:jc w:val="both"/>
      </w:pPr>
    </w:p>
    <w:p w:rsidR="00E00F6D" w:rsidRDefault="00EA6663">
      <w:pPr>
        <w:jc w:val="both"/>
      </w:pPr>
      <w:r>
        <w:t xml:space="preserve">While </w:t>
      </w:r>
      <w:r w:rsidR="001C0BDB">
        <w:t xml:space="preserve">GRV is currently reviewing these </w:t>
      </w:r>
      <w:r>
        <w:t xml:space="preserve">rules </w:t>
      </w:r>
      <w:r w:rsidR="001C0BDB">
        <w:t xml:space="preserve">(which </w:t>
      </w:r>
      <w:r>
        <w:t>are to be strengthened</w:t>
      </w:r>
      <w:r w:rsidR="001C0BDB">
        <w:t>)</w:t>
      </w:r>
      <w:r>
        <w:t xml:space="preserve">, </w:t>
      </w:r>
      <w:r w:rsidR="001C0BDB">
        <w:t xml:space="preserve">in certain situations where euthanasia is being contemplated </w:t>
      </w:r>
      <w:r>
        <w:t xml:space="preserve">this </w:t>
      </w:r>
      <w:r w:rsidR="00BE709A">
        <w:t>g</w:t>
      </w:r>
      <w:r w:rsidR="00BE709A" w:rsidRPr="000043B9">
        <w:t>ives</w:t>
      </w:r>
      <w:r w:rsidR="00BE709A">
        <w:t xml:space="preserve"> a</w:t>
      </w:r>
      <w:r w:rsidR="00BE709A" w:rsidRPr="000043B9">
        <w:t xml:space="preserve"> chance for GRV to intervene to find alternative to euthanasia if possible.</w:t>
      </w:r>
      <w:r w:rsidR="007B521C">
        <w:t xml:space="preserve"> </w:t>
      </w:r>
      <w:r w:rsidR="00AB4745">
        <w:t>Whilst</w:t>
      </w:r>
      <w:r w:rsidR="00411133">
        <w:t xml:space="preserve"> this does not frequently occur this provides an opportunity for GRV to recommend rehoming and rehabilitation through GAP</w:t>
      </w:r>
      <w:r w:rsidR="001C0BDB">
        <w:t>.</w:t>
      </w:r>
      <w:r w:rsidR="007B521C">
        <w:t xml:space="preserve"> </w:t>
      </w:r>
      <w:r w:rsidR="001C0BDB">
        <w:t xml:space="preserve">GRV also </w:t>
      </w:r>
      <w:r w:rsidR="00411133" w:rsidRPr="00041678">
        <w:rPr>
          <w:i/>
        </w:rPr>
        <w:t>identif</w:t>
      </w:r>
      <w:r w:rsidR="001C0BDB">
        <w:rPr>
          <w:i/>
        </w:rPr>
        <w:t xml:space="preserve">ies </w:t>
      </w:r>
      <w:r w:rsidR="00411133">
        <w:t>who is euthanasing dogs without a V</w:t>
      </w:r>
      <w:r w:rsidR="003B3E70">
        <w:t>eterinary</w:t>
      </w:r>
      <w:r w:rsidR="00411133">
        <w:t xml:space="preserve"> certificate</w:t>
      </w:r>
      <w:r w:rsidR="00110E9A">
        <w:t xml:space="preserve"> </w:t>
      </w:r>
      <w:r w:rsidR="003B3E70">
        <w:t>when following up on dogs that have been inactive for 6 months</w:t>
      </w:r>
      <w:r w:rsidR="00411133">
        <w:t>.</w:t>
      </w:r>
      <w:r w:rsidR="007B521C">
        <w:t xml:space="preserve"> </w:t>
      </w:r>
      <w:r w:rsidR="00657F7C">
        <w:t>In 2015/16 there were 3,012</w:t>
      </w:r>
      <w:r w:rsidR="003C5BD9">
        <w:t xml:space="preserve"> dogs euthanased with a Veterinary certificate.</w:t>
      </w:r>
      <w:r w:rsidR="00D71386">
        <w:t xml:space="preserve"> </w:t>
      </w:r>
    </w:p>
    <w:p w:rsidR="00E00F6D" w:rsidRDefault="00E00F6D">
      <w:pPr>
        <w:jc w:val="both"/>
      </w:pPr>
    </w:p>
    <w:p w:rsidR="00657F7C" w:rsidRDefault="00BE709A">
      <w:pPr>
        <w:jc w:val="both"/>
        <w:rPr>
          <w:rFonts w:cs="Arial-BoldMT"/>
          <w:bCs/>
        </w:rPr>
      </w:pPr>
      <w:r>
        <w:t>However not withstanding this, there are still s</w:t>
      </w:r>
      <w:r w:rsidRPr="000043B9">
        <w:t xml:space="preserve">ome cases where </w:t>
      </w:r>
      <w:r w:rsidRPr="007046FB">
        <w:rPr>
          <w:i/>
        </w:rPr>
        <w:t>wastage is a welfare issue</w:t>
      </w:r>
      <w:r w:rsidRPr="000043B9">
        <w:t xml:space="preserve"> because </w:t>
      </w:r>
      <w:r>
        <w:t xml:space="preserve">it is </w:t>
      </w:r>
      <w:r w:rsidRPr="000043B9">
        <w:t>not managed well (i.e. dogs inhumanely euthanased).</w:t>
      </w:r>
      <w:r w:rsidR="007B521C">
        <w:t xml:space="preserve"> </w:t>
      </w:r>
      <w:r w:rsidR="00E00F6D">
        <w:rPr>
          <w:rFonts w:cs="Arial-BoldMT"/>
          <w:bCs/>
        </w:rPr>
        <w:t>The extent of such occurrences is likely to be small in Victoria</w:t>
      </w:r>
      <w:r w:rsidR="00A550C1">
        <w:rPr>
          <w:rFonts w:cs="Arial-BoldMT"/>
          <w:bCs/>
        </w:rPr>
        <w:t xml:space="preserve"> and is a subset of the </w:t>
      </w:r>
      <w:r w:rsidR="00F3291A" w:rsidRPr="00F3291A">
        <w:rPr>
          <w:rFonts w:cs="Arial-BoldMT"/>
          <w:bCs/>
        </w:rPr>
        <w:t>‘</w:t>
      </w:r>
      <w:r w:rsidR="00AD7113">
        <w:rPr>
          <w:rFonts w:cs="Arial-BoldMT"/>
          <w:bCs/>
        </w:rPr>
        <w:t xml:space="preserve">other’ category </w:t>
      </w:r>
      <w:r w:rsidR="00A550C1">
        <w:rPr>
          <w:rFonts w:cs="Arial-BoldMT"/>
          <w:bCs/>
        </w:rPr>
        <w:t>for retirement</w:t>
      </w:r>
      <w:r w:rsidR="00AD7113">
        <w:rPr>
          <w:rFonts w:cs="Arial-BoldMT"/>
          <w:bCs/>
        </w:rPr>
        <w:t xml:space="preserve"> defined as “r</w:t>
      </w:r>
      <w:r w:rsidR="00F3291A" w:rsidRPr="00F3291A">
        <w:rPr>
          <w:rFonts w:cs="Arial-BoldMT"/>
          <w:bCs/>
        </w:rPr>
        <w:t xml:space="preserve">eason not specified/error in reporting by participant/death by natural causes” </w:t>
      </w:r>
      <w:r w:rsidR="00A550C1">
        <w:rPr>
          <w:rFonts w:cs="Arial-BoldMT"/>
          <w:bCs/>
        </w:rPr>
        <w:t xml:space="preserve">(i.e. a subset of 336 dogs in 2016-17 </w:t>
      </w:r>
      <w:r w:rsidR="00AD7113">
        <w:rPr>
          <w:rFonts w:cs="Arial-BoldMT"/>
          <w:bCs/>
        </w:rPr>
        <w:t>(see</w:t>
      </w:r>
      <w:r w:rsidR="00A550C1">
        <w:rPr>
          <w:rFonts w:cs="Arial-BoldMT"/>
          <w:bCs/>
        </w:rPr>
        <w:t xml:space="preserve"> Table 7))</w:t>
      </w:r>
      <w:r w:rsidR="00F3291A" w:rsidRPr="00F3291A">
        <w:rPr>
          <w:rFonts w:cs="Arial-BoldMT"/>
          <w:bCs/>
        </w:rPr>
        <w:t>.</w:t>
      </w:r>
      <w:r w:rsidR="007B521C">
        <w:rPr>
          <w:rFonts w:cs="Arial-BoldMT"/>
          <w:bCs/>
        </w:rPr>
        <w:t xml:space="preserve"> </w:t>
      </w:r>
      <w:r w:rsidR="00F3291A" w:rsidRPr="00F3291A">
        <w:rPr>
          <w:rFonts w:cs="Arial-BoldMT"/>
          <w:bCs/>
        </w:rPr>
        <w:t>This is likely to be a small subset however</w:t>
      </w:r>
      <w:r w:rsidR="00A550C1">
        <w:rPr>
          <w:rFonts w:cs="Arial-BoldMT"/>
          <w:bCs/>
        </w:rPr>
        <w:t>,</w:t>
      </w:r>
      <w:r w:rsidR="00F3291A" w:rsidRPr="00F3291A">
        <w:rPr>
          <w:rFonts w:cs="Arial-BoldMT"/>
          <w:bCs/>
        </w:rPr>
        <w:t xml:space="preserve"> </w:t>
      </w:r>
      <w:r w:rsidR="003B3E70">
        <w:rPr>
          <w:rFonts w:cs="Arial-BoldMT"/>
          <w:bCs/>
        </w:rPr>
        <w:t xml:space="preserve">due to </w:t>
      </w:r>
      <w:r w:rsidR="00F3291A" w:rsidRPr="00F3291A">
        <w:rPr>
          <w:rFonts w:cs="Arial-BoldMT"/>
          <w:bCs/>
        </w:rPr>
        <w:t>the follow up process</w:t>
      </w:r>
      <w:r w:rsidR="003B3E70">
        <w:rPr>
          <w:rFonts w:cs="Arial-BoldMT"/>
          <w:bCs/>
        </w:rPr>
        <w:t xml:space="preserve"> employed by GRV</w:t>
      </w:r>
      <w:r w:rsidR="00F3291A" w:rsidRPr="00F3291A">
        <w:rPr>
          <w:rFonts w:cs="Arial-BoldMT"/>
          <w:bCs/>
        </w:rPr>
        <w:t xml:space="preserve"> whe</w:t>
      </w:r>
      <w:r w:rsidR="003B3E70">
        <w:rPr>
          <w:rFonts w:cs="Arial-BoldMT"/>
          <w:bCs/>
        </w:rPr>
        <w:t>re</w:t>
      </w:r>
      <w:r w:rsidR="00F3291A" w:rsidRPr="00F3291A">
        <w:rPr>
          <w:rFonts w:cs="Arial-BoldMT"/>
          <w:bCs/>
        </w:rPr>
        <w:t xml:space="preserve"> a greyhound has been</w:t>
      </w:r>
      <w:r w:rsidR="007110D4">
        <w:rPr>
          <w:rFonts w:cs="Arial-BoldMT"/>
          <w:bCs/>
        </w:rPr>
        <w:t xml:space="preserve"> flagged as being</w:t>
      </w:r>
      <w:r w:rsidR="00F3291A" w:rsidRPr="00F3291A">
        <w:rPr>
          <w:rFonts w:cs="Arial-BoldMT"/>
          <w:bCs/>
        </w:rPr>
        <w:t xml:space="preserve"> inactive for a</w:t>
      </w:r>
      <w:r w:rsidR="007110D4">
        <w:rPr>
          <w:rFonts w:cs="Arial-BoldMT"/>
          <w:bCs/>
        </w:rPr>
        <w:t xml:space="preserve"> six month</w:t>
      </w:r>
      <w:r w:rsidR="00F3291A" w:rsidRPr="00F3291A">
        <w:rPr>
          <w:rFonts w:cs="Arial-BoldMT"/>
          <w:bCs/>
        </w:rPr>
        <w:t xml:space="preserve"> period</w:t>
      </w:r>
      <w:r w:rsidR="007110D4">
        <w:rPr>
          <w:rFonts w:cs="Arial-BoldMT"/>
          <w:bCs/>
        </w:rPr>
        <w:t>.</w:t>
      </w:r>
      <w:r w:rsidR="007B521C">
        <w:rPr>
          <w:rFonts w:cs="Arial-BoldMT"/>
          <w:bCs/>
        </w:rPr>
        <w:t xml:space="preserve"> </w:t>
      </w:r>
      <w:r w:rsidR="00E00F6D">
        <w:rPr>
          <w:rFonts w:cs="Arial-BoldMT"/>
          <w:bCs/>
        </w:rPr>
        <w:t xml:space="preserve">This process has been going on for two years </w:t>
      </w:r>
      <w:r w:rsidR="00A550C1">
        <w:t>and follow up is currently undertaken by phone</w:t>
      </w:r>
      <w:r w:rsidR="007110D4">
        <w:t>.</w:t>
      </w:r>
      <w:r w:rsidR="00A550C1">
        <w:t xml:space="preserve"> </w:t>
      </w:r>
      <w:r w:rsidR="007110D4">
        <w:t>GRV</w:t>
      </w:r>
      <w:r w:rsidR="00A550C1">
        <w:t xml:space="preserve"> determine what has happened to a dog, and if it has been euthanased without a V</w:t>
      </w:r>
      <w:r w:rsidR="007110D4">
        <w:t>eterinary</w:t>
      </w:r>
      <w:r w:rsidR="00A550C1">
        <w:t xml:space="preserve"> certificate the owner will be fined and disqualified from participation under the Local Rules. It is intended that the process of follow up will be</w:t>
      </w:r>
      <w:r w:rsidR="007110D4">
        <w:t>come</w:t>
      </w:r>
      <w:r w:rsidR="00A550C1">
        <w:t xml:space="preserve"> more routin</w:t>
      </w:r>
      <w:r w:rsidR="007110D4">
        <w:t>e</w:t>
      </w:r>
      <w:r w:rsidR="00A550C1">
        <w:t xml:space="preserve"> and</w:t>
      </w:r>
      <w:r w:rsidR="007110D4">
        <w:t xml:space="preserve"> be</w:t>
      </w:r>
      <w:r w:rsidR="00A550C1">
        <w:t xml:space="preserve"> monitored electronically through a web based login rather than manually by phone in future</w:t>
      </w:r>
      <w:r w:rsidR="00E00F6D">
        <w:rPr>
          <w:rFonts w:cs="Arial-BoldMT"/>
          <w:bCs/>
        </w:rPr>
        <w:t>.</w:t>
      </w:r>
    </w:p>
    <w:p w:rsidR="00D71386" w:rsidRDefault="00D71386">
      <w:pPr>
        <w:jc w:val="both"/>
        <w:rPr>
          <w:rFonts w:cs="Arial-BoldMT"/>
          <w:bCs/>
        </w:rPr>
      </w:pPr>
    </w:p>
    <w:tbl>
      <w:tblPr>
        <w:tblW w:w="0" w:type="auto"/>
        <w:tblLook w:val="04A0" w:firstRow="1" w:lastRow="0" w:firstColumn="1" w:lastColumn="0" w:noHBand="0" w:noVBand="1"/>
      </w:tblPr>
      <w:tblGrid>
        <w:gridCol w:w="8437"/>
      </w:tblGrid>
      <w:tr w:rsidR="00D71386" w:rsidTr="00E552AE">
        <w:tc>
          <w:tcPr>
            <w:tcW w:w="8437" w:type="dxa"/>
            <w:shd w:val="clear" w:color="auto" w:fill="D9D9D9" w:themeFill="background1" w:themeFillShade="D9"/>
          </w:tcPr>
          <w:p w:rsidR="00D71386" w:rsidRPr="00F02A55" w:rsidRDefault="00F02A55" w:rsidP="00417B3F">
            <w:pPr>
              <w:rPr>
                <w:rFonts w:cs="Arial-BoldMT"/>
                <w:b/>
                <w:bCs/>
              </w:rPr>
            </w:pPr>
            <w:r>
              <w:rPr>
                <w:rFonts w:cs="Arial-BoldMT"/>
                <w:b/>
                <w:bCs/>
              </w:rPr>
              <w:t>Comment by GRV</w:t>
            </w:r>
            <w:r w:rsidR="00D71386">
              <w:rPr>
                <w:rFonts w:cs="Arial-BoldMT"/>
                <w:b/>
                <w:bCs/>
              </w:rPr>
              <w:t>;</w:t>
            </w:r>
          </w:p>
          <w:p w:rsidR="00D71386" w:rsidRDefault="00D71386" w:rsidP="00D71386">
            <w:pPr>
              <w:jc w:val="both"/>
              <w:rPr>
                <w:rFonts w:cs="Arial-BoldMT"/>
                <w:bCs/>
              </w:rPr>
            </w:pPr>
            <w:r>
              <w:rPr>
                <w:rFonts w:cs="Arial-BoldMT"/>
                <w:bCs/>
              </w:rPr>
              <w:t xml:space="preserve">GRV has delivered and continues to deliver significant programs of work aimed at reducing unnecessary euthanasia, noting the significant decrease in pups bred and whelped in the 2015-2016 financial year. </w:t>
            </w:r>
          </w:p>
          <w:p w:rsidR="00D71386" w:rsidRDefault="00D71386" w:rsidP="00D71386">
            <w:pPr>
              <w:jc w:val="both"/>
              <w:rPr>
                <w:rFonts w:cs="Arial-BoldMT"/>
                <w:bCs/>
              </w:rPr>
            </w:pPr>
          </w:p>
          <w:p w:rsidR="00D71386" w:rsidRPr="00525EA1" w:rsidRDefault="00D71386" w:rsidP="00D71386">
            <w:pPr>
              <w:jc w:val="both"/>
              <w:rPr>
                <w:rFonts w:cs="Arial-BoldMT"/>
                <w:bCs/>
              </w:rPr>
            </w:pPr>
            <w:r w:rsidRPr="00525EA1">
              <w:rPr>
                <w:rFonts w:cs="Arial-BoldMT"/>
                <w:bCs/>
              </w:rPr>
              <w:t xml:space="preserve">The </w:t>
            </w:r>
            <w:r>
              <w:rPr>
                <w:rFonts w:cs="Arial-BoldMT"/>
                <w:bCs/>
              </w:rPr>
              <w:t xml:space="preserve">proposed </w:t>
            </w:r>
            <w:r w:rsidRPr="00525EA1">
              <w:rPr>
                <w:rFonts w:cs="Arial-BoldMT"/>
                <w:bCs/>
              </w:rPr>
              <w:t>tightening of rules regarding euthanasia notification periods is one example of the important proactive work GRV is undertaking to reduce euthanasia. The extension of the notification period provides GRV with more time to work with participants and take action to avoid euthanasia where it becomes aware that a participant is seeking to euthanase a greyhound</w:t>
            </w:r>
            <w:r>
              <w:rPr>
                <w:rFonts w:cs="Arial-BoldMT"/>
                <w:bCs/>
              </w:rPr>
              <w:t>. GRV’s</w:t>
            </w:r>
            <w:r w:rsidRPr="00525EA1">
              <w:rPr>
                <w:rFonts w:cs="Arial-BoldMT"/>
                <w:bCs/>
              </w:rPr>
              <w:t xml:space="preserve"> compliance teams have </w:t>
            </w:r>
            <w:r>
              <w:rPr>
                <w:rFonts w:cs="Arial-BoldMT"/>
                <w:bCs/>
              </w:rPr>
              <w:t xml:space="preserve">also </w:t>
            </w:r>
            <w:r w:rsidRPr="00525EA1">
              <w:rPr>
                <w:rFonts w:cs="Arial-BoldMT"/>
                <w:bCs/>
              </w:rPr>
              <w:t>been significantly enhanced and are equipped with the skills and capacity to work with our participants</w:t>
            </w:r>
            <w:r w:rsidR="00D17142">
              <w:rPr>
                <w:rFonts w:cs="Arial-BoldMT"/>
                <w:bCs/>
              </w:rPr>
              <w:t>. This will</w:t>
            </w:r>
            <w:r w:rsidRPr="00525EA1">
              <w:rPr>
                <w:rFonts w:cs="Arial-BoldMT"/>
                <w:bCs/>
              </w:rPr>
              <w:t xml:space="preserve"> ensure euthanasia is avoided wherever possible and is an absolute last resort.</w:t>
            </w:r>
          </w:p>
          <w:p w:rsidR="00D71386" w:rsidRPr="00525EA1" w:rsidRDefault="00D71386" w:rsidP="00D71386">
            <w:pPr>
              <w:jc w:val="both"/>
              <w:rPr>
                <w:rFonts w:cs="Arial-BoldMT"/>
                <w:bCs/>
              </w:rPr>
            </w:pPr>
            <w:r w:rsidRPr="00525EA1">
              <w:rPr>
                <w:rFonts w:cs="Arial-BoldMT"/>
                <w:bCs/>
              </w:rPr>
              <w:t> </w:t>
            </w:r>
          </w:p>
          <w:p w:rsidR="00D71386" w:rsidRDefault="00D71386" w:rsidP="00F02A55">
            <w:pPr>
              <w:rPr>
                <w:rFonts w:cs="Arial-BoldMT"/>
                <w:bCs/>
              </w:rPr>
            </w:pPr>
            <w:r w:rsidRPr="00525EA1">
              <w:rPr>
                <w:rFonts w:cs="Arial-BoldMT"/>
                <w:bCs/>
              </w:rPr>
              <w:t xml:space="preserve">To further support this, GRV has also enhanced its rehoming program and strengthened its partnerships with Victorian re-homing bodies to create more re-homing opportunities for racing greyhounds at the end of their careers. In addition to the GRV branded GAP </w:t>
            </w:r>
            <w:r w:rsidRPr="00525EA1">
              <w:rPr>
                <w:rFonts w:cs="Arial-BoldMT"/>
                <w:bCs/>
              </w:rPr>
              <w:lastRenderedPageBreak/>
              <w:t>rehoming facility at Seymour, GRV has just opened a second facility at Mount Mercer and will soon open a third facility in the Melbourne CBD. GRV is also working with participants to ensure they better understand their rehoming obligations and the steps they need to take to ensure their greyhounds are rehomed once they finish racing. This includes training programs for both participants and for greyhounds that drives strong eligibility for rehoming.</w:t>
            </w:r>
          </w:p>
        </w:tc>
      </w:tr>
    </w:tbl>
    <w:p w:rsidR="00A61BC9" w:rsidRDefault="00A61BC9" w:rsidP="00525EA1">
      <w:pPr>
        <w:jc w:val="both"/>
        <w:rPr>
          <w:rFonts w:cs="Arial-BoldMT"/>
          <w:bCs/>
        </w:rPr>
      </w:pPr>
    </w:p>
    <w:p w:rsidR="00A1781E" w:rsidRPr="004B0055" w:rsidRDefault="00A1781E" w:rsidP="005E307C">
      <w:pPr>
        <w:pStyle w:val="H11italic"/>
      </w:pPr>
      <w:bookmarkStart w:id="58" w:name="_Toc477190159"/>
      <w:r w:rsidRPr="004B0055">
        <w:t>Live baiting</w:t>
      </w:r>
      <w:r w:rsidR="003C5BD9" w:rsidRPr="004B0055">
        <w:t>:</w:t>
      </w:r>
      <w:bookmarkEnd w:id="58"/>
    </w:p>
    <w:p w:rsidR="00A1781E" w:rsidRDefault="00A1781E" w:rsidP="00A1781E">
      <w:pPr>
        <w:jc w:val="both"/>
      </w:pPr>
      <w:r w:rsidRPr="00DB662A">
        <w:t>On 16 February 2015, the ABC’s ‘Four Corners’ program aired an undercover operation by Animals Australia, entitled ‘Making a Killing’. The program aired footage of live animals being used as bait to train greyhounds in Queensland, New South Wales and Victor</w:t>
      </w:r>
      <w:r>
        <w:t>ia. Reviews were commissioned in all three states</w:t>
      </w:r>
      <w:r w:rsidRPr="00DB662A">
        <w:t>.</w:t>
      </w:r>
      <w:r>
        <w:t xml:space="preserve"> Live baiting is illegal and cruel and has a significant effect on the </w:t>
      </w:r>
      <w:r w:rsidR="0032291B">
        <w:t xml:space="preserve">public’s acceptance of </w:t>
      </w:r>
      <w:r>
        <w:t>the industry to operate.</w:t>
      </w:r>
    </w:p>
    <w:p w:rsidR="00A1781E" w:rsidRDefault="00A1781E" w:rsidP="00756A2B">
      <w:pPr>
        <w:jc w:val="both"/>
        <w:rPr>
          <w:rFonts w:asciiTheme="majorHAnsi" w:hAnsiTheme="majorHAnsi"/>
        </w:rPr>
      </w:pPr>
    </w:p>
    <w:p w:rsidR="00195586" w:rsidRDefault="00195586" w:rsidP="005E307C">
      <w:pPr>
        <w:pStyle w:val="Heading3"/>
        <w:rPr>
          <w:lang w:val="en-US"/>
        </w:rPr>
      </w:pPr>
      <w:bookmarkStart w:id="59" w:name="_Toc469529147"/>
      <w:bookmarkStart w:id="60" w:name="_Toc477190160"/>
      <w:r>
        <w:rPr>
          <w:lang w:val="en-US"/>
        </w:rPr>
        <w:t>1.4.2 Governance</w:t>
      </w:r>
      <w:bookmarkEnd w:id="59"/>
      <w:bookmarkEnd w:id="60"/>
      <w:r>
        <w:rPr>
          <w:lang w:val="en-US"/>
        </w:rPr>
        <w:t xml:space="preserve"> </w:t>
      </w:r>
    </w:p>
    <w:p w:rsidR="00A61BC9" w:rsidRDefault="00195586" w:rsidP="00195586">
      <w:pPr>
        <w:jc w:val="both"/>
      </w:pPr>
      <w:r>
        <w:rPr>
          <w:color w:val="000000" w:themeColor="text1"/>
        </w:rPr>
        <w:t>Both t</w:t>
      </w:r>
      <w:r w:rsidRPr="00747F97">
        <w:rPr>
          <w:color w:val="000000" w:themeColor="text1"/>
        </w:rPr>
        <w:t>h</w:t>
      </w:r>
      <w:r>
        <w:rPr>
          <w:color w:val="000000" w:themeColor="text1"/>
        </w:rPr>
        <w:t>e Racing Integrity Commissioner</w:t>
      </w:r>
      <w:r w:rsidRPr="00747F97">
        <w:rPr>
          <w:color w:val="000000" w:themeColor="text1"/>
        </w:rPr>
        <w:t xml:space="preserve"> </w:t>
      </w:r>
      <w:r>
        <w:rPr>
          <w:color w:val="000000" w:themeColor="text1"/>
        </w:rPr>
        <w:t xml:space="preserve">and </w:t>
      </w:r>
      <w:r w:rsidRPr="00381BDE">
        <w:rPr>
          <w:color w:val="000000" w:themeColor="text1"/>
        </w:rPr>
        <w:t>racing administrator</w:t>
      </w:r>
      <w:r>
        <w:rPr>
          <w:color w:val="000000" w:themeColor="text1"/>
        </w:rPr>
        <w:t xml:space="preserve"> reviewed matters in relation to governance of racing and betting</w:t>
      </w:r>
      <w:r>
        <w:rPr>
          <w:rStyle w:val="FootnoteReference"/>
          <w:color w:val="000000" w:themeColor="text1"/>
        </w:rPr>
        <w:footnoteReference w:id="64"/>
      </w:r>
      <w:r>
        <w:rPr>
          <w:i/>
          <w:color w:val="000000" w:themeColor="text1"/>
        </w:rPr>
        <w:t xml:space="preserve"> </w:t>
      </w:r>
      <w:r>
        <w:rPr>
          <w:rStyle w:val="FootnoteReference"/>
          <w:color w:val="000000" w:themeColor="text1"/>
        </w:rPr>
        <w:footnoteReference w:id="65"/>
      </w:r>
      <w:r>
        <w:rPr>
          <w:i/>
          <w:color w:val="000000" w:themeColor="text1"/>
        </w:rPr>
        <w:t xml:space="preserve">. </w:t>
      </w:r>
      <w:r w:rsidRPr="00747F97">
        <w:rPr>
          <w:color w:val="000000" w:themeColor="text1"/>
        </w:rPr>
        <w:t>T</w:t>
      </w:r>
      <w:r>
        <w:rPr>
          <w:color w:val="000000" w:themeColor="text1"/>
        </w:rPr>
        <w:t xml:space="preserve">he Racing Integrity Commissioner found no </w:t>
      </w:r>
      <w:r w:rsidR="008D259A">
        <w:rPr>
          <w:color w:val="000000" w:themeColor="text1"/>
        </w:rPr>
        <w:t>evidence of corruption or cover up by</w:t>
      </w:r>
      <w:r>
        <w:rPr>
          <w:color w:val="000000" w:themeColor="text1"/>
        </w:rPr>
        <w:t xml:space="preserve"> GRV staff or the GRV (former) Board </w:t>
      </w:r>
      <w:r w:rsidR="008D259A">
        <w:rPr>
          <w:color w:val="000000" w:themeColor="text1"/>
        </w:rPr>
        <w:t>of</w:t>
      </w:r>
      <w:r>
        <w:rPr>
          <w:color w:val="000000" w:themeColor="text1"/>
        </w:rPr>
        <w:t xml:space="preserve"> live bating, but</w:t>
      </w:r>
      <w:r w:rsidR="008D259A">
        <w:rPr>
          <w:color w:val="000000" w:themeColor="text1"/>
        </w:rPr>
        <w:t xml:space="preserve"> did find that </w:t>
      </w:r>
      <w:r>
        <w:rPr>
          <w:color w:val="000000" w:themeColor="text1"/>
        </w:rPr>
        <w:t>governance controls were not effective in identifying the practice of live baiting</w:t>
      </w:r>
      <w:r>
        <w:rPr>
          <w:rStyle w:val="FootnoteReference"/>
          <w:color w:val="000000" w:themeColor="text1"/>
        </w:rPr>
        <w:footnoteReference w:id="66"/>
      </w:r>
      <w:r>
        <w:rPr>
          <w:color w:val="000000" w:themeColor="text1"/>
        </w:rPr>
        <w:t>. The racing administrator report covered all arms of racing but specifically noted that ‘the GRV of today is unrecognisable from the GRV of 12 months ago, and should be applauded for its absolute commitment to all strategic and policy areas covering integrity and welfare services without being conflicted on investment’</w:t>
      </w:r>
      <w:r>
        <w:rPr>
          <w:rStyle w:val="FootnoteReference"/>
          <w:color w:val="000000" w:themeColor="text1"/>
        </w:rPr>
        <w:footnoteReference w:id="67"/>
      </w:r>
      <w:r w:rsidR="004C2D89">
        <w:t>.</w:t>
      </w:r>
    </w:p>
    <w:p w:rsidR="00F549D3" w:rsidRDefault="00F549D3" w:rsidP="00195586">
      <w:pPr>
        <w:jc w:val="both"/>
      </w:pPr>
    </w:p>
    <w:tbl>
      <w:tblPr>
        <w:tblW w:w="0" w:type="auto"/>
        <w:tblLook w:val="04A0" w:firstRow="1" w:lastRow="0" w:firstColumn="1" w:lastColumn="0" w:noHBand="0" w:noVBand="1"/>
      </w:tblPr>
      <w:tblGrid>
        <w:gridCol w:w="8437"/>
      </w:tblGrid>
      <w:tr w:rsidR="00F549D3" w:rsidTr="00F549D3">
        <w:tc>
          <w:tcPr>
            <w:tcW w:w="8437" w:type="dxa"/>
            <w:shd w:val="clear" w:color="auto" w:fill="D9D9D9" w:themeFill="background1" w:themeFillShade="D9"/>
          </w:tcPr>
          <w:p w:rsidR="00F549D3" w:rsidRDefault="00F549D3" w:rsidP="00F549D3">
            <w:pPr>
              <w:rPr>
                <w:b/>
              </w:rPr>
            </w:pPr>
            <w:r>
              <w:rPr>
                <w:b/>
              </w:rPr>
              <w:t>Comment by GRV</w:t>
            </w:r>
            <w:r w:rsidRPr="00457D62">
              <w:rPr>
                <w:b/>
              </w:rPr>
              <w:t>;</w:t>
            </w:r>
          </w:p>
          <w:p w:rsidR="00F549D3" w:rsidRDefault="00F549D3" w:rsidP="00F549D3">
            <w:r w:rsidRPr="004C2D89">
              <w:t>There is now a clear separation between the animal welfare, integrity and racing functions</w:t>
            </w:r>
            <w:r w:rsidR="00D17142">
              <w:t xml:space="preserve"> of GRV,</w:t>
            </w:r>
            <w:r w:rsidRPr="004C2D89">
              <w:t xml:space="preserve"> which are more appropriately staffed and funded. The new leadership team positions of General Counsel, General Manager of Animal Welfare and Senior Investigations Manager have been filled by thoroughly qualified and experienced people. A new Chief Steward has been appointed and more specialist staff have been brought on board in areas such as animal welfare, integrity, and data analysis. GRV has further boosted its integrity resources with the appointment of a General Manager for Integrity.</w:t>
            </w:r>
            <w:r>
              <w:t xml:space="preserve"> </w:t>
            </w:r>
            <w:r w:rsidRPr="004C2D89">
              <w:t xml:space="preserve">The Animal Welfare Inspection team has </w:t>
            </w:r>
            <w:r>
              <w:t>increased from 2 to 18 during 2016/17</w:t>
            </w:r>
            <w:r w:rsidRPr="004C2D89">
              <w:t>, the number of swabs taken for drug testing has more than doubled and a new Investigations Unit relying on intelligence gathering and risk assessment has been established. Policy decisions are now evidence</w:t>
            </w:r>
            <w:r>
              <w:t xml:space="preserve"> </w:t>
            </w:r>
            <w:r w:rsidRPr="004C2D89">
              <w:t>based and data-driven and new industry engagement and education and training initiatives are now in place and will be developed further in coming years.</w:t>
            </w:r>
          </w:p>
        </w:tc>
      </w:tr>
    </w:tbl>
    <w:p w:rsidR="00A61BC9" w:rsidRDefault="00A61BC9" w:rsidP="00195586">
      <w:pPr>
        <w:jc w:val="both"/>
      </w:pPr>
    </w:p>
    <w:p w:rsidR="00195586" w:rsidRPr="004B0055" w:rsidRDefault="00A84AB7" w:rsidP="00195586">
      <w:pPr>
        <w:jc w:val="both"/>
        <w:rPr>
          <w:color w:val="000000" w:themeColor="text1"/>
        </w:rPr>
      </w:pPr>
      <w:r>
        <w:t xml:space="preserve">At 13 October 2016, </w:t>
      </w:r>
      <w:r w:rsidR="006A3DEA">
        <w:t>GRV ha</w:t>
      </w:r>
      <w:r>
        <w:t>d</w:t>
      </w:r>
      <w:r w:rsidR="006A3DEA">
        <w:t xml:space="preserve"> employed 8 investigators, 16 animal welfare inspectors and ha</w:t>
      </w:r>
      <w:r w:rsidR="00823880">
        <w:t>s</w:t>
      </w:r>
      <w:r w:rsidR="006A3DEA">
        <w:t xml:space="preserve"> had a</w:t>
      </w:r>
      <w:r w:rsidR="00823880">
        <w:t>n almost</w:t>
      </w:r>
      <w:r w:rsidR="006A3DEA">
        <w:t xml:space="preserve"> complete change of staff.</w:t>
      </w:r>
      <w:r w:rsidR="0061054A">
        <w:t xml:space="preserve"> </w:t>
      </w:r>
      <w:r w:rsidR="00072C08">
        <w:t>(</w:t>
      </w:r>
      <w:r w:rsidR="0061054A">
        <w:t>It is noted that at the time</w:t>
      </w:r>
      <w:r w:rsidR="00072C08">
        <w:t xml:space="preserve"> of publishing this RIS, GRV has</w:t>
      </w:r>
      <w:r w:rsidR="0061054A">
        <w:t xml:space="preserve"> increased the</w:t>
      </w:r>
      <w:r w:rsidR="00072C08">
        <w:t>ir animal welfare inspectors to 18. The analysis has been applied to the staffing numbers supplied on the 13</w:t>
      </w:r>
      <w:r w:rsidR="00072C08" w:rsidRPr="00072C08">
        <w:rPr>
          <w:vertAlign w:val="superscript"/>
        </w:rPr>
        <w:t>th</w:t>
      </w:r>
      <w:r w:rsidR="00072C08">
        <w:t xml:space="preserve"> October 2016.)</w:t>
      </w:r>
      <w:r w:rsidR="006A3DEA">
        <w:t xml:space="preserve"> All of the investigators have a policing background and the inspectors predominantly have a local government background. GRV also ha</w:t>
      </w:r>
      <w:r w:rsidR="00823880">
        <w:t>s</w:t>
      </w:r>
      <w:r w:rsidR="006A3DEA">
        <w:t xml:space="preserve"> a stand-alone integrity office which is overseen by the Racing Integrity Commissioner</w:t>
      </w:r>
      <w:r w:rsidR="00195586">
        <w:rPr>
          <w:i/>
          <w:color w:val="000000" w:themeColor="text1"/>
        </w:rPr>
        <w:t>.</w:t>
      </w:r>
      <w:r w:rsidR="00B77EE0">
        <w:rPr>
          <w:i/>
          <w:color w:val="000000" w:themeColor="text1"/>
        </w:rPr>
        <w:t xml:space="preserve"> </w:t>
      </w:r>
    </w:p>
    <w:p w:rsidR="00195586" w:rsidRPr="0061054A" w:rsidRDefault="00195586" w:rsidP="00195586">
      <w:pPr>
        <w:jc w:val="both"/>
        <w:rPr>
          <w:color w:val="auto"/>
        </w:rPr>
      </w:pPr>
      <w:r w:rsidRPr="00BF7D1E">
        <w:rPr>
          <w:color w:val="000000" w:themeColor="text1"/>
        </w:rPr>
        <w:lastRenderedPageBreak/>
        <w:t>Nonetheless</w:t>
      </w:r>
      <w:r w:rsidR="008D259A" w:rsidRPr="00BF7D1E">
        <w:rPr>
          <w:color w:val="000000" w:themeColor="text1"/>
        </w:rPr>
        <w:t>,</w:t>
      </w:r>
      <w:r w:rsidRPr="00BF7D1E">
        <w:rPr>
          <w:color w:val="000000" w:themeColor="text1"/>
        </w:rPr>
        <w:t xml:space="preserve"> there </w:t>
      </w:r>
      <w:r w:rsidR="007D7A02" w:rsidRPr="00BF7D1E">
        <w:rPr>
          <w:color w:val="000000" w:themeColor="text1"/>
        </w:rPr>
        <w:t>rema</w:t>
      </w:r>
      <w:r w:rsidR="007D7A02" w:rsidRPr="007E5823">
        <w:rPr>
          <w:color w:val="000000" w:themeColor="text1"/>
        </w:rPr>
        <w:t>in concerns</w:t>
      </w:r>
      <w:r w:rsidRPr="007E5823">
        <w:rPr>
          <w:color w:val="000000" w:themeColor="text1"/>
        </w:rPr>
        <w:t xml:space="preserve"> from welfare organisations that the greyhound industry is self-regulated,</w:t>
      </w:r>
      <w:r w:rsidR="00072C08">
        <w:rPr>
          <w:color w:val="000000" w:themeColor="text1"/>
        </w:rPr>
        <w:t xml:space="preserve"> and allegedly</w:t>
      </w:r>
      <w:r w:rsidRPr="007E5823">
        <w:rPr>
          <w:color w:val="000000" w:themeColor="text1"/>
        </w:rPr>
        <w:t xml:space="preserve"> rife </w:t>
      </w:r>
      <w:r w:rsidR="008D259A" w:rsidRPr="007E5823">
        <w:rPr>
          <w:color w:val="000000" w:themeColor="text1"/>
        </w:rPr>
        <w:t>with</w:t>
      </w:r>
      <w:r w:rsidRPr="007E5823">
        <w:rPr>
          <w:color w:val="000000" w:themeColor="text1"/>
        </w:rPr>
        <w:t xml:space="preserve"> </w:t>
      </w:r>
      <w:r w:rsidR="008D259A" w:rsidRPr="007E5823">
        <w:rPr>
          <w:color w:val="000000" w:themeColor="text1"/>
        </w:rPr>
        <w:t xml:space="preserve">government approved </w:t>
      </w:r>
      <w:r w:rsidRPr="007E5823">
        <w:rPr>
          <w:color w:val="000000" w:themeColor="text1"/>
        </w:rPr>
        <w:t>doping, money laundering and corruption</w:t>
      </w:r>
      <w:r w:rsidRPr="007E5823">
        <w:rPr>
          <w:rStyle w:val="FootnoteReference"/>
          <w:color w:val="000000" w:themeColor="text1"/>
        </w:rPr>
        <w:footnoteReference w:id="68"/>
      </w:r>
      <w:r w:rsidRPr="007E5823">
        <w:rPr>
          <w:color w:val="000000" w:themeColor="text1"/>
        </w:rPr>
        <w:t>.</w:t>
      </w:r>
      <w:r w:rsidR="0061054A">
        <w:rPr>
          <w:color w:val="000000" w:themeColor="text1"/>
        </w:rPr>
        <w:t xml:space="preserve"> However, </w:t>
      </w:r>
      <w:r w:rsidR="007E5823" w:rsidRPr="0061054A">
        <w:rPr>
          <w:color w:val="auto"/>
        </w:rPr>
        <w:t>a number of GRV initiatives are directly linked to addressing these concerns and issues</w:t>
      </w:r>
      <w:r w:rsidR="0061054A">
        <w:rPr>
          <w:color w:val="auto"/>
        </w:rPr>
        <w:t>.</w:t>
      </w:r>
    </w:p>
    <w:p w:rsidR="00195586" w:rsidRDefault="00195586" w:rsidP="00195586">
      <w:pPr>
        <w:jc w:val="both"/>
        <w:rPr>
          <w:color w:val="000000" w:themeColor="text1"/>
        </w:rPr>
      </w:pPr>
    </w:p>
    <w:p w:rsidR="00195586" w:rsidRDefault="00195586" w:rsidP="00195586">
      <w:pPr>
        <w:jc w:val="both"/>
        <w:rPr>
          <w:rFonts w:eastAsia="Cambria" w:cs="Times New Roman"/>
          <w:lang w:val="en-US"/>
        </w:rPr>
      </w:pPr>
      <w:r>
        <w:rPr>
          <w:rFonts w:eastAsia="Cambria" w:cs="Times New Roman"/>
          <w:lang w:val="en-US"/>
        </w:rPr>
        <w:t xml:space="preserve">Additionally, as noted in </w:t>
      </w:r>
      <w:r w:rsidRPr="009C2886">
        <w:t>Reports by the Chief Veterinary Officer (Milne report</w:t>
      </w:r>
      <w:r w:rsidRPr="009C2886">
        <w:rPr>
          <w:rStyle w:val="FootnoteReference"/>
        </w:rPr>
        <w:footnoteReference w:id="69"/>
      </w:r>
      <w:r w:rsidRPr="009C2886">
        <w:t xml:space="preserve">), </w:t>
      </w:r>
      <w:r w:rsidR="00CA5630">
        <w:t xml:space="preserve">the </w:t>
      </w:r>
      <w:r w:rsidRPr="009C2886">
        <w:t>Racing Integrity Commissioner (Perna report</w:t>
      </w:r>
      <w:r w:rsidRPr="009C2886">
        <w:rPr>
          <w:rStyle w:val="FootnoteReference"/>
        </w:rPr>
        <w:footnoteReference w:id="70"/>
      </w:r>
      <w:r w:rsidRPr="009C2886">
        <w:t xml:space="preserve">), </w:t>
      </w:r>
      <w:r>
        <w:t>highlighted in section 1.3.1</w:t>
      </w:r>
      <w:r w:rsidR="00CA5630">
        <w:t xml:space="preserve"> that</w:t>
      </w:r>
      <w:r>
        <w:t xml:space="preserve"> the legislative environment is incredibly complex resulting in major non-compliance through ignorance of participant or lack or powers or confidence from enforcement agencies. There </w:t>
      </w:r>
      <w:r w:rsidR="003C5BD9">
        <w:t xml:space="preserve">is </w:t>
      </w:r>
      <w:r>
        <w:rPr>
          <w:rFonts w:eastAsia="Cambria" w:cs="Times New Roman"/>
          <w:lang w:val="en-US"/>
        </w:rPr>
        <w:t>no</w:t>
      </w:r>
      <w:r w:rsidRPr="00CF2B08">
        <w:rPr>
          <w:rFonts w:eastAsia="Cambria" w:cs="Times New Roman"/>
          <w:lang w:val="en-US"/>
        </w:rPr>
        <w:t xml:space="preserve"> single enforcement arm with a clear mandate and direction for enforcement </w:t>
      </w:r>
      <w:r w:rsidR="003C5BD9">
        <w:rPr>
          <w:rFonts w:eastAsia="Cambria" w:cs="Times New Roman"/>
          <w:lang w:val="en-US"/>
        </w:rPr>
        <w:t xml:space="preserve">during </w:t>
      </w:r>
      <w:r w:rsidRPr="00CF2B08">
        <w:rPr>
          <w:rFonts w:eastAsia="Cambria" w:cs="Times New Roman"/>
          <w:lang w:val="en-US"/>
        </w:rPr>
        <w:t>all stages of the dog</w:t>
      </w:r>
      <w:r w:rsidR="003C5BD9">
        <w:rPr>
          <w:rFonts w:eastAsia="Cambria" w:cs="Times New Roman"/>
          <w:lang w:val="en-US"/>
        </w:rPr>
        <w:t>’</w:t>
      </w:r>
      <w:r w:rsidRPr="00CF2B08">
        <w:rPr>
          <w:rFonts w:eastAsia="Cambria" w:cs="Times New Roman"/>
          <w:lang w:val="en-US"/>
        </w:rPr>
        <w:t xml:space="preserve">s life and </w:t>
      </w:r>
      <w:r w:rsidR="003C5BD9">
        <w:rPr>
          <w:rFonts w:eastAsia="Cambria" w:cs="Times New Roman"/>
          <w:lang w:val="en-US"/>
        </w:rPr>
        <w:t xml:space="preserve">for </w:t>
      </w:r>
      <w:r w:rsidRPr="00CF2B08">
        <w:rPr>
          <w:rFonts w:eastAsia="Cambria" w:cs="Times New Roman"/>
          <w:lang w:val="en-US"/>
        </w:rPr>
        <w:t>all size</w:t>
      </w:r>
      <w:r>
        <w:rPr>
          <w:rFonts w:eastAsia="Cambria" w:cs="Times New Roman"/>
          <w:lang w:val="en-US"/>
        </w:rPr>
        <w:t xml:space="preserve"> business</w:t>
      </w:r>
      <w:r w:rsidR="003C5BD9">
        <w:rPr>
          <w:rFonts w:eastAsia="Cambria" w:cs="Times New Roman"/>
          <w:lang w:val="en-US"/>
        </w:rPr>
        <w:t xml:space="preserve">es/individuals, </w:t>
      </w:r>
      <w:r>
        <w:rPr>
          <w:rFonts w:eastAsia="Cambria" w:cs="Times New Roman"/>
          <w:lang w:val="en-US"/>
        </w:rPr>
        <w:t xml:space="preserve">with </w:t>
      </w:r>
      <w:r w:rsidRPr="00CF2B08">
        <w:rPr>
          <w:rFonts w:eastAsia="Cambria" w:cs="Times New Roman"/>
          <w:lang w:val="en-US"/>
        </w:rPr>
        <w:t xml:space="preserve">sufficient enforcement powers available for authorised officers of GRV, and Local Government, as well as Victoria Police. </w:t>
      </w:r>
    </w:p>
    <w:p w:rsidR="00195586" w:rsidRPr="00CF2B08" w:rsidRDefault="00195586" w:rsidP="00195586">
      <w:pPr>
        <w:jc w:val="both"/>
        <w:rPr>
          <w:rFonts w:eastAsia="Cambria" w:cs="Times New Roman"/>
          <w:lang w:val="en-US"/>
        </w:rPr>
      </w:pPr>
    </w:p>
    <w:p w:rsidR="00195586" w:rsidRDefault="00195586" w:rsidP="005E307C">
      <w:pPr>
        <w:pStyle w:val="Heading3"/>
        <w:rPr>
          <w:lang w:val="en-US"/>
        </w:rPr>
      </w:pPr>
      <w:bookmarkStart w:id="61" w:name="_Toc469529148"/>
      <w:bookmarkStart w:id="62" w:name="_Toc477190161"/>
      <w:r>
        <w:rPr>
          <w:lang w:val="en-US"/>
        </w:rPr>
        <w:t>1.4.3 Lack of tracking of dogs</w:t>
      </w:r>
      <w:bookmarkEnd w:id="61"/>
      <w:bookmarkEnd w:id="62"/>
    </w:p>
    <w:p w:rsidR="00195586" w:rsidRDefault="00195586" w:rsidP="00195586">
      <w:pPr>
        <w:jc w:val="both"/>
        <w:rPr>
          <w:rFonts w:cs="Arial-BoldMT"/>
          <w:bCs/>
        </w:rPr>
      </w:pPr>
      <w:r>
        <w:rPr>
          <w:rFonts w:cs="HelveticaNeueLT Std Lt"/>
        </w:rPr>
        <w:t>There are several stages in the greyhound lifecycle where its location may be unknown. The inability to track the location and status of a greyhound between rearing and racing stages proves the highest risk for wastage</w:t>
      </w:r>
      <w:r w:rsidR="00127532">
        <w:rPr>
          <w:rFonts w:cs="HelveticaNeueLT Std Lt"/>
        </w:rPr>
        <w:t xml:space="preserve"> and welfare</w:t>
      </w:r>
      <w:r>
        <w:rPr>
          <w:rFonts w:cs="HelveticaNeueLT Std Lt"/>
        </w:rPr>
        <w:t>.</w:t>
      </w:r>
      <w:r w:rsidR="00752D00">
        <w:rPr>
          <w:rFonts w:cs="HelveticaNeueLT Std Lt"/>
        </w:rPr>
        <w:t xml:space="preserve"> </w:t>
      </w:r>
      <w:r w:rsidRPr="00E44790">
        <w:rPr>
          <w:rFonts w:cs="HelveticaNeueLT Std Lt"/>
        </w:rPr>
        <w:t xml:space="preserve">In the </w:t>
      </w:r>
      <w:r w:rsidRPr="00E44790">
        <w:t>Milne report</w:t>
      </w:r>
      <w:r w:rsidRPr="00E44790">
        <w:rPr>
          <w:rStyle w:val="FootnoteReference"/>
        </w:rPr>
        <w:footnoteReference w:id="71"/>
      </w:r>
      <w:r w:rsidRPr="00E44790">
        <w:rPr>
          <w:rFonts w:cs="HelveticaNeueLT Std Lt"/>
        </w:rPr>
        <w:t>, GRV acknowledged that they are often unable to track greyhounds if</w:t>
      </w:r>
      <w:r w:rsidR="00B77EE0">
        <w:rPr>
          <w:rFonts w:cs="HelveticaNeueLT Std Lt"/>
        </w:rPr>
        <w:t>, in breach of the rules,</w:t>
      </w:r>
      <w:r w:rsidRPr="00E44790">
        <w:rPr>
          <w:rFonts w:cs="HelveticaNeueLT Std Lt"/>
        </w:rPr>
        <w:t xml:space="preserve"> the dogs are moved to kennels operated by unlicensed persons</w:t>
      </w:r>
      <w:r>
        <w:rPr>
          <w:rFonts w:cs="HelveticaNeueLT Std Lt"/>
        </w:rPr>
        <w:t xml:space="preserve">. </w:t>
      </w:r>
      <w:r>
        <w:rPr>
          <w:rFonts w:cs="Arial-BoldMT"/>
          <w:bCs/>
        </w:rPr>
        <w:t xml:space="preserve">This is </w:t>
      </w:r>
      <w:r w:rsidR="00127532">
        <w:rPr>
          <w:rFonts w:cs="Arial-BoldMT"/>
          <w:bCs/>
        </w:rPr>
        <w:t xml:space="preserve">a </w:t>
      </w:r>
      <w:r>
        <w:rPr>
          <w:rFonts w:cs="Arial-BoldMT"/>
          <w:bCs/>
        </w:rPr>
        <w:t xml:space="preserve">concern as unidentifiable and unknown dogs with no controls or enforcement agency oversight are at higher risk of being </w:t>
      </w:r>
      <w:r w:rsidR="00127532">
        <w:rPr>
          <w:rFonts w:cs="Arial-BoldMT"/>
          <w:bCs/>
        </w:rPr>
        <w:t xml:space="preserve">in the hands of carers who are </w:t>
      </w:r>
      <w:r>
        <w:rPr>
          <w:rFonts w:cs="Arial-BoldMT"/>
          <w:bCs/>
        </w:rPr>
        <w:t>d</w:t>
      </w:r>
      <w:r w:rsidR="00127532">
        <w:rPr>
          <w:rFonts w:cs="Arial-BoldMT"/>
          <w:bCs/>
        </w:rPr>
        <w:t>isconnected from information,</w:t>
      </w:r>
      <w:r>
        <w:rPr>
          <w:rFonts w:cs="Arial-BoldMT"/>
          <w:bCs/>
        </w:rPr>
        <w:t xml:space="preserve"> education</w:t>
      </w:r>
      <w:r w:rsidR="00127532">
        <w:rPr>
          <w:rFonts w:cs="Arial-BoldMT"/>
          <w:bCs/>
        </w:rPr>
        <w:t xml:space="preserve"> and enforcement</w:t>
      </w:r>
      <w:r>
        <w:rPr>
          <w:rFonts w:cs="Arial-BoldMT"/>
          <w:bCs/>
        </w:rPr>
        <w:t>.</w:t>
      </w:r>
      <w:r w:rsidR="00B77EE0">
        <w:rPr>
          <w:rFonts w:cs="Arial-BoldMT"/>
          <w:bCs/>
        </w:rPr>
        <w:t xml:space="preserve"> </w:t>
      </w:r>
    </w:p>
    <w:p w:rsidR="00E46874" w:rsidRDefault="00E46874" w:rsidP="00195586">
      <w:pPr>
        <w:jc w:val="both"/>
        <w:rPr>
          <w:rFonts w:cs="Arial-BoldMT"/>
          <w:bCs/>
        </w:rPr>
      </w:pPr>
    </w:p>
    <w:p w:rsidR="00E46874" w:rsidRDefault="00E46874" w:rsidP="005E307C">
      <w:pPr>
        <w:pStyle w:val="Heading3"/>
        <w:rPr>
          <w:lang w:val="en-US"/>
        </w:rPr>
      </w:pPr>
      <w:bookmarkStart w:id="63" w:name="_Toc469529149"/>
      <w:bookmarkStart w:id="64" w:name="_Toc477190162"/>
      <w:r>
        <w:rPr>
          <w:lang w:val="en-US"/>
        </w:rPr>
        <w:t>1.4.4 Poor welfare of animals (not including live baiting)</w:t>
      </w:r>
      <w:bookmarkEnd w:id="63"/>
      <w:bookmarkEnd w:id="64"/>
    </w:p>
    <w:p w:rsidR="00E46874" w:rsidRPr="00DB662A" w:rsidRDefault="00E46874" w:rsidP="00E46874">
      <w:pPr>
        <w:jc w:val="both"/>
        <w:rPr>
          <w:rFonts w:cs="Arial-BoldMT"/>
          <w:bCs/>
        </w:rPr>
      </w:pPr>
      <w:r w:rsidRPr="00DB662A">
        <w:rPr>
          <w:rFonts w:cs="Arial-BoldMT"/>
          <w:bCs/>
        </w:rPr>
        <w:t>The Royal Society for the Prevention of Cruelty to Animals (RSPCA) report that injuries are very common for racing dogs and can be ongoing</w:t>
      </w:r>
      <w:r w:rsidRPr="00DB662A">
        <w:rPr>
          <w:rFonts w:cs="Arial-BoldMT"/>
          <w:bCs/>
          <w:i/>
        </w:rPr>
        <w:t xml:space="preserve"> ‘Injuries are a major animal welfare issue that often cause pain, suffering and distress’</w:t>
      </w:r>
      <w:r w:rsidRPr="00DB662A">
        <w:rPr>
          <w:rStyle w:val="FootnoteReference"/>
          <w:rFonts w:cs="Arial-BoldMT"/>
          <w:bCs/>
          <w:i/>
        </w:rPr>
        <w:t xml:space="preserve"> </w:t>
      </w:r>
      <w:r w:rsidRPr="004B0055">
        <w:rPr>
          <w:rStyle w:val="FootnoteReference"/>
          <w:rFonts w:cs="Arial-BoldMT"/>
          <w:bCs/>
        </w:rPr>
        <w:footnoteReference w:id="72"/>
      </w:r>
      <w:r w:rsidRPr="00DB662A">
        <w:rPr>
          <w:rFonts w:cs="Arial-BoldMT"/>
          <w:bCs/>
          <w:i/>
        </w:rPr>
        <w:t xml:space="preserve">. </w:t>
      </w:r>
      <w:r w:rsidRPr="00DB662A">
        <w:rPr>
          <w:rFonts w:cs="Arial-BoldMT"/>
          <w:bCs/>
        </w:rPr>
        <w:t>RSPCA go on to report that many puppies and adult greyhounds are not socialised with other dogs or humans increasing the likelihood of the development of fearfulness and antisocial behaviour which impacts negatively on their welfare.</w:t>
      </w:r>
    </w:p>
    <w:p w:rsidR="00E46874" w:rsidRPr="00DB662A" w:rsidRDefault="00E46874" w:rsidP="00E46874">
      <w:pPr>
        <w:jc w:val="both"/>
        <w:rPr>
          <w:lang w:val="en-US"/>
        </w:rPr>
      </w:pPr>
    </w:p>
    <w:p w:rsidR="00E46874" w:rsidRPr="00DB662A" w:rsidRDefault="00E46874" w:rsidP="00E46874">
      <w:pPr>
        <w:jc w:val="both"/>
      </w:pPr>
      <w:r w:rsidRPr="00DB662A">
        <w:t xml:space="preserve">Animal welfare concerns are becoming increasingly important to industry, government, consumers and the general public, both in Australia and internationally. Practices that were deemed acceptable in </w:t>
      </w:r>
      <w:r w:rsidRPr="004C589A">
        <w:t>1998</w:t>
      </w:r>
      <w:r w:rsidRPr="00DB662A">
        <w:t xml:space="preserve"> are now being reassessed in light of new knowledge and changing attitude. </w:t>
      </w:r>
      <w:r>
        <w:t>Poor practices such as inappropriate nutrition, poor size enclosures, lack or inappropriate exercise, inadequate grooming, oversight and poor socialisation alone might not outwardly affect the health of an animal but in a cumulative manner lead to poor welfare for animals</w:t>
      </w:r>
      <w:r w:rsidR="00184AC2">
        <w:t>.</w:t>
      </w:r>
      <w:r w:rsidR="007B521C">
        <w:t xml:space="preserve"> </w:t>
      </w:r>
      <w:r w:rsidR="00184AC2">
        <w:t>T</w:t>
      </w:r>
      <w:r>
        <w:t>he McHugh report stresses that ‘matters that can impact the health and wellbeing of a dog come into play as soon as it is born. They are capable of producing negative welfare outcomes as the animal ages</w:t>
      </w:r>
      <w:r>
        <w:rPr>
          <w:i/>
        </w:rPr>
        <w:t>’</w:t>
      </w:r>
      <w:r w:rsidRPr="004B0055">
        <w:rPr>
          <w:rStyle w:val="FootnoteReference"/>
        </w:rPr>
        <w:footnoteReference w:id="73"/>
      </w:r>
      <w:r w:rsidRPr="00D3271C">
        <w:rPr>
          <w:i/>
        </w:rPr>
        <w:t>.</w:t>
      </w:r>
    </w:p>
    <w:p w:rsidR="00FA31C9" w:rsidRDefault="00FA31C9">
      <w:r>
        <w:br w:type="page"/>
      </w:r>
    </w:p>
    <w:p w:rsidR="00E46874" w:rsidRPr="00DB662A" w:rsidRDefault="00E46874" w:rsidP="00E46874">
      <w:pPr>
        <w:jc w:val="both"/>
      </w:pPr>
      <w:r w:rsidRPr="00DB662A">
        <w:lastRenderedPageBreak/>
        <w:t>The Australian Animal Welfare Strategy accepts the World Health Organisation for Animal Health (OIE) definition of animal welfare:</w:t>
      </w:r>
    </w:p>
    <w:p w:rsidR="00E46874" w:rsidRPr="00DB662A" w:rsidRDefault="00E46874" w:rsidP="00E46874">
      <w:pPr>
        <w:jc w:val="both"/>
      </w:pPr>
    </w:p>
    <w:p w:rsidR="00E46874" w:rsidRPr="004B0055" w:rsidRDefault="00E46874" w:rsidP="003C5BD9">
      <w:pPr>
        <w:ind w:left="284" w:right="425"/>
        <w:jc w:val="both"/>
        <w:rPr>
          <w:i/>
          <w:sz w:val="20"/>
          <w:lang w:val="en-US"/>
        </w:rPr>
      </w:pPr>
      <w:r w:rsidRPr="004B0055">
        <w:rPr>
          <w:i/>
          <w:sz w:val="20"/>
        </w:rPr>
        <w:t>‘means how an animal is coping with the conditions in which it lives. An animal is in a good state of welfare if (as indicated by scientific evidence) it is healthy, comfortable, well nourished, safe, able to express innate behaviour, and if it is not suffering from unpleasant states such as pain, fear, and distress. Good animal welfare requires disease prevention and veterinary treatment, appropriate shelter, management, nutrition, humane handling and humane slaughter/killing. Animal welfare refers to the state of the animal; the treatment that an animal receives is covered by other terms such as animal care, animal husbandry, and humane treatment.’</w:t>
      </w:r>
      <w:r w:rsidRPr="004B0055">
        <w:rPr>
          <w:rStyle w:val="FootnoteReference"/>
          <w:i/>
          <w:sz w:val="20"/>
        </w:rPr>
        <w:footnoteReference w:id="74"/>
      </w:r>
    </w:p>
    <w:p w:rsidR="00E46874" w:rsidRDefault="00E46874" w:rsidP="00E46874">
      <w:pPr>
        <w:rPr>
          <w:lang w:val="en-US"/>
        </w:rPr>
      </w:pPr>
    </w:p>
    <w:p w:rsidR="00E46874" w:rsidRDefault="00E46874" w:rsidP="00E46874">
      <w:pPr>
        <w:jc w:val="both"/>
        <w:rPr>
          <w:lang w:val="en-US"/>
        </w:rPr>
      </w:pPr>
      <w:r>
        <w:rPr>
          <w:lang w:val="en-US"/>
        </w:rPr>
        <w:t xml:space="preserve">Poor animal welfare is a reflection of the attitudes and </w:t>
      </w:r>
      <w:r w:rsidRPr="00142863">
        <w:t>behaviours</w:t>
      </w:r>
      <w:r>
        <w:rPr>
          <w:lang w:val="en-US"/>
        </w:rPr>
        <w:t xml:space="preserve"> of </w:t>
      </w:r>
      <w:r w:rsidR="006C60F7">
        <w:rPr>
          <w:lang w:val="en-US"/>
        </w:rPr>
        <w:t xml:space="preserve">some </w:t>
      </w:r>
      <w:r>
        <w:rPr>
          <w:lang w:val="en-US"/>
        </w:rPr>
        <w:t>industry participants (see Section 1.4.</w:t>
      </w:r>
      <w:r w:rsidR="00184AC2">
        <w:rPr>
          <w:lang w:val="en-US"/>
        </w:rPr>
        <w:t>6</w:t>
      </w:r>
      <w:r>
        <w:rPr>
          <w:lang w:val="en-US"/>
        </w:rPr>
        <w:t xml:space="preserve"> of this RIS) and</w:t>
      </w:r>
      <w:r w:rsidR="006C60F7">
        <w:rPr>
          <w:lang w:val="en-US"/>
        </w:rPr>
        <w:t xml:space="preserve"> is likely driven by</w:t>
      </w:r>
      <w:r>
        <w:rPr>
          <w:lang w:val="en-US"/>
        </w:rPr>
        <w:t xml:space="preserve"> their level of education and access to information (see Section 1.4.</w:t>
      </w:r>
      <w:r w:rsidR="00184AC2">
        <w:rPr>
          <w:lang w:val="en-US"/>
        </w:rPr>
        <w:t>7</w:t>
      </w:r>
      <w:r>
        <w:rPr>
          <w:lang w:val="en-US"/>
        </w:rPr>
        <w:t xml:space="preserve"> of this RIS). Animal welfare varies from outright cruelty (such as live baiting, beating dogs) through to poor welfare that can be as a result of a single event (such as </w:t>
      </w:r>
      <w:r w:rsidR="00823880">
        <w:rPr>
          <w:lang w:val="en-US"/>
        </w:rPr>
        <w:t>an</w:t>
      </w:r>
      <w:r>
        <w:rPr>
          <w:lang w:val="en-US"/>
        </w:rPr>
        <w:t xml:space="preserve"> injury not treated adequately) or cumulative events. Cumulative events can be, by themselves, small transgressions on minimum standards that, when combined over the lifecycle or a lengthy period of time, lead to poor welfare (e.g. poor nutrition + over training + no socialization + poor hygiene). All dogs and all lifecycles are at risk of poor welfare; but most at risk are greyhounds on properties that are small (hidden) or not registered and avoiding monitoring and auditing.</w:t>
      </w:r>
    </w:p>
    <w:p w:rsidR="00195586" w:rsidRPr="00E44790" w:rsidRDefault="00195586" w:rsidP="00195586">
      <w:pPr>
        <w:jc w:val="both"/>
        <w:rPr>
          <w:rFonts w:cs="Arial-BoldMT"/>
          <w:bCs/>
        </w:rPr>
      </w:pPr>
    </w:p>
    <w:p w:rsidR="00195586" w:rsidRDefault="00195586" w:rsidP="005E307C">
      <w:pPr>
        <w:pStyle w:val="Heading3"/>
        <w:rPr>
          <w:lang w:val="en-US"/>
        </w:rPr>
      </w:pPr>
      <w:bookmarkStart w:id="65" w:name="_Toc469529150"/>
      <w:bookmarkStart w:id="66" w:name="_Toc477190163"/>
      <w:r>
        <w:rPr>
          <w:lang w:val="en-US"/>
        </w:rPr>
        <w:t>1.4.</w:t>
      </w:r>
      <w:r w:rsidR="00E46874">
        <w:rPr>
          <w:lang w:val="en-US"/>
        </w:rPr>
        <w:t>5</w:t>
      </w:r>
      <w:r>
        <w:rPr>
          <w:lang w:val="en-US"/>
        </w:rPr>
        <w:t xml:space="preserve"> </w:t>
      </w:r>
      <w:r w:rsidR="00127532">
        <w:rPr>
          <w:lang w:val="en-US"/>
        </w:rPr>
        <w:t>Lack of lifecycle coverage</w:t>
      </w:r>
      <w:bookmarkEnd w:id="65"/>
      <w:bookmarkEnd w:id="66"/>
    </w:p>
    <w:p w:rsidR="00127532" w:rsidRDefault="00127532" w:rsidP="00195586">
      <w:pPr>
        <w:jc w:val="both"/>
        <w:rPr>
          <w:rFonts w:asciiTheme="majorHAnsi" w:hAnsiTheme="majorHAnsi"/>
          <w:color w:val="FF0000"/>
        </w:rPr>
      </w:pPr>
      <w:r>
        <w:rPr>
          <w:rFonts w:cs="HelveticaNeueLT Std Lt"/>
        </w:rPr>
        <w:t>It</w:t>
      </w:r>
      <w:r w:rsidR="00195586">
        <w:rPr>
          <w:rFonts w:cs="HelveticaNeueLT Std Lt"/>
        </w:rPr>
        <w:t xml:space="preserve"> is common</w:t>
      </w:r>
      <w:r w:rsidR="00195586" w:rsidRPr="00E44790">
        <w:rPr>
          <w:rFonts w:cs="HelveticaNeueLT Std Lt"/>
        </w:rPr>
        <w:t xml:space="preserve"> during the </w:t>
      </w:r>
      <w:r>
        <w:rPr>
          <w:rFonts w:cs="HelveticaNeueLT Std Lt"/>
        </w:rPr>
        <w:t xml:space="preserve">varying lifecycle </w:t>
      </w:r>
      <w:r w:rsidR="00195586" w:rsidRPr="00E44790">
        <w:rPr>
          <w:rFonts w:cs="HelveticaNeueLT Std Lt"/>
        </w:rPr>
        <w:t>s</w:t>
      </w:r>
      <w:r>
        <w:rPr>
          <w:rFonts w:cs="HelveticaNeueLT Std Lt"/>
        </w:rPr>
        <w:t>tages between birth and racing for a dog to move to a different carer at every stage of the cycle (</w:t>
      </w:r>
      <w:r w:rsidR="003C5BD9">
        <w:rPr>
          <w:rFonts w:cs="HelveticaNeueLT Std Lt"/>
        </w:rPr>
        <w:t>see Chart 2</w:t>
      </w:r>
      <w:r>
        <w:rPr>
          <w:rFonts w:cs="HelveticaNeueLT Std Lt"/>
        </w:rPr>
        <w:t>)</w:t>
      </w:r>
      <w:r w:rsidR="00195586" w:rsidRPr="00E44790">
        <w:rPr>
          <w:rFonts w:cs="HelveticaNeueLT Std Lt"/>
        </w:rPr>
        <w:t>.</w:t>
      </w:r>
      <w:r w:rsidR="00195586" w:rsidRPr="00E44790">
        <w:rPr>
          <w:rFonts w:asciiTheme="majorHAnsi" w:hAnsiTheme="majorHAnsi"/>
          <w:color w:val="FF0000"/>
        </w:rPr>
        <w:t xml:space="preserve"> </w:t>
      </w:r>
    </w:p>
    <w:p w:rsidR="00127532" w:rsidRDefault="00127532" w:rsidP="00195586">
      <w:pPr>
        <w:jc w:val="both"/>
        <w:rPr>
          <w:rFonts w:asciiTheme="majorHAnsi" w:hAnsiTheme="majorHAnsi"/>
        </w:rPr>
      </w:pPr>
    </w:p>
    <w:p w:rsidR="00195586" w:rsidRPr="00127532" w:rsidRDefault="00195586" w:rsidP="00195586">
      <w:pPr>
        <w:jc w:val="both"/>
      </w:pPr>
      <w:r w:rsidRPr="00E44790">
        <w:rPr>
          <w:rFonts w:asciiTheme="majorHAnsi" w:hAnsiTheme="majorHAnsi"/>
        </w:rPr>
        <w:t xml:space="preserve">Puppies are registered with GRV at birth and microchipped at </w:t>
      </w:r>
      <w:r w:rsidR="00823880">
        <w:rPr>
          <w:rFonts w:asciiTheme="majorHAnsi" w:hAnsiTheme="majorHAnsi"/>
        </w:rPr>
        <w:t>12-</w:t>
      </w:r>
      <w:r w:rsidRPr="00E44790">
        <w:rPr>
          <w:rFonts w:asciiTheme="majorHAnsi" w:hAnsiTheme="majorHAnsi"/>
        </w:rPr>
        <w:t>16 weeks of age</w:t>
      </w:r>
      <w:r>
        <w:rPr>
          <w:rFonts w:asciiTheme="majorHAnsi" w:hAnsiTheme="majorHAnsi"/>
        </w:rPr>
        <w:t>. Once microchipped</w:t>
      </w:r>
      <w:r w:rsidRPr="00E44790">
        <w:t xml:space="preserve"> the dog can go to a ‘rearer’ who keeps the puppies to around 15 months of age. Rearers are currently not registered as a </w:t>
      </w:r>
      <w:r w:rsidR="00B77EE0">
        <w:t xml:space="preserve">separate </w:t>
      </w:r>
      <w:r w:rsidRPr="00E44790">
        <w:t>group of participants within the industry</w:t>
      </w:r>
      <w:r>
        <w:t xml:space="preserve"> (see Section 1.2.3)</w:t>
      </w:r>
      <w:r w:rsidRPr="00E44790">
        <w:t xml:space="preserve">, so it is at this point </w:t>
      </w:r>
      <w:r w:rsidR="00B77EE0">
        <w:t xml:space="preserve">that there is a risk that </w:t>
      </w:r>
      <w:r w:rsidRPr="00E44790">
        <w:t>the dog drops out of th</w:t>
      </w:r>
      <w:r w:rsidR="00127532">
        <w:t>e coverage of prescriptive requirements for care and management</w:t>
      </w:r>
      <w:r w:rsidRPr="00E44790">
        <w:t>.</w:t>
      </w:r>
      <w:r w:rsidRPr="00E44790">
        <w:rPr>
          <w:rFonts w:asciiTheme="majorHAnsi" w:hAnsiTheme="majorHAnsi"/>
        </w:rPr>
        <w:t xml:space="preserve"> </w:t>
      </w:r>
      <w:r w:rsidRPr="00E44790">
        <w:t>The dog then goes onto a</w:t>
      </w:r>
      <w:r w:rsidR="00B77EE0">
        <w:t>n educator/</w:t>
      </w:r>
      <w:r>
        <w:t>b</w:t>
      </w:r>
      <w:r w:rsidRPr="00E44790">
        <w:t xml:space="preserve">reaker or a </w:t>
      </w:r>
      <w:r>
        <w:t>pre-</w:t>
      </w:r>
      <w:r w:rsidRPr="00E44790">
        <w:t>educator</w:t>
      </w:r>
      <w:r>
        <w:t xml:space="preserve"> (see Section 1.2.4)</w:t>
      </w:r>
      <w:r w:rsidRPr="00E44790">
        <w:t xml:space="preserve"> for a short period to learn to chase the lure.</w:t>
      </w:r>
      <w:r w:rsidR="007B521C">
        <w:t xml:space="preserve"> </w:t>
      </w:r>
      <w:r w:rsidRPr="00E44790">
        <w:t xml:space="preserve">It is at that point that they determine whether a dog is </w:t>
      </w:r>
      <w:r>
        <w:t xml:space="preserve">determined to have racing potential </w:t>
      </w:r>
      <w:r w:rsidRPr="00E44790">
        <w:t xml:space="preserve">and named and then goes off to the trainer </w:t>
      </w:r>
      <w:r>
        <w:t>(</w:t>
      </w:r>
      <w:r w:rsidR="00874D32">
        <w:t xml:space="preserve">see </w:t>
      </w:r>
      <w:r>
        <w:t>Sections 1.2.</w:t>
      </w:r>
      <w:r w:rsidR="00874D32">
        <w:t>5</w:t>
      </w:r>
      <w:r>
        <w:t xml:space="preserve"> and 1.2.</w:t>
      </w:r>
      <w:r w:rsidR="00874D32">
        <w:t>6</w:t>
      </w:r>
      <w:r>
        <w:t>).</w:t>
      </w:r>
      <w:r w:rsidR="007B521C">
        <w:t xml:space="preserve"> </w:t>
      </w:r>
      <w:r w:rsidRPr="00E44790">
        <w:t xml:space="preserve">It is only </w:t>
      </w:r>
      <w:r>
        <w:t>when the greyhound is moved to a registered trainer</w:t>
      </w:r>
      <w:r w:rsidRPr="00E44790">
        <w:t xml:space="preserve"> </w:t>
      </w:r>
      <w:r>
        <w:t xml:space="preserve">do they return to the </w:t>
      </w:r>
      <w:r w:rsidR="00B77EE0">
        <w:t xml:space="preserve">clear </w:t>
      </w:r>
      <w:r>
        <w:t>oversight of</w:t>
      </w:r>
      <w:r w:rsidRPr="00E44790">
        <w:t xml:space="preserve"> GRV</w:t>
      </w:r>
      <w:r w:rsidR="00127532">
        <w:t xml:space="preserve"> with coverage for their care and management</w:t>
      </w:r>
      <w:r w:rsidRPr="00E44790">
        <w:t>.</w:t>
      </w:r>
      <w:r w:rsidR="00D71386" w:rsidRPr="00127532">
        <w:t xml:space="preserve"> </w:t>
      </w:r>
    </w:p>
    <w:p w:rsidR="00195586" w:rsidRDefault="00195586" w:rsidP="005E307C"/>
    <w:p w:rsidR="00C30F62" w:rsidRDefault="00195586" w:rsidP="00127532">
      <w:pPr>
        <w:jc w:val="both"/>
        <w:rPr>
          <w:rFonts w:cs="Arial-BoldMT"/>
          <w:bCs/>
          <w:color w:val="auto"/>
        </w:rPr>
      </w:pPr>
      <w:r w:rsidRPr="00E44790">
        <w:rPr>
          <w:rFonts w:cs="Arial-BoldMT"/>
          <w:bCs/>
        </w:rPr>
        <w:t xml:space="preserve">Gaps in reporting all stages in the lifecycle leave open the possibility for an under reporting on matters such as; over </w:t>
      </w:r>
      <w:r w:rsidRPr="00332810">
        <w:rPr>
          <w:rFonts w:cs="Arial-BoldMT"/>
          <w:bCs/>
        </w:rPr>
        <w:t xml:space="preserve">breeding (post retirement or early stage), </w:t>
      </w:r>
      <w:r>
        <w:rPr>
          <w:rFonts w:cs="Arial-BoldMT"/>
          <w:bCs/>
        </w:rPr>
        <w:t xml:space="preserve">poor </w:t>
      </w:r>
      <w:r w:rsidRPr="00332810">
        <w:rPr>
          <w:rFonts w:cs="Arial-BoldMT"/>
          <w:bCs/>
        </w:rPr>
        <w:t>health, injury or behavioural issues. Effectively there is a potential that a greyhound can be treated as a ‘second class dog’ until it is determined whether they have the potential to be a champion</w:t>
      </w:r>
      <w:r w:rsidRPr="00072C08">
        <w:rPr>
          <w:rFonts w:cs="Arial-BoldMT"/>
          <w:bCs/>
          <w:color w:val="auto"/>
        </w:rPr>
        <w:t xml:space="preserve">. </w:t>
      </w:r>
    </w:p>
    <w:p w:rsidR="00072C08" w:rsidRDefault="00072C08" w:rsidP="005E307C"/>
    <w:tbl>
      <w:tblPr>
        <w:tblW w:w="0" w:type="auto"/>
        <w:tblLook w:val="04A0" w:firstRow="1" w:lastRow="0" w:firstColumn="1" w:lastColumn="0" w:noHBand="0" w:noVBand="1"/>
      </w:tblPr>
      <w:tblGrid>
        <w:gridCol w:w="8437"/>
      </w:tblGrid>
      <w:tr w:rsidR="00072C08" w:rsidTr="00072C08">
        <w:tc>
          <w:tcPr>
            <w:tcW w:w="8437" w:type="dxa"/>
            <w:shd w:val="clear" w:color="auto" w:fill="D9D9D9" w:themeFill="background1" w:themeFillShade="D9"/>
          </w:tcPr>
          <w:p w:rsidR="00072C08" w:rsidRDefault="00072C08" w:rsidP="00072C08">
            <w:pPr>
              <w:rPr>
                <w:b/>
              </w:rPr>
            </w:pPr>
            <w:r>
              <w:rPr>
                <w:b/>
              </w:rPr>
              <w:t>Comment by GRV</w:t>
            </w:r>
            <w:r w:rsidRPr="00457D62">
              <w:rPr>
                <w:b/>
              </w:rPr>
              <w:t>;</w:t>
            </w:r>
          </w:p>
          <w:p w:rsidR="00072C08" w:rsidRPr="00072C08" w:rsidRDefault="00072C08" w:rsidP="00127532">
            <w:pPr>
              <w:jc w:val="both"/>
              <w:rPr>
                <w:rFonts w:cs="Arial-BoldMT"/>
                <w:bCs/>
                <w:color w:val="auto"/>
              </w:rPr>
            </w:pPr>
            <w:r w:rsidRPr="002F72B2">
              <w:rPr>
                <w:rFonts w:cs="Arial-BoldMT"/>
                <w:bCs/>
                <w:color w:val="auto"/>
              </w:rPr>
              <w:t>Through various initiatives currently under development</w:t>
            </w:r>
            <w:r w:rsidR="00163177">
              <w:rPr>
                <w:rFonts w:cs="Arial-BoldMT"/>
                <w:bCs/>
                <w:color w:val="auto"/>
              </w:rPr>
              <w:t>,</w:t>
            </w:r>
            <w:r w:rsidRPr="002F72B2">
              <w:rPr>
                <w:rFonts w:cs="Arial-BoldMT"/>
                <w:bCs/>
                <w:color w:val="auto"/>
              </w:rPr>
              <w:t xml:space="preserve"> GRV is enhancing the lifecycle tracking of greyhounds to ensure that </w:t>
            </w:r>
            <w:r w:rsidR="00163177">
              <w:rPr>
                <w:rFonts w:cs="Arial-BoldMT"/>
                <w:bCs/>
                <w:color w:val="auto"/>
              </w:rPr>
              <w:t>any</w:t>
            </w:r>
            <w:r w:rsidRPr="002F72B2">
              <w:rPr>
                <w:rFonts w:cs="Arial-BoldMT"/>
                <w:bCs/>
                <w:color w:val="auto"/>
              </w:rPr>
              <w:t xml:space="preserve"> gap</w:t>
            </w:r>
            <w:r>
              <w:rPr>
                <w:rFonts w:cs="Arial-BoldMT"/>
                <w:bCs/>
                <w:color w:val="auto"/>
              </w:rPr>
              <w:t>s are identified and addressed.</w:t>
            </w:r>
          </w:p>
        </w:tc>
      </w:tr>
    </w:tbl>
    <w:p w:rsidR="00FA31C9" w:rsidRDefault="00FA31C9">
      <w:pPr>
        <w:rPr>
          <w:i/>
          <w:color w:val="53565A"/>
          <w:sz w:val="24"/>
          <w:szCs w:val="24"/>
          <w:lang w:val="en-US"/>
        </w:rPr>
      </w:pPr>
      <w:bookmarkStart w:id="67" w:name="_Toc469529151"/>
      <w:bookmarkStart w:id="68" w:name="_Toc477190164"/>
    </w:p>
    <w:p w:rsidR="00F803A8" w:rsidRPr="00793D7D" w:rsidRDefault="00F803A8" w:rsidP="005E307C">
      <w:pPr>
        <w:pStyle w:val="Heading3"/>
        <w:rPr>
          <w:color w:val="auto"/>
          <w:lang w:val="en-US"/>
        </w:rPr>
      </w:pPr>
      <w:r>
        <w:rPr>
          <w:lang w:val="en-US"/>
        </w:rPr>
        <w:lastRenderedPageBreak/>
        <w:t>1.</w:t>
      </w:r>
      <w:r w:rsidRPr="00F86138">
        <w:rPr>
          <w:lang w:val="en-US"/>
        </w:rPr>
        <w:t>4.</w:t>
      </w:r>
      <w:r w:rsidR="008A7AF1">
        <w:rPr>
          <w:lang w:val="en-US"/>
        </w:rPr>
        <w:t>6</w:t>
      </w:r>
      <w:r w:rsidRPr="00F86138">
        <w:rPr>
          <w:lang w:val="en-US"/>
        </w:rPr>
        <w:t xml:space="preserve"> </w:t>
      </w:r>
      <w:r w:rsidR="00F86138" w:rsidRPr="00F86138">
        <w:rPr>
          <w:lang w:val="en-US"/>
        </w:rPr>
        <w:t xml:space="preserve">Participant </w:t>
      </w:r>
      <w:r w:rsidR="00F86138" w:rsidRPr="00142863">
        <w:t>behaviour</w:t>
      </w:r>
      <w:r w:rsidR="00F86138" w:rsidRPr="00F86138">
        <w:rPr>
          <w:lang w:val="en-US"/>
        </w:rPr>
        <w:t>/compliance</w:t>
      </w:r>
      <w:bookmarkEnd w:id="67"/>
      <w:bookmarkEnd w:id="68"/>
    </w:p>
    <w:p w:rsidR="00EF28B8" w:rsidRPr="00EF28B8" w:rsidRDefault="00EF28B8" w:rsidP="005D22C9">
      <w:pPr>
        <w:jc w:val="both"/>
        <w:rPr>
          <w:rFonts w:eastAsia="Cambria" w:cs="Times New Roman"/>
        </w:rPr>
      </w:pPr>
      <w:r w:rsidRPr="00EF28B8">
        <w:rPr>
          <w:rFonts w:eastAsia="Cambria" w:cs="Times New Roman"/>
        </w:rPr>
        <w:t>The current legislative environment is very complex</w:t>
      </w:r>
      <w:r w:rsidR="00874D32">
        <w:rPr>
          <w:rFonts w:eastAsia="Cambria" w:cs="Times New Roman"/>
        </w:rPr>
        <w:t xml:space="preserve"> with</w:t>
      </w:r>
      <w:r w:rsidRPr="00EF28B8">
        <w:rPr>
          <w:rFonts w:eastAsia="Cambria" w:cs="Arial"/>
          <w:szCs w:val="20"/>
        </w:rPr>
        <w:t xml:space="preserve"> confusion within </w:t>
      </w:r>
      <w:r w:rsidR="00C47CC3">
        <w:rPr>
          <w:rFonts w:eastAsia="Cambria" w:cs="Arial"/>
          <w:szCs w:val="20"/>
        </w:rPr>
        <w:t xml:space="preserve">all arms of </w:t>
      </w:r>
      <w:r w:rsidRPr="00EF28B8">
        <w:rPr>
          <w:rFonts w:eastAsia="Cambria" w:cs="Arial"/>
          <w:szCs w:val="20"/>
        </w:rPr>
        <w:t>the industry in relation to the status of the GRV Code</w:t>
      </w:r>
      <w:r w:rsidR="00245DD7">
        <w:rPr>
          <w:rFonts w:eastAsia="Cambria" w:cs="Arial"/>
          <w:szCs w:val="20"/>
        </w:rPr>
        <w:t>,</w:t>
      </w:r>
      <w:r w:rsidRPr="00EF28B8">
        <w:rPr>
          <w:rFonts w:eastAsia="Cambria" w:cs="Arial"/>
          <w:szCs w:val="20"/>
        </w:rPr>
        <w:t xml:space="preserve"> the DAA Code</w:t>
      </w:r>
      <w:r w:rsidR="00245DD7">
        <w:rPr>
          <w:rFonts w:eastAsia="Cambria" w:cs="Arial"/>
          <w:szCs w:val="20"/>
        </w:rPr>
        <w:t>,</w:t>
      </w:r>
      <w:r w:rsidRPr="00EF28B8">
        <w:rPr>
          <w:rFonts w:eastAsia="Cambria" w:cs="Arial"/>
          <w:szCs w:val="20"/>
        </w:rPr>
        <w:t xml:space="preserve"> and the local rules. </w:t>
      </w:r>
      <w:r w:rsidRPr="00EF28B8">
        <w:rPr>
          <w:rFonts w:eastAsia="Cambria" w:cs="Times New Roman"/>
        </w:rPr>
        <w:t>There is significant non-compliance through a lack of understanding and clarity of who has to comply with what legislation, rules or policies.</w:t>
      </w:r>
    </w:p>
    <w:p w:rsidR="00EF28B8" w:rsidRPr="00EF28B8" w:rsidRDefault="00EF28B8" w:rsidP="005D22C9">
      <w:pPr>
        <w:jc w:val="both"/>
        <w:rPr>
          <w:rFonts w:eastAsia="Cambria" w:cs="Times New Roman"/>
          <w:lang w:val="en-US"/>
        </w:rPr>
      </w:pPr>
    </w:p>
    <w:p w:rsidR="00874D32" w:rsidRPr="00F1231E" w:rsidRDefault="004122E9" w:rsidP="005D22C9">
      <w:pPr>
        <w:jc w:val="both"/>
        <w:rPr>
          <w:rFonts w:eastAsia="Cambria" w:cs="Times New Roman"/>
          <w:lang w:val="en-US"/>
        </w:rPr>
      </w:pPr>
      <w:r>
        <w:rPr>
          <w:rFonts w:eastAsia="Cambria" w:cs="Times New Roman"/>
          <w:lang w:val="en-US"/>
        </w:rPr>
        <w:t>DEDJTR has built a view of compliance in the industry based on information from GRV data and discussions with GRV on the industry.</w:t>
      </w:r>
      <w:r w:rsidR="007B521C">
        <w:rPr>
          <w:rFonts w:eastAsia="Cambria" w:cs="Times New Roman"/>
          <w:lang w:val="en-US"/>
        </w:rPr>
        <w:t xml:space="preserve"> </w:t>
      </w:r>
      <w:r w:rsidR="00DE51D7">
        <w:rPr>
          <w:rFonts w:eastAsia="Cambria" w:cs="Times New Roman"/>
          <w:lang w:val="en-US"/>
        </w:rPr>
        <w:t xml:space="preserve">This view </w:t>
      </w:r>
      <w:r w:rsidR="00EF28B8" w:rsidRPr="00EF28B8">
        <w:rPr>
          <w:rFonts w:eastAsia="Cambria" w:cs="Times New Roman"/>
          <w:lang w:val="en-US"/>
        </w:rPr>
        <w:t>highlight</w:t>
      </w:r>
      <w:r w:rsidR="00DE51D7">
        <w:rPr>
          <w:rFonts w:eastAsia="Cambria" w:cs="Times New Roman"/>
          <w:lang w:val="en-US"/>
        </w:rPr>
        <w:t>s</w:t>
      </w:r>
      <w:r w:rsidR="00EF28B8" w:rsidRPr="00EF28B8">
        <w:rPr>
          <w:rFonts w:eastAsia="Cambria" w:cs="Times New Roman"/>
          <w:lang w:val="en-US"/>
        </w:rPr>
        <w:t xml:space="preserve"> the split within industry on the level of understanding of compliance requirements and willingness (attitude) towards various </w:t>
      </w:r>
      <w:r w:rsidR="00DE51D7">
        <w:rPr>
          <w:rFonts w:eastAsia="Cambria" w:cs="Times New Roman"/>
          <w:lang w:val="en-US"/>
        </w:rPr>
        <w:t xml:space="preserve">current </w:t>
      </w:r>
      <w:r w:rsidR="00EF28B8" w:rsidRPr="00EF28B8">
        <w:rPr>
          <w:rFonts w:eastAsia="Cambria" w:cs="Times New Roman"/>
          <w:lang w:val="en-US"/>
        </w:rPr>
        <w:t>standards.</w:t>
      </w:r>
      <w:r w:rsidR="007B521C">
        <w:rPr>
          <w:rFonts w:eastAsia="Cambria" w:cs="Times New Roman"/>
          <w:lang w:val="en-US"/>
        </w:rPr>
        <w:t xml:space="preserve"> </w:t>
      </w:r>
      <w:r w:rsidR="00874D32">
        <w:rPr>
          <w:rFonts w:eastAsia="Cambria" w:cs="Times New Roman"/>
          <w:lang w:val="en-US"/>
        </w:rPr>
        <w:t>Based on</w:t>
      </w:r>
      <w:r w:rsidR="00072C08">
        <w:rPr>
          <w:rFonts w:eastAsia="Cambria" w:cs="Times New Roman"/>
          <w:lang w:val="en-US"/>
        </w:rPr>
        <w:t xml:space="preserve"> </w:t>
      </w:r>
      <w:r w:rsidR="00A65F6F">
        <w:rPr>
          <w:rFonts w:eastAsia="Cambria" w:cs="Times New Roman"/>
          <w:lang w:val="en-US"/>
        </w:rPr>
        <w:t xml:space="preserve">these discussions </w:t>
      </w:r>
      <w:r w:rsidR="0003698C">
        <w:rPr>
          <w:rFonts w:eastAsia="Cambria" w:cs="Times New Roman"/>
          <w:lang w:val="en-US"/>
        </w:rPr>
        <w:t>and</w:t>
      </w:r>
      <w:r w:rsidR="00DE51D7">
        <w:rPr>
          <w:rFonts w:eastAsia="Cambria" w:cs="Times New Roman"/>
          <w:lang w:val="en-US"/>
        </w:rPr>
        <w:t xml:space="preserve"> a view of compliance by</w:t>
      </w:r>
      <w:r w:rsidR="0003698C">
        <w:rPr>
          <w:rFonts w:eastAsia="Cambria" w:cs="Times New Roman"/>
          <w:lang w:val="en-US"/>
        </w:rPr>
        <w:t xml:space="preserve"> </w:t>
      </w:r>
      <w:r w:rsidR="00874D32">
        <w:rPr>
          <w:rFonts w:eastAsia="Cambria" w:cs="Times New Roman"/>
          <w:lang w:val="en-US"/>
        </w:rPr>
        <w:t xml:space="preserve">DEDJTR, </w:t>
      </w:r>
      <w:r w:rsidR="006E3A73">
        <w:rPr>
          <w:rFonts w:eastAsia="Cambria" w:cs="Times New Roman"/>
          <w:lang w:val="en-US"/>
        </w:rPr>
        <w:t>the appropriate b</w:t>
      </w:r>
      <w:r w:rsidR="007110D4">
        <w:rPr>
          <w:rFonts w:eastAsia="Cambria" w:cs="Times New Roman"/>
          <w:lang w:val="en-US"/>
        </w:rPr>
        <w:t>r</w:t>
      </w:r>
      <w:r w:rsidR="006E3A73">
        <w:rPr>
          <w:rFonts w:eastAsia="Cambria" w:cs="Times New Roman"/>
          <w:lang w:val="en-US"/>
        </w:rPr>
        <w:t xml:space="preserve">eak-up of </w:t>
      </w:r>
      <w:r w:rsidR="00C5269B">
        <w:rPr>
          <w:rFonts w:eastAsia="Cambria" w:cs="Times New Roman"/>
          <w:lang w:val="en-US"/>
        </w:rPr>
        <w:t>non-compliance</w:t>
      </w:r>
      <w:r w:rsidR="006E3A73">
        <w:rPr>
          <w:rFonts w:eastAsia="Cambria" w:cs="Times New Roman"/>
          <w:lang w:val="en-US"/>
        </w:rPr>
        <w:t xml:space="preserve"> rates</w:t>
      </w:r>
      <w:r w:rsidR="00DE51D7">
        <w:rPr>
          <w:rFonts w:eastAsia="Cambria" w:cs="Times New Roman"/>
          <w:lang w:val="en-US"/>
        </w:rPr>
        <w:t xml:space="preserve"> are estimated as </w:t>
      </w:r>
      <w:r w:rsidR="00C5269B">
        <w:rPr>
          <w:rFonts w:eastAsia="Cambria" w:cs="Times New Roman"/>
          <w:lang w:val="en-US"/>
        </w:rPr>
        <w:t xml:space="preserve">32% of participants with 6 to 30 dogs and around 64% of </w:t>
      </w:r>
      <w:r w:rsidR="00DE51D7">
        <w:rPr>
          <w:rFonts w:eastAsia="Cambria" w:cs="Times New Roman"/>
          <w:lang w:val="en-US"/>
        </w:rPr>
        <w:t xml:space="preserve">all </w:t>
      </w:r>
      <w:r w:rsidR="00C5269B">
        <w:rPr>
          <w:rFonts w:eastAsia="Cambria" w:cs="Times New Roman"/>
          <w:lang w:val="en-US"/>
        </w:rPr>
        <w:t xml:space="preserve">small participants, as </w:t>
      </w:r>
      <w:r w:rsidR="0003698C">
        <w:rPr>
          <w:rFonts w:eastAsia="Cambria" w:cs="Times New Roman"/>
          <w:lang w:val="en-US"/>
        </w:rPr>
        <w:t xml:space="preserve">shown in Table </w:t>
      </w:r>
      <w:r w:rsidR="00450604">
        <w:rPr>
          <w:rFonts w:eastAsia="Cambria" w:cs="Times New Roman"/>
          <w:lang w:val="en-US"/>
        </w:rPr>
        <w:t>11</w:t>
      </w:r>
      <w:r w:rsidR="0003698C">
        <w:rPr>
          <w:rFonts w:eastAsia="Cambria" w:cs="Times New Roman"/>
          <w:lang w:val="en-US"/>
        </w:rPr>
        <w:t>.</w:t>
      </w:r>
      <w:r w:rsidR="007B521C">
        <w:rPr>
          <w:rFonts w:eastAsia="Cambria" w:cs="Times New Roman"/>
          <w:lang w:val="en-US"/>
        </w:rPr>
        <w:t xml:space="preserve"> </w:t>
      </w:r>
      <w:r w:rsidR="00A65F6F">
        <w:rPr>
          <w:rFonts w:eastAsia="Cambria" w:cs="Times New Roman"/>
          <w:lang w:val="en-US"/>
        </w:rPr>
        <w:t>This also suggests</w:t>
      </w:r>
      <w:r w:rsidR="00693A25">
        <w:rPr>
          <w:rFonts w:eastAsia="Cambria" w:cs="Times New Roman"/>
          <w:lang w:val="en-US"/>
        </w:rPr>
        <w:t xml:space="preserve"> n</w:t>
      </w:r>
      <w:r>
        <w:rPr>
          <w:rFonts w:eastAsia="Cambria" w:cs="Times New Roman"/>
          <w:lang w:val="en-US"/>
        </w:rPr>
        <w:t>on-compliant small participants tend to be those who form a close attachment to their greyhounds and want to comply but can’t due to financial means or lack of knowledge, as opposed to not wanting to comply.</w:t>
      </w:r>
    </w:p>
    <w:p w:rsidR="0003698C" w:rsidRDefault="0003698C" w:rsidP="005D22C9">
      <w:pPr>
        <w:jc w:val="both"/>
        <w:rPr>
          <w:rFonts w:eastAsia="Cambria" w:cs="Times New Roman"/>
          <w:lang w:val="en-US"/>
        </w:rPr>
      </w:pPr>
    </w:p>
    <w:p w:rsidR="00874D32" w:rsidRDefault="0003698C" w:rsidP="004B0055">
      <w:pPr>
        <w:jc w:val="center"/>
        <w:rPr>
          <w:rFonts w:cs="Arial-BoldMT"/>
          <w:b/>
          <w:bCs/>
          <w:sz w:val="20"/>
          <w:szCs w:val="20"/>
        </w:rPr>
      </w:pPr>
      <w:r w:rsidRPr="00DD08EF">
        <w:rPr>
          <w:rFonts w:cs="Arial-BoldMT"/>
          <w:b/>
          <w:bCs/>
          <w:sz w:val="20"/>
          <w:szCs w:val="20"/>
        </w:rPr>
        <w:t xml:space="preserve">Table </w:t>
      </w:r>
      <w:r w:rsidR="00450604">
        <w:rPr>
          <w:rFonts w:cs="Arial-BoldMT"/>
          <w:b/>
          <w:bCs/>
          <w:sz w:val="20"/>
          <w:szCs w:val="20"/>
        </w:rPr>
        <w:t>11</w:t>
      </w:r>
      <w:r w:rsidRPr="00DD08EF">
        <w:rPr>
          <w:rFonts w:cs="Arial-BoldMT"/>
          <w:b/>
          <w:bCs/>
          <w:sz w:val="20"/>
          <w:szCs w:val="20"/>
        </w:rPr>
        <w:t xml:space="preserve">: </w:t>
      </w:r>
      <w:r w:rsidR="00D149A2">
        <w:rPr>
          <w:rFonts w:cs="Arial-BoldMT"/>
          <w:b/>
          <w:bCs/>
          <w:sz w:val="20"/>
          <w:szCs w:val="20"/>
        </w:rPr>
        <w:t>Non-compliance rates in the greyh</w:t>
      </w:r>
      <w:r w:rsidR="00AF11A1">
        <w:rPr>
          <w:rFonts w:cs="Arial-BoldMT"/>
          <w:b/>
          <w:bCs/>
          <w:sz w:val="20"/>
          <w:szCs w:val="20"/>
        </w:rPr>
        <w:t>ound racing industry and reasons</w:t>
      </w:r>
      <w:r w:rsidR="00D149A2">
        <w:rPr>
          <w:rFonts w:cs="Arial-BoldMT"/>
          <w:b/>
          <w:bCs/>
          <w:sz w:val="20"/>
          <w:szCs w:val="20"/>
        </w:rPr>
        <w:t xml:space="preserve"> behind non-compliance</w:t>
      </w:r>
    </w:p>
    <w:p w:rsidR="00D149A2" w:rsidRDefault="00D149A2" w:rsidP="005D22C9">
      <w:pPr>
        <w:jc w:val="both"/>
        <w:rPr>
          <w:rFonts w:eastAsia="Cambria" w:cs="Times New Roman"/>
          <w:lang w:val="en-US"/>
        </w:rPr>
      </w:pPr>
    </w:p>
    <w:tbl>
      <w:tblPr>
        <w:tblW w:w="8222" w:type="dxa"/>
        <w:tblLook w:val="04A0" w:firstRow="1" w:lastRow="0" w:firstColumn="1" w:lastColumn="0" w:noHBand="0" w:noVBand="1"/>
      </w:tblPr>
      <w:tblGrid>
        <w:gridCol w:w="1560"/>
        <w:gridCol w:w="2835"/>
        <w:gridCol w:w="1166"/>
        <w:gridCol w:w="2661"/>
      </w:tblGrid>
      <w:tr w:rsidR="0003698C" w:rsidRPr="005E307C" w:rsidTr="0063474F">
        <w:trPr>
          <w:trHeight w:val="315"/>
        </w:trPr>
        <w:tc>
          <w:tcPr>
            <w:tcW w:w="1560" w:type="dxa"/>
            <w:tcBorders>
              <w:top w:val="single" w:sz="4" w:space="0" w:color="1F4E78"/>
              <w:left w:val="nil"/>
              <w:bottom w:val="double" w:sz="6" w:space="0" w:color="1F4E78"/>
              <w:right w:val="nil"/>
            </w:tcBorders>
            <w:shd w:val="clear" w:color="000000" w:fill="FFFFFF"/>
            <w:noWrap/>
            <w:vAlign w:val="bottom"/>
            <w:hideMark/>
          </w:tcPr>
          <w:p w:rsidR="008A0499" w:rsidRPr="005E307C" w:rsidRDefault="00AF11A1" w:rsidP="008A0499">
            <w:pPr>
              <w:rPr>
                <w:rFonts w:eastAsia="Times New Roman" w:cs="Calibri"/>
                <w:b/>
                <w:bCs/>
                <w:color w:val="53565A"/>
                <w:sz w:val="20"/>
                <w:szCs w:val="20"/>
                <w:lang w:eastAsia="en-AU"/>
              </w:rPr>
            </w:pPr>
            <w:r w:rsidRPr="005E307C">
              <w:rPr>
                <w:rFonts w:eastAsia="Times New Roman" w:cs="Calibri"/>
                <w:b/>
                <w:bCs/>
                <w:color w:val="53565A"/>
                <w:sz w:val="20"/>
                <w:szCs w:val="20"/>
                <w:lang w:eastAsia="en-AU"/>
              </w:rPr>
              <w:t>Type of non-compliance</w:t>
            </w:r>
          </w:p>
        </w:tc>
        <w:tc>
          <w:tcPr>
            <w:tcW w:w="2835" w:type="dxa"/>
            <w:tcBorders>
              <w:top w:val="single" w:sz="4" w:space="0" w:color="1F4E78"/>
              <w:left w:val="nil"/>
              <w:bottom w:val="double" w:sz="6" w:space="0" w:color="1F4E78"/>
              <w:right w:val="nil"/>
            </w:tcBorders>
            <w:shd w:val="clear" w:color="000000" w:fill="FFFFFF"/>
            <w:noWrap/>
            <w:vAlign w:val="bottom"/>
            <w:hideMark/>
          </w:tcPr>
          <w:p w:rsidR="008A0499" w:rsidRPr="005E307C" w:rsidRDefault="008A0499">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Category of participants</w:t>
            </w:r>
          </w:p>
        </w:tc>
        <w:tc>
          <w:tcPr>
            <w:tcW w:w="1166" w:type="dxa"/>
            <w:tcBorders>
              <w:top w:val="single" w:sz="4" w:space="0" w:color="1F4E78"/>
              <w:left w:val="nil"/>
              <w:bottom w:val="double" w:sz="6" w:space="0" w:color="1F4E78"/>
              <w:right w:val="nil"/>
            </w:tcBorders>
            <w:shd w:val="clear" w:color="000000" w:fill="FFFFFF"/>
            <w:noWrap/>
            <w:vAlign w:val="bottom"/>
            <w:hideMark/>
          </w:tcPr>
          <w:p w:rsidR="008A0499" w:rsidRPr="005E307C" w:rsidRDefault="008A0499" w:rsidP="004B0055">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Non-compliance rate</w:t>
            </w:r>
          </w:p>
        </w:tc>
        <w:tc>
          <w:tcPr>
            <w:tcW w:w="2661" w:type="dxa"/>
            <w:tcBorders>
              <w:top w:val="single" w:sz="4" w:space="0" w:color="1F4E78"/>
              <w:left w:val="nil"/>
              <w:bottom w:val="double" w:sz="6" w:space="0" w:color="1F4E78"/>
              <w:right w:val="nil"/>
            </w:tcBorders>
            <w:shd w:val="clear" w:color="000000" w:fill="FFFFFF"/>
            <w:noWrap/>
            <w:vAlign w:val="bottom"/>
            <w:hideMark/>
          </w:tcPr>
          <w:p w:rsidR="008A0499" w:rsidRPr="005E307C" w:rsidRDefault="008A0499" w:rsidP="004B0055">
            <w:pPr>
              <w:jc w:val="center"/>
              <w:rPr>
                <w:rFonts w:eastAsia="Times New Roman" w:cs="Calibri"/>
                <w:b/>
                <w:bCs/>
                <w:color w:val="53565A"/>
                <w:sz w:val="20"/>
                <w:szCs w:val="20"/>
                <w:lang w:eastAsia="en-AU"/>
              </w:rPr>
            </w:pPr>
            <w:r w:rsidRPr="005E307C">
              <w:rPr>
                <w:rFonts w:eastAsia="Times New Roman" w:cs="Calibri"/>
                <w:b/>
                <w:bCs/>
                <w:color w:val="53565A"/>
                <w:sz w:val="20"/>
                <w:szCs w:val="20"/>
                <w:lang w:eastAsia="en-AU"/>
              </w:rPr>
              <w:t>Reason for non-compliance</w:t>
            </w:r>
          </w:p>
        </w:tc>
      </w:tr>
      <w:tr w:rsidR="0003698C" w:rsidRPr="008A0499" w:rsidTr="0063474F">
        <w:trPr>
          <w:trHeight w:val="593"/>
        </w:trPr>
        <w:tc>
          <w:tcPr>
            <w:tcW w:w="1560" w:type="dxa"/>
            <w:tcBorders>
              <w:top w:val="nil"/>
              <w:left w:val="nil"/>
              <w:bottom w:val="nil"/>
              <w:right w:val="nil"/>
            </w:tcBorders>
            <w:shd w:val="clear" w:color="000000" w:fill="FFFFFF"/>
            <w:noWrap/>
            <w:vAlign w:val="center"/>
            <w:hideMark/>
          </w:tcPr>
          <w:p w:rsidR="008A0499" w:rsidRPr="008A0499" w:rsidRDefault="008A0499" w:rsidP="0063474F">
            <w:pPr>
              <w:rPr>
                <w:rFonts w:eastAsia="Times New Roman" w:cs="Calibri"/>
                <w:sz w:val="20"/>
                <w:szCs w:val="20"/>
                <w:lang w:eastAsia="en-AU"/>
              </w:rPr>
            </w:pPr>
            <w:r w:rsidRPr="008A0499">
              <w:rPr>
                <w:rFonts w:eastAsia="Times New Roman" w:cs="Calibri"/>
                <w:sz w:val="20"/>
                <w:szCs w:val="20"/>
                <w:lang w:eastAsia="en-AU"/>
              </w:rPr>
              <w:t>Do not want to comply</w:t>
            </w:r>
          </w:p>
        </w:tc>
        <w:tc>
          <w:tcPr>
            <w:tcW w:w="2835" w:type="dxa"/>
            <w:tcBorders>
              <w:top w:val="nil"/>
              <w:left w:val="nil"/>
              <w:bottom w:val="nil"/>
              <w:right w:val="nil"/>
            </w:tcBorders>
            <w:shd w:val="clear" w:color="000000" w:fill="FFFFFF"/>
            <w:noWrap/>
            <w:vAlign w:val="center"/>
            <w:hideMark/>
          </w:tcPr>
          <w:p w:rsidR="008A0499" w:rsidRPr="008A0499" w:rsidRDefault="008A0499" w:rsidP="0063474F">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sidR="0003698C">
              <w:rPr>
                <w:rFonts w:eastAsia="Times New Roman" w:cs="Calibri"/>
                <w:sz w:val="20"/>
                <w:szCs w:val="20"/>
                <w:lang w:eastAsia="en-AU"/>
              </w:rPr>
              <w:t xml:space="preserve">&amp; </w:t>
            </w:r>
            <w:r w:rsidRPr="008A0499">
              <w:rPr>
                <w:rFonts w:eastAsia="Times New Roman" w:cs="Calibri"/>
                <w:sz w:val="20"/>
                <w:szCs w:val="20"/>
                <w:lang w:eastAsia="en-AU"/>
              </w:rPr>
              <w:t>trainers</w:t>
            </w:r>
            <w:r w:rsidR="00BB046E">
              <w:rPr>
                <w:rFonts w:eastAsia="Times New Roman" w:cs="Calibri"/>
                <w:sz w:val="20"/>
                <w:szCs w:val="20"/>
                <w:lang w:eastAsia="en-AU"/>
              </w:rPr>
              <w:t xml:space="preserve"> (</w:t>
            </w:r>
            <w:r w:rsidR="0063474F">
              <w:rPr>
                <w:rFonts w:eastAsia="Times New Roman" w:cs="Calibri"/>
                <w:sz w:val="20"/>
                <w:szCs w:val="20"/>
                <w:lang w:eastAsia="en-AU"/>
              </w:rPr>
              <w:t xml:space="preserve">Participants </w:t>
            </w:r>
            <w:r w:rsidR="00BB046E">
              <w:rPr>
                <w:rFonts w:eastAsia="Times New Roman" w:cs="Calibri"/>
                <w:sz w:val="20"/>
                <w:szCs w:val="20"/>
                <w:lang w:eastAsia="en-AU"/>
              </w:rPr>
              <w:t>with 6 to 30 dogs)</w:t>
            </w:r>
          </w:p>
        </w:tc>
        <w:tc>
          <w:tcPr>
            <w:tcW w:w="1166" w:type="dxa"/>
            <w:tcBorders>
              <w:top w:val="nil"/>
              <w:left w:val="nil"/>
              <w:bottom w:val="nil"/>
              <w:right w:val="nil"/>
            </w:tcBorders>
            <w:shd w:val="clear" w:color="000000" w:fill="FFFFFF"/>
            <w:noWrap/>
            <w:vAlign w:val="center"/>
            <w:hideMark/>
          </w:tcPr>
          <w:p w:rsidR="008A0499" w:rsidRPr="008A0499" w:rsidRDefault="00BB046E" w:rsidP="0063474F">
            <w:pPr>
              <w:jc w:val="center"/>
              <w:rPr>
                <w:rFonts w:eastAsia="Times New Roman" w:cs="Calibri"/>
                <w:sz w:val="20"/>
                <w:szCs w:val="20"/>
                <w:lang w:eastAsia="en-AU"/>
              </w:rPr>
            </w:pPr>
            <w:r>
              <w:rPr>
                <w:rFonts w:eastAsia="Times New Roman" w:cs="Calibri"/>
                <w:sz w:val="20"/>
                <w:szCs w:val="20"/>
                <w:lang w:eastAsia="en-AU"/>
              </w:rPr>
              <w:t>32</w:t>
            </w:r>
            <w:r w:rsidR="008A0499" w:rsidRPr="008A0499">
              <w:rPr>
                <w:rFonts w:eastAsia="Times New Roman" w:cs="Calibri"/>
                <w:sz w:val="20"/>
                <w:szCs w:val="20"/>
                <w:lang w:eastAsia="en-AU"/>
              </w:rPr>
              <w:t>%</w:t>
            </w:r>
          </w:p>
        </w:tc>
        <w:tc>
          <w:tcPr>
            <w:tcW w:w="2661" w:type="dxa"/>
            <w:tcBorders>
              <w:top w:val="nil"/>
              <w:left w:val="nil"/>
              <w:bottom w:val="nil"/>
              <w:right w:val="nil"/>
            </w:tcBorders>
            <w:shd w:val="clear" w:color="000000" w:fill="FFFFFF"/>
            <w:noWrap/>
            <w:vAlign w:val="center"/>
            <w:hideMark/>
          </w:tcPr>
          <w:p w:rsidR="008A0499" w:rsidRPr="008A0499" w:rsidRDefault="008A0499" w:rsidP="0063474F">
            <w:pPr>
              <w:rPr>
                <w:rFonts w:eastAsia="Times New Roman" w:cs="Calibri"/>
                <w:sz w:val="20"/>
                <w:szCs w:val="20"/>
                <w:lang w:eastAsia="en-AU"/>
              </w:rPr>
            </w:pPr>
            <w:r w:rsidRPr="008A0499">
              <w:rPr>
                <w:rFonts w:eastAsia="Times New Roman" w:cs="Calibri"/>
                <w:sz w:val="20"/>
                <w:szCs w:val="20"/>
                <w:lang w:eastAsia="en-AU"/>
              </w:rPr>
              <w:t>Attitudes, culture, age</w:t>
            </w:r>
          </w:p>
        </w:tc>
      </w:tr>
      <w:tr w:rsidR="0003698C" w:rsidRPr="008A0499" w:rsidTr="0063474F">
        <w:trPr>
          <w:trHeight w:val="705"/>
        </w:trPr>
        <w:tc>
          <w:tcPr>
            <w:tcW w:w="1560" w:type="dxa"/>
            <w:tcBorders>
              <w:top w:val="nil"/>
              <w:left w:val="nil"/>
              <w:right w:val="nil"/>
            </w:tcBorders>
            <w:shd w:val="clear" w:color="000000" w:fill="FFFFFF"/>
            <w:noWrap/>
            <w:vAlign w:val="center"/>
            <w:hideMark/>
          </w:tcPr>
          <w:p w:rsidR="008A0499" w:rsidRPr="008A0499" w:rsidRDefault="008A0499" w:rsidP="0063474F">
            <w:pPr>
              <w:rPr>
                <w:rFonts w:eastAsia="Times New Roman" w:cs="Calibri"/>
                <w:sz w:val="20"/>
                <w:szCs w:val="20"/>
                <w:lang w:eastAsia="en-AU"/>
              </w:rPr>
            </w:pPr>
            <w:r w:rsidRPr="008A0499">
              <w:rPr>
                <w:rFonts w:eastAsia="Times New Roman" w:cs="Calibri"/>
                <w:sz w:val="20"/>
                <w:szCs w:val="20"/>
                <w:lang w:eastAsia="en-AU"/>
              </w:rPr>
              <w:t>Want to comply but can't</w:t>
            </w:r>
          </w:p>
        </w:tc>
        <w:tc>
          <w:tcPr>
            <w:tcW w:w="2835" w:type="dxa"/>
            <w:tcBorders>
              <w:top w:val="nil"/>
              <w:left w:val="nil"/>
              <w:right w:val="nil"/>
            </w:tcBorders>
            <w:shd w:val="clear" w:color="000000" w:fill="FFFFFF"/>
            <w:noWrap/>
            <w:vAlign w:val="center"/>
            <w:hideMark/>
          </w:tcPr>
          <w:p w:rsidR="008A0499" w:rsidRDefault="008A0499" w:rsidP="0063474F">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sidR="0003698C">
              <w:rPr>
                <w:rFonts w:eastAsia="Times New Roman" w:cs="Calibri"/>
                <w:sz w:val="20"/>
                <w:szCs w:val="20"/>
                <w:lang w:eastAsia="en-AU"/>
              </w:rPr>
              <w:t xml:space="preserve">&amp; </w:t>
            </w:r>
            <w:r w:rsidRPr="008A0499">
              <w:rPr>
                <w:rFonts w:eastAsia="Times New Roman" w:cs="Calibri"/>
                <w:sz w:val="20"/>
                <w:szCs w:val="20"/>
                <w:lang w:eastAsia="en-AU"/>
              </w:rPr>
              <w:t>trainers</w:t>
            </w:r>
          </w:p>
          <w:p w:rsidR="00BB046E" w:rsidRPr="008A0499" w:rsidRDefault="0063474F" w:rsidP="0063474F">
            <w:pPr>
              <w:jc w:val="center"/>
              <w:rPr>
                <w:rFonts w:eastAsia="Times New Roman" w:cs="Calibri"/>
                <w:sz w:val="20"/>
                <w:szCs w:val="20"/>
                <w:lang w:eastAsia="en-AU"/>
              </w:rPr>
            </w:pPr>
            <w:r>
              <w:rPr>
                <w:rFonts w:eastAsia="Times New Roman" w:cs="Calibri"/>
                <w:sz w:val="20"/>
                <w:szCs w:val="20"/>
                <w:lang w:eastAsia="en-AU"/>
              </w:rPr>
              <w:t xml:space="preserve">(All small </w:t>
            </w:r>
            <w:r w:rsidR="00BB046E">
              <w:rPr>
                <w:rFonts w:eastAsia="Times New Roman" w:cs="Calibri"/>
                <w:sz w:val="20"/>
                <w:szCs w:val="20"/>
                <w:lang w:eastAsia="en-AU"/>
              </w:rPr>
              <w:t>participants)</w:t>
            </w:r>
          </w:p>
        </w:tc>
        <w:tc>
          <w:tcPr>
            <w:tcW w:w="1166" w:type="dxa"/>
            <w:tcBorders>
              <w:top w:val="nil"/>
              <w:left w:val="nil"/>
              <w:right w:val="nil"/>
            </w:tcBorders>
            <w:shd w:val="clear" w:color="000000" w:fill="FFFFFF"/>
            <w:noWrap/>
            <w:vAlign w:val="center"/>
            <w:hideMark/>
          </w:tcPr>
          <w:p w:rsidR="008A0499" w:rsidRPr="008A0499" w:rsidRDefault="00BB046E" w:rsidP="0063474F">
            <w:pPr>
              <w:jc w:val="center"/>
              <w:rPr>
                <w:rFonts w:eastAsia="Times New Roman" w:cs="Calibri"/>
                <w:sz w:val="20"/>
                <w:szCs w:val="20"/>
                <w:lang w:eastAsia="en-AU"/>
              </w:rPr>
            </w:pPr>
            <w:r>
              <w:rPr>
                <w:rFonts w:eastAsia="Times New Roman" w:cs="Calibri"/>
                <w:sz w:val="20"/>
                <w:szCs w:val="20"/>
                <w:lang w:eastAsia="en-AU"/>
              </w:rPr>
              <w:t>32</w:t>
            </w:r>
            <w:r w:rsidR="008A0499" w:rsidRPr="008A0499">
              <w:rPr>
                <w:rFonts w:eastAsia="Times New Roman" w:cs="Calibri"/>
                <w:sz w:val="20"/>
                <w:szCs w:val="20"/>
                <w:lang w:eastAsia="en-AU"/>
              </w:rPr>
              <w:t>%</w:t>
            </w:r>
          </w:p>
        </w:tc>
        <w:tc>
          <w:tcPr>
            <w:tcW w:w="2661" w:type="dxa"/>
            <w:tcBorders>
              <w:top w:val="nil"/>
              <w:left w:val="nil"/>
              <w:right w:val="nil"/>
            </w:tcBorders>
            <w:shd w:val="clear" w:color="000000" w:fill="FFFFFF"/>
            <w:noWrap/>
            <w:vAlign w:val="center"/>
            <w:hideMark/>
          </w:tcPr>
          <w:p w:rsidR="008A0499" w:rsidRPr="008A0499" w:rsidRDefault="0003698C" w:rsidP="0063474F">
            <w:pPr>
              <w:rPr>
                <w:rFonts w:eastAsia="Times New Roman" w:cs="Calibri"/>
                <w:sz w:val="20"/>
                <w:szCs w:val="20"/>
                <w:lang w:eastAsia="en-AU"/>
              </w:rPr>
            </w:pPr>
            <w:r>
              <w:rPr>
                <w:rFonts w:eastAsia="Times New Roman" w:cs="Calibri"/>
                <w:sz w:val="20"/>
                <w:szCs w:val="20"/>
                <w:lang w:eastAsia="en-AU"/>
              </w:rPr>
              <w:t>Lack financial means/</w:t>
            </w:r>
            <w:r w:rsidR="008A0499">
              <w:rPr>
                <w:rFonts w:eastAsia="Times New Roman" w:cs="Calibri"/>
                <w:sz w:val="20"/>
                <w:szCs w:val="20"/>
                <w:lang w:eastAsia="en-AU"/>
              </w:rPr>
              <w:t>capability</w:t>
            </w:r>
          </w:p>
        </w:tc>
      </w:tr>
      <w:tr w:rsidR="0003698C" w:rsidRPr="008A0499" w:rsidTr="0063474F">
        <w:trPr>
          <w:trHeight w:val="714"/>
        </w:trPr>
        <w:tc>
          <w:tcPr>
            <w:tcW w:w="1560" w:type="dxa"/>
            <w:tcBorders>
              <w:top w:val="nil"/>
              <w:left w:val="nil"/>
              <w:bottom w:val="single" w:sz="4" w:space="0" w:color="244061" w:themeColor="accent1" w:themeShade="80"/>
              <w:right w:val="nil"/>
            </w:tcBorders>
            <w:shd w:val="clear" w:color="000000" w:fill="FFFFFF"/>
            <w:noWrap/>
            <w:vAlign w:val="center"/>
            <w:hideMark/>
          </w:tcPr>
          <w:p w:rsidR="008A0499" w:rsidRPr="008A0499" w:rsidRDefault="008A0499" w:rsidP="0063474F">
            <w:pPr>
              <w:rPr>
                <w:rFonts w:eastAsia="Times New Roman" w:cs="Calibri"/>
                <w:sz w:val="20"/>
                <w:szCs w:val="20"/>
                <w:lang w:eastAsia="en-AU"/>
              </w:rPr>
            </w:pPr>
            <w:r w:rsidRPr="008A0499">
              <w:rPr>
                <w:rFonts w:eastAsia="Times New Roman" w:cs="Calibri"/>
                <w:sz w:val="20"/>
                <w:szCs w:val="20"/>
                <w:lang w:eastAsia="en-AU"/>
              </w:rPr>
              <w:t>Want to comply but can't</w:t>
            </w:r>
          </w:p>
        </w:tc>
        <w:tc>
          <w:tcPr>
            <w:tcW w:w="2835" w:type="dxa"/>
            <w:tcBorders>
              <w:top w:val="nil"/>
              <w:left w:val="nil"/>
              <w:bottom w:val="single" w:sz="4" w:space="0" w:color="244061" w:themeColor="accent1" w:themeShade="80"/>
              <w:right w:val="nil"/>
            </w:tcBorders>
            <w:shd w:val="clear" w:color="000000" w:fill="FFFFFF"/>
            <w:noWrap/>
            <w:vAlign w:val="center"/>
            <w:hideMark/>
          </w:tcPr>
          <w:p w:rsidR="008A0499" w:rsidRDefault="008A0499" w:rsidP="0063474F">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sidR="0003698C">
              <w:rPr>
                <w:rFonts w:eastAsia="Times New Roman" w:cs="Calibri"/>
                <w:sz w:val="20"/>
                <w:szCs w:val="20"/>
                <w:lang w:eastAsia="en-AU"/>
              </w:rPr>
              <w:t xml:space="preserve">&amp; </w:t>
            </w:r>
            <w:r w:rsidRPr="008A0499">
              <w:rPr>
                <w:rFonts w:eastAsia="Times New Roman" w:cs="Calibri"/>
                <w:sz w:val="20"/>
                <w:szCs w:val="20"/>
                <w:lang w:eastAsia="en-AU"/>
              </w:rPr>
              <w:t>trainers</w:t>
            </w:r>
          </w:p>
          <w:p w:rsidR="00BB046E" w:rsidRPr="008A0499" w:rsidRDefault="00BB046E" w:rsidP="0063474F">
            <w:pPr>
              <w:jc w:val="center"/>
              <w:rPr>
                <w:rFonts w:eastAsia="Times New Roman" w:cs="Calibri"/>
                <w:sz w:val="20"/>
                <w:szCs w:val="20"/>
                <w:lang w:eastAsia="en-AU"/>
              </w:rPr>
            </w:pPr>
            <w:r>
              <w:rPr>
                <w:rFonts w:eastAsia="Times New Roman" w:cs="Calibri"/>
                <w:sz w:val="20"/>
                <w:szCs w:val="20"/>
                <w:lang w:eastAsia="en-AU"/>
              </w:rPr>
              <w:t>(All small participants)</w:t>
            </w:r>
          </w:p>
        </w:tc>
        <w:tc>
          <w:tcPr>
            <w:tcW w:w="1166" w:type="dxa"/>
            <w:tcBorders>
              <w:top w:val="nil"/>
              <w:left w:val="nil"/>
              <w:bottom w:val="single" w:sz="4" w:space="0" w:color="244061" w:themeColor="accent1" w:themeShade="80"/>
              <w:right w:val="nil"/>
            </w:tcBorders>
            <w:shd w:val="clear" w:color="000000" w:fill="FFFFFF"/>
            <w:noWrap/>
            <w:vAlign w:val="center"/>
            <w:hideMark/>
          </w:tcPr>
          <w:p w:rsidR="008A0499" w:rsidRPr="008A0499" w:rsidRDefault="00BB046E" w:rsidP="0063474F">
            <w:pPr>
              <w:jc w:val="center"/>
              <w:rPr>
                <w:rFonts w:eastAsia="Times New Roman" w:cs="Calibri"/>
                <w:sz w:val="20"/>
                <w:szCs w:val="20"/>
                <w:lang w:eastAsia="en-AU"/>
              </w:rPr>
            </w:pPr>
            <w:r>
              <w:rPr>
                <w:rFonts w:eastAsia="Times New Roman" w:cs="Calibri"/>
                <w:sz w:val="20"/>
                <w:szCs w:val="20"/>
                <w:lang w:eastAsia="en-AU"/>
              </w:rPr>
              <w:t>32</w:t>
            </w:r>
            <w:r w:rsidR="008A0499" w:rsidRPr="008A0499">
              <w:rPr>
                <w:rFonts w:eastAsia="Times New Roman" w:cs="Calibri"/>
                <w:sz w:val="20"/>
                <w:szCs w:val="20"/>
                <w:lang w:eastAsia="en-AU"/>
              </w:rPr>
              <w:t>%</w:t>
            </w:r>
          </w:p>
        </w:tc>
        <w:tc>
          <w:tcPr>
            <w:tcW w:w="2661" w:type="dxa"/>
            <w:tcBorders>
              <w:top w:val="nil"/>
              <w:left w:val="nil"/>
              <w:bottom w:val="single" w:sz="4" w:space="0" w:color="244061" w:themeColor="accent1" w:themeShade="80"/>
              <w:right w:val="nil"/>
            </w:tcBorders>
            <w:shd w:val="clear" w:color="000000" w:fill="FFFFFF"/>
            <w:noWrap/>
            <w:vAlign w:val="center"/>
            <w:hideMark/>
          </w:tcPr>
          <w:p w:rsidR="008A0499" w:rsidRPr="008A0499" w:rsidRDefault="008A0499" w:rsidP="0063474F">
            <w:pPr>
              <w:rPr>
                <w:rFonts w:eastAsia="Times New Roman" w:cs="Calibri"/>
                <w:sz w:val="20"/>
                <w:szCs w:val="20"/>
                <w:lang w:eastAsia="en-AU"/>
              </w:rPr>
            </w:pPr>
            <w:r>
              <w:rPr>
                <w:rFonts w:eastAsia="Times New Roman" w:cs="Calibri"/>
                <w:sz w:val="20"/>
                <w:szCs w:val="20"/>
                <w:lang w:eastAsia="en-AU"/>
              </w:rPr>
              <w:t>Ill-informed or lack knowledge</w:t>
            </w:r>
          </w:p>
        </w:tc>
      </w:tr>
    </w:tbl>
    <w:p w:rsidR="00D149A2" w:rsidRPr="004B0055" w:rsidRDefault="00D149A2" w:rsidP="005D22C9">
      <w:pPr>
        <w:jc w:val="both"/>
        <w:rPr>
          <w:rFonts w:eastAsia="Cambria" w:cs="Times New Roman"/>
          <w:sz w:val="18"/>
          <w:lang w:val="en-US"/>
        </w:rPr>
      </w:pPr>
      <w:r w:rsidRPr="004B0055">
        <w:rPr>
          <w:rFonts w:eastAsia="Cambria" w:cs="Times New Roman"/>
          <w:b/>
          <w:sz w:val="18"/>
          <w:lang w:val="en-US"/>
        </w:rPr>
        <w:t>Source:</w:t>
      </w:r>
      <w:r w:rsidRPr="004B0055">
        <w:rPr>
          <w:rFonts w:eastAsia="Cambria" w:cs="Times New Roman"/>
          <w:sz w:val="18"/>
          <w:lang w:val="en-US"/>
        </w:rPr>
        <w:t xml:space="preserve"> GRV data October (2016) and DEDJTR 2016</w:t>
      </w:r>
    </w:p>
    <w:p w:rsidR="008A0499" w:rsidRDefault="008A0499" w:rsidP="005D22C9">
      <w:pPr>
        <w:jc w:val="both"/>
        <w:rPr>
          <w:rFonts w:eastAsia="Cambria" w:cs="Times New Roman"/>
          <w:lang w:val="en-US"/>
        </w:rPr>
      </w:pPr>
    </w:p>
    <w:p w:rsidR="003C5BD9" w:rsidRPr="003C5BD9" w:rsidRDefault="00ED12A7" w:rsidP="00647983">
      <w:pPr>
        <w:spacing w:after="309"/>
        <w:jc w:val="both"/>
        <w:rPr>
          <w:rFonts w:eastAsia="MS Mincho"/>
        </w:rPr>
      </w:pPr>
      <w:r>
        <w:rPr>
          <w:rFonts w:eastAsia="MS Mincho"/>
        </w:rPr>
        <w:t xml:space="preserve">In the area of administration, </w:t>
      </w:r>
      <w:r w:rsidR="00EF28B8" w:rsidRPr="00FF5A08">
        <w:rPr>
          <w:rFonts w:eastAsia="MS Mincho"/>
        </w:rPr>
        <w:t xml:space="preserve">GRV </w:t>
      </w:r>
      <w:r>
        <w:rPr>
          <w:rFonts w:eastAsia="MS Mincho"/>
        </w:rPr>
        <w:t xml:space="preserve">note </w:t>
      </w:r>
      <w:r w:rsidR="00EF28B8" w:rsidRPr="00BC3708">
        <w:rPr>
          <w:rFonts w:eastAsia="MS Mincho"/>
        </w:rPr>
        <w:t xml:space="preserve">that </w:t>
      </w:r>
      <w:r w:rsidR="00EF28B8" w:rsidRPr="00ED12A7">
        <w:rPr>
          <w:rFonts w:eastAsia="MS Mincho"/>
        </w:rPr>
        <w:t xml:space="preserve">not having a </w:t>
      </w:r>
      <w:r w:rsidR="00EF28B8" w:rsidRPr="00ED12A7">
        <w:rPr>
          <w:rFonts w:asciiTheme="majorHAnsi" w:eastAsia="MS Mincho" w:hAnsiTheme="majorHAnsi"/>
        </w:rPr>
        <w:t xml:space="preserve">proper veterinarian agreement </w:t>
      </w:r>
      <w:r w:rsidR="00823880">
        <w:rPr>
          <w:rFonts w:asciiTheme="majorHAnsi" w:eastAsia="MS Mincho" w:hAnsiTheme="majorHAnsi"/>
        </w:rPr>
        <w:t>is a common reason for non-compliance, and has the potential to</w:t>
      </w:r>
      <w:r w:rsidR="00EF28B8" w:rsidRPr="00647983">
        <w:rPr>
          <w:rFonts w:asciiTheme="majorHAnsi" w:eastAsia="MS Mincho" w:hAnsiTheme="majorHAnsi"/>
        </w:rPr>
        <w:t xml:space="preserve"> have a </w:t>
      </w:r>
      <w:r w:rsidR="000E409F" w:rsidRPr="00647983">
        <w:rPr>
          <w:rFonts w:asciiTheme="majorHAnsi" w:eastAsia="MS Mincho" w:hAnsiTheme="majorHAnsi"/>
        </w:rPr>
        <w:t>long-term</w:t>
      </w:r>
      <w:r w:rsidR="00EF28B8" w:rsidRPr="00647983">
        <w:rPr>
          <w:rFonts w:asciiTheme="majorHAnsi" w:eastAsia="MS Mincho" w:hAnsiTheme="majorHAnsi"/>
        </w:rPr>
        <w:t xml:space="preserve"> consequence for the </w:t>
      </w:r>
      <w:r w:rsidR="00245DD7" w:rsidRPr="00647983">
        <w:rPr>
          <w:rFonts w:asciiTheme="majorHAnsi" w:eastAsia="MS Mincho" w:hAnsiTheme="majorHAnsi"/>
        </w:rPr>
        <w:t>greyhounds,</w:t>
      </w:r>
      <w:r w:rsidR="00EF28B8" w:rsidRPr="00647983">
        <w:rPr>
          <w:rFonts w:asciiTheme="majorHAnsi" w:eastAsia="MS Mincho" w:hAnsiTheme="majorHAnsi"/>
        </w:rPr>
        <w:t xml:space="preserve"> because </w:t>
      </w:r>
      <w:r w:rsidR="00245DD7" w:rsidRPr="00647983">
        <w:rPr>
          <w:rFonts w:asciiTheme="majorHAnsi" w:eastAsia="MS Mincho" w:hAnsiTheme="majorHAnsi"/>
        </w:rPr>
        <w:t>greyhounds may not be provided</w:t>
      </w:r>
      <w:r w:rsidR="00EF28B8" w:rsidRPr="00647983">
        <w:rPr>
          <w:rFonts w:asciiTheme="majorHAnsi" w:eastAsia="MS Mincho" w:hAnsiTheme="majorHAnsi"/>
        </w:rPr>
        <w:t xml:space="preserve"> access to a veterinarian when needed. </w:t>
      </w:r>
      <w:r w:rsidR="00910616" w:rsidRPr="00647983">
        <w:rPr>
          <w:rFonts w:asciiTheme="majorHAnsi" w:eastAsia="MS Mincho" w:hAnsiTheme="majorHAnsi"/>
        </w:rPr>
        <w:t xml:space="preserve">Under the existing code that has been incorporated into the local rules </w:t>
      </w:r>
      <w:r w:rsidR="00910616">
        <w:rPr>
          <w:rFonts w:asciiTheme="majorHAnsi" w:eastAsia="MS Mincho" w:hAnsiTheme="majorHAnsi"/>
        </w:rPr>
        <w:t>‘</w:t>
      </w:r>
      <w:r w:rsidR="00910616" w:rsidRPr="00647983">
        <w:rPr>
          <w:rFonts w:asciiTheme="majorHAnsi" w:eastAsia="Times New Roman" w:hAnsiTheme="majorHAnsi" w:cs="Times New Roman"/>
          <w:i/>
          <w:lang w:eastAsia="en-AU"/>
        </w:rPr>
        <w:t>The proprietor of the establishment must have a written agreement with sufficient veterinarians to be on call for the treatment of greyhounds other than first aid and for humane euthanasia where an overdose of barbiturate is used</w:t>
      </w:r>
      <w:r w:rsidR="00910616">
        <w:rPr>
          <w:rFonts w:asciiTheme="majorHAnsi" w:eastAsia="Times New Roman" w:hAnsiTheme="majorHAnsi" w:cs="Times New Roman"/>
          <w:i/>
          <w:lang w:eastAsia="en-AU"/>
        </w:rPr>
        <w:t>’</w:t>
      </w:r>
      <w:r w:rsidR="00910616" w:rsidRPr="00647983">
        <w:rPr>
          <w:rFonts w:ascii="Times New Roman" w:eastAsia="Times New Roman" w:hAnsi="Times New Roman" w:cs="Times New Roman"/>
          <w:i/>
          <w:sz w:val="21"/>
          <w:szCs w:val="21"/>
          <w:lang w:eastAsia="en-AU"/>
        </w:rPr>
        <w:t>.</w:t>
      </w:r>
    </w:p>
    <w:p w:rsidR="00EF28B8" w:rsidRDefault="00EF28B8" w:rsidP="00EF28B8">
      <w:pPr>
        <w:jc w:val="both"/>
        <w:rPr>
          <w:rFonts w:eastAsia="MS Mincho"/>
        </w:rPr>
      </w:pPr>
      <w:r w:rsidRPr="00EF28B8">
        <w:rPr>
          <w:rFonts w:eastAsia="MS Mincho"/>
        </w:rPr>
        <w:t xml:space="preserve">GRV also noted </w:t>
      </w:r>
      <w:r w:rsidR="00B77EE0">
        <w:rPr>
          <w:rFonts w:eastAsia="MS Mincho"/>
        </w:rPr>
        <w:t xml:space="preserve">a risk </w:t>
      </w:r>
      <w:r w:rsidRPr="00EF28B8">
        <w:rPr>
          <w:rFonts w:eastAsia="MS Mincho"/>
        </w:rPr>
        <w:t xml:space="preserve">that the majority of GRV </w:t>
      </w:r>
      <w:r w:rsidR="00823880">
        <w:rPr>
          <w:rFonts w:eastAsia="MS Mincho"/>
        </w:rPr>
        <w:t>registered</w:t>
      </w:r>
      <w:r w:rsidRPr="00EF28B8">
        <w:rPr>
          <w:rFonts w:eastAsia="MS Mincho"/>
        </w:rPr>
        <w:t xml:space="preserve"> breeders </w:t>
      </w:r>
      <w:r w:rsidR="000636CD">
        <w:rPr>
          <w:rFonts w:eastAsia="MS Mincho"/>
        </w:rPr>
        <w:t>(</w:t>
      </w:r>
      <w:r w:rsidR="003C0E72">
        <w:rPr>
          <w:rFonts w:eastAsia="MS Mincho"/>
        </w:rPr>
        <w:t xml:space="preserve">see Sections </w:t>
      </w:r>
      <w:r w:rsidR="000636CD">
        <w:rPr>
          <w:rFonts w:eastAsia="MS Mincho"/>
        </w:rPr>
        <w:t xml:space="preserve">1.2.1 and 1.2.2) </w:t>
      </w:r>
      <w:r w:rsidRPr="00EF28B8">
        <w:rPr>
          <w:rFonts w:eastAsia="MS Mincho"/>
        </w:rPr>
        <w:t>do not have an adequate whelping area. Poor whelping facilities can result in the mother becoming stressed and reducing her ability to cope. Research has shown that a mother’s behavioural responses to their environment are critical in teaching puppies automatic behavioural responses to environmental stimulation later in life – particularly during the first 16 weeks of life.</w:t>
      </w:r>
      <w:r w:rsidR="007B521C">
        <w:rPr>
          <w:rFonts w:eastAsia="MS Mincho"/>
        </w:rPr>
        <w:t xml:space="preserve"> </w:t>
      </w:r>
      <w:r w:rsidRPr="00EF28B8">
        <w:rPr>
          <w:rFonts w:eastAsia="MS Mincho"/>
        </w:rPr>
        <w:t>Behavioural responses to environmental stimulation can strongly influence a dog’s racing career and ability to be rehomed as a pet later in life.</w:t>
      </w:r>
    </w:p>
    <w:p w:rsidR="00EF28B8" w:rsidRPr="00EF28B8" w:rsidRDefault="00EF28B8" w:rsidP="00EF28B8">
      <w:pPr>
        <w:jc w:val="both"/>
        <w:rPr>
          <w:rFonts w:eastAsia="MS Mincho"/>
        </w:rPr>
      </w:pPr>
    </w:p>
    <w:p w:rsidR="005E307C" w:rsidRDefault="005E307C">
      <w:pPr>
        <w:rPr>
          <w:rFonts w:eastAsia="MS Mincho"/>
        </w:rPr>
      </w:pPr>
      <w:r>
        <w:rPr>
          <w:rFonts w:eastAsia="MS Mincho"/>
        </w:rPr>
        <w:br w:type="page"/>
      </w:r>
    </w:p>
    <w:p w:rsidR="005135B6" w:rsidRDefault="00ED12A7" w:rsidP="00EF28B8">
      <w:pPr>
        <w:jc w:val="both"/>
        <w:rPr>
          <w:rFonts w:eastAsia="MS Mincho"/>
        </w:rPr>
      </w:pPr>
      <w:r>
        <w:rPr>
          <w:rFonts w:eastAsia="MS Mincho"/>
        </w:rPr>
        <w:lastRenderedPageBreak/>
        <w:t>Moreover, participants that are involved in r</w:t>
      </w:r>
      <w:r w:rsidR="005135B6" w:rsidRPr="005135B6">
        <w:rPr>
          <w:rFonts w:eastAsia="MS Mincho"/>
        </w:rPr>
        <w:t>ear</w:t>
      </w:r>
      <w:r>
        <w:rPr>
          <w:rFonts w:eastAsia="MS Mincho"/>
        </w:rPr>
        <w:t xml:space="preserve">ing and </w:t>
      </w:r>
      <w:r w:rsidR="005135B6" w:rsidRPr="005135B6">
        <w:rPr>
          <w:rFonts w:eastAsia="MS Mincho"/>
        </w:rPr>
        <w:t>break</w:t>
      </w:r>
      <w:r>
        <w:rPr>
          <w:rFonts w:eastAsia="MS Mincho"/>
        </w:rPr>
        <w:t xml:space="preserve">ing in </w:t>
      </w:r>
      <w:r w:rsidR="003C0E72">
        <w:rPr>
          <w:rFonts w:eastAsia="MS Mincho"/>
        </w:rPr>
        <w:t>(see Sections 1.2</w:t>
      </w:r>
      <w:r w:rsidR="00362AD7">
        <w:rPr>
          <w:rFonts w:eastAsia="MS Mincho"/>
        </w:rPr>
        <w:t>.</w:t>
      </w:r>
      <w:r w:rsidR="003C0E72">
        <w:rPr>
          <w:rFonts w:eastAsia="MS Mincho"/>
        </w:rPr>
        <w:t>3</w:t>
      </w:r>
      <w:r w:rsidR="00362AD7">
        <w:rPr>
          <w:rFonts w:eastAsia="MS Mincho"/>
        </w:rPr>
        <w:t xml:space="preserve"> and 1.2.4</w:t>
      </w:r>
      <w:r w:rsidR="003C0E72">
        <w:rPr>
          <w:rFonts w:eastAsia="MS Mincho"/>
        </w:rPr>
        <w:t xml:space="preserve">) </w:t>
      </w:r>
      <w:r w:rsidR="005135B6" w:rsidRPr="005135B6">
        <w:rPr>
          <w:rFonts w:eastAsia="MS Mincho"/>
        </w:rPr>
        <w:t xml:space="preserve">are </w:t>
      </w:r>
      <w:r w:rsidR="00362AD7">
        <w:rPr>
          <w:rFonts w:eastAsia="MS Mincho"/>
        </w:rPr>
        <w:t xml:space="preserve">currently </w:t>
      </w:r>
      <w:r w:rsidR="005135B6" w:rsidRPr="005135B6">
        <w:rPr>
          <w:rFonts w:eastAsia="MS Mincho"/>
        </w:rPr>
        <w:t xml:space="preserve">not required to be </w:t>
      </w:r>
      <w:r w:rsidR="00B77EE0">
        <w:rPr>
          <w:rFonts w:eastAsia="MS Mincho"/>
        </w:rPr>
        <w:t xml:space="preserve">separately </w:t>
      </w:r>
      <w:r w:rsidR="005135B6" w:rsidRPr="005135B6">
        <w:rPr>
          <w:rFonts w:eastAsia="MS Mincho"/>
        </w:rPr>
        <w:t xml:space="preserve">registered with GRV and so </w:t>
      </w:r>
      <w:r w:rsidR="00245DD7">
        <w:rPr>
          <w:rFonts w:eastAsia="MS Mincho"/>
        </w:rPr>
        <w:t xml:space="preserve">are </w:t>
      </w:r>
      <w:r w:rsidR="005135B6" w:rsidRPr="005135B6">
        <w:rPr>
          <w:rFonts w:eastAsia="MS Mincho"/>
        </w:rPr>
        <w:t>not audited</w:t>
      </w:r>
      <w:r w:rsidR="00245DD7">
        <w:rPr>
          <w:rFonts w:eastAsia="MS Mincho"/>
        </w:rPr>
        <w:t xml:space="preserve">. </w:t>
      </w:r>
      <w:r w:rsidR="00B77EE0">
        <w:rPr>
          <w:rFonts w:eastAsia="MS Mincho"/>
        </w:rPr>
        <w:t>Such requirements are currently under development by GRV.</w:t>
      </w:r>
      <w:r w:rsidR="007B521C">
        <w:rPr>
          <w:rFonts w:eastAsia="MS Mincho"/>
        </w:rPr>
        <w:t xml:space="preserve"> </w:t>
      </w:r>
      <w:r w:rsidR="00245DD7">
        <w:rPr>
          <w:rFonts w:eastAsia="MS Mincho"/>
        </w:rPr>
        <w:t>Therefore</w:t>
      </w:r>
      <w:r w:rsidR="005135B6" w:rsidRPr="005135B6">
        <w:rPr>
          <w:rFonts w:eastAsia="MS Mincho"/>
        </w:rPr>
        <w:t xml:space="preserve">, there is </w:t>
      </w:r>
      <w:r w:rsidR="00B77EE0">
        <w:rPr>
          <w:rFonts w:eastAsia="MS Mincho"/>
        </w:rPr>
        <w:t xml:space="preserve">currently </w:t>
      </w:r>
      <w:r w:rsidR="005135B6" w:rsidRPr="005135B6">
        <w:rPr>
          <w:rFonts w:eastAsia="MS Mincho"/>
        </w:rPr>
        <w:t xml:space="preserve">no understanding of the numbers or level of compliance in </w:t>
      </w:r>
      <w:r w:rsidR="005135B6">
        <w:rPr>
          <w:rFonts w:eastAsia="MS Mincho"/>
        </w:rPr>
        <w:t>these businesses</w:t>
      </w:r>
      <w:r w:rsidR="00245DD7">
        <w:rPr>
          <w:rFonts w:eastAsia="MS Mincho"/>
        </w:rPr>
        <w:t xml:space="preserve"> in relation to the codes of practice or the local rules.</w:t>
      </w:r>
      <w:r w:rsidR="007B521C">
        <w:rPr>
          <w:rFonts w:eastAsia="MS Mincho"/>
        </w:rPr>
        <w:t xml:space="preserve"> </w:t>
      </w:r>
      <w:r w:rsidR="005135B6" w:rsidRPr="005135B6">
        <w:rPr>
          <w:rFonts w:eastAsia="MS Mincho"/>
        </w:rPr>
        <w:t xml:space="preserve">This is </w:t>
      </w:r>
      <w:r w:rsidR="00245DD7">
        <w:rPr>
          <w:rFonts w:eastAsia="MS Mincho"/>
        </w:rPr>
        <w:t>an area of sign</w:t>
      </w:r>
      <w:r w:rsidR="00245DD7" w:rsidRPr="0059435F">
        <w:rPr>
          <w:rFonts w:eastAsia="MS Mincho"/>
        </w:rPr>
        <w:t xml:space="preserve">ificant </w:t>
      </w:r>
      <w:r w:rsidR="005135B6" w:rsidRPr="0059435F">
        <w:rPr>
          <w:rFonts w:eastAsia="MS Mincho"/>
        </w:rPr>
        <w:t xml:space="preserve">concern as </w:t>
      </w:r>
      <w:r w:rsidR="00362AD7">
        <w:rPr>
          <w:rFonts w:eastAsia="MS Mincho"/>
        </w:rPr>
        <w:t xml:space="preserve">participants </w:t>
      </w:r>
      <w:r w:rsidR="005135B6" w:rsidRPr="0059435F">
        <w:rPr>
          <w:rFonts w:eastAsia="MS Mincho"/>
        </w:rPr>
        <w:t>offer specialised skills to people who</w:t>
      </w:r>
      <w:r w:rsidR="005135B6" w:rsidRPr="007C77E4">
        <w:rPr>
          <w:rFonts w:eastAsia="MS Mincho"/>
        </w:rPr>
        <w:t xml:space="preserve"> pay for their experti</w:t>
      </w:r>
      <w:r w:rsidR="00C47CC3" w:rsidRPr="007C77E4">
        <w:rPr>
          <w:rFonts w:eastAsia="MS Mincho"/>
        </w:rPr>
        <w:t xml:space="preserve">se and care. These are the </w:t>
      </w:r>
      <w:r w:rsidR="005135B6" w:rsidRPr="007C77E4">
        <w:rPr>
          <w:rFonts w:eastAsia="MS Mincho"/>
        </w:rPr>
        <w:t>hidden</w:t>
      </w:r>
      <w:r w:rsidR="00362AD7">
        <w:rPr>
          <w:rFonts w:eastAsia="MS Mincho"/>
        </w:rPr>
        <w:t xml:space="preserve"> participants</w:t>
      </w:r>
      <w:r w:rsidR="005135B6" w:rsidRPr="007C77E4">
        <w:rPr>
          <w:rFonts w:eastAsia="MS Mincho"/>
        </w:rPr>
        <w:t xml:space="preserve"> who </w:t>
      </w:r>
      <w:r w:rsidR="00245DD7" w:rsidRPr="007C77E4">
        <w:rPr>
          <w:rFonts w:eastAsia="MS Mincho"/>
        </w:rPr>
        <w:t>may be</w:t>
      </w:r>
      <w:r w:rsidR="005135B6" w:rsidRPr="007C77E4">
        <w:rPr>
          <w:rFonts w:eastAsia="MS Mincho"/>
        </w:rPr>
        <w:t xml:space="preserve"> an aged population with da</w:t>
      </w:r>
      <w:r w:rsidR="00C47CC3" w:rsidRPr="007659CF">
        <w:rPr>
          <w:rFonts w:eastAsia="MS Mincho"/>
        </w:rPr>
        <w:t xml:space="preserve">ted techniques </w:t>
      </w:r>
      <w:r w:rsidR="00920CF6" w:rsidRPr="007659CF">
        <w:rPr>
          <w:rFonts w:eastAsia="MS Mincho"/>
        </w:rPr>
        <w:t>that</w:t>
      </w:r>
      <w:r w:rsidR="00C47CC3" w:rsidRPr="007659CF">
        <w:rPr>
          <w:rFonts w:eastAsia="MS Mincho"/>
        </w:rPr>
        <w:t xml:space="preserve"> are</w:t>
      </w:r>
      <w:r w:rsidR="005135B6" w:rsidRPr="00FF5A08">
        <w:rPr>
          <w:rFonts w:eastAsia="MS Mincho"/>
        </w:rPr>
        <w:t xml:space="preserve"> disconnected from research, training</w:t>
      </w:r>
      <w:r w:rsidR="00E52923">
        <w:rPr>
          <w:rFonts w:eastAsia="MS Mincho"/>
        </w:rPr>
        <w:t>/education</w:t>
      </w:r>
      <w:r w:rsidR="005135B6" w:rsidRPr="00FF5A08">
        <w:rPr>
          <w:rFonts w:eastAsia="MS Mincho"/>
        </w:rPr>
        <w:t xml:space="preserve"> and information. Data collected by DED</w:t>
      </w:r>
      <w:r w:rsidR="00C47CC3" w:rsidRPr="00FF5A08">
        <w:rPr>
          <w:rFonts w:eastAsia="MS Mincho"/>
        </w:rPr>
        <w:t xml:space="preserve">JTR </w:t>
      </w:r>
      <w:r w:rsidR="00B77EE0">
        <w:rPr>
          <w:rFonts w:eastAsia="MS Mincho"/>
        </w:rPr>
        <w:t>confirms</w:t>
      </w:r>
      <w:r w:rsidR="00B77EE0" w:rsidRPr="00FF5A08">
        <w:rPr>
          <w:rFonts w:eastAsia="MS Mincho"/>
        </w:rPr>
        <w:t xml:space="preserve"> </w:t>
      </w:r>
      <w:r w:rsidR="00C47CC3" w:rsidRPr="00FF5A08">
        <w:rPr>
          <w:rFonts w:eastAsia="MS Mincho"/>
        </w:rPr>
        <w:t>that</w:t>
      </w:r>
      <w:r w:rsidR="00245DD7" w:rsidRPr="00FF5A08">
        <w:rPr>
          <w:rFonts w:eastAsia="MS Mincho"/>
        </w:rPr>
        <w:t>,</w:t>
      </w:r>
      <w:r w:rsidR="00C47CC3" w:rsidRPr="00FF5A08">
        <w:rPr>
          <w:rFonts w:eastAsia="MS Mincho"/>
        </w:rPr>
        <w:t xml:space="preserve"> </w:t>
      </w:r>
      <w:r w:rsidR="00920CF6" w:rsidRPr="00FF5A08">
        <w:rPr>
          <w:rFonts w:eastAsia="MS Mincho"/>
        </w:rPr>
        <w:t>generally</w:t>
      </w:r>
      <w:r w:rsidR="00245DD7" w:rsidRPr="00BC3708">
        <w:rPr>
          <w:rFonts w:eastAsia="MS Mincho"/>
        </w:rPr>
        <w:t>,</w:t>
      </w:r>
      <w:r w:rsidR="00920CF6" w:rsidRPr="009E255D">
        <w:rPr>
          <w:rFonts w:eastAsia="MS Mincho"/>
        </w:rPr>
        <w:t xml:space="preserve"> people</w:t>
      </w:r>
      <w:r w:rsidR="005135B6" w:rsidRPr="00553D6C">
        <w:rPr>
          <w:rFonts w:eastAsia="MS Mincho"/>
        </w:rPr>
        <w:t xml:space="preserve"> who rear, break-in or spell greyhounds</w:t>
      </w:r>
      <w:r w:rsidR="005135B6" w:rsidRPr="005135B6">
        <w:rPr>
          <w:rFonts w:eastAsia="MS Mincho"/>
        </w:rPr>
        <w:t xml:space="preserve"> are most likely </w:t>
      </w:r>
      <w:r w:rsidR="00920CF6">
        <w:rPr>
          <w:rFonts w:eastAsia="MS Mincho"/>
        </w:rPr>
        <w:t xml:space="preserve">to </w:t>
      </w:r>
      <w:r w:rsidR="005135B6" w:rsidRPr="005135B6">
        <w:rPr>
          <w:rFonts w:eastAsia="MS Mincho"/>
        </w:rPr>
        <w:t xml:space="preserve">also </w:t>
      </w:r>
      <w:r w:rsidR="00920CF6">
        <w:rPr>
          <w:rFonts w:eastAsia="MS Mincho"/>
        </w:rPr>
        <w:t xml:space="preserve">be </w:t>
      </w:r>
      <w:r w:rsidR="005135B6" w:rsidRPr="005135B6">
        <w:rPr>
          <w:rFonts w:eastAsia="MS Mincho"/>
        </w:rPr>
        <w:t>owners or trainers of racing dogs</w:t>
      </w:r>
      <w:r w:rsidR="00245DD7">
        <w:rPr>
          <w:rFonts w:eastAsia="MS Mincho"/>
        </w:rPr>
        <w:t>. These individuals are registered by</w:t>
      </w:r>
      <w:r w:rsidR="005135B6" w:rsidRPr="005135B6">
        <w:rPr>
          <w:rFonts w:eastAsia="MS Mincho"/>
        </w:rPr>
        <w:t xml:space="preserve"> GRV </w:t>
      </w:r>
      <w:r w:rsidR="00245DD7">
        <w:rPr>
          <w:rFonts w:eastAsia="MS Mincho"/>
        </w:rPr>
        <w:t>as trainers and can be audite</w:t>
      </w:r>
      <w:r w:rsidR="0063474F">
        <w:rPr>
          <w:rFonts w:eastAsia="MS Mincho"/>
        </w:rPr>
        <w:t>d. Therefore,</w:t>
      </w:r>
      <w:r w:rsidR="00245DD7">
        <w:rPr>
          <w:rFonts w:eastAsia="MS Mincho"/>
        </w:rPr>
        <w:t xml:space="preserve"> the </w:t>
      </w:r>
      <w:r w:rsidR="005135B6" w:rsidRPr="005135B6">
        <w:rPr>
          <w:rFonts w:eastAsia="MS Mincho"/>
        </w:rPr>
        <w:t xml:space="preserve">proportion </w:t>
      </w:r>
      <w:r w:rsidR="00245DD7">
        <w:rPr>
          <w:rFonts w:eastAsia="MS Mincho"/>
        </w:rPr>
        <w:t>of unregistered breakers, spellers and rearers</w:t>
      </w:r>
      <w:r w:rsidR="005135B6" w:rsidRPr="005135B6">
        <w:rPr>
          <w:rFonts w:eastAsia="MS Mincho"/>
        </w:rPr>
        <w:t xml:space="preserve"> is e</w:t>
      </w:r>
      <w:r w:rsidR="00245DD7">
        <w:rPr>
          <w:rFonts w:eastAsia="MS Mincho"/>
        </w:rPr>
        <w:t>stimated to be relatively</w:t>
      </w:r>
      <w:r w:rsidR="005135B6" w:rsidRPr="005135B6">
        <w:rPr>
          <w:rFonts w:eastAsia="MS Mincho"/>
        </w:rPr>
        <w:t xml:space="preserve"> small.</w:t>
      </w:r>
    </w:p>
    <w:p w:rsidR="005135B6" w:rsidRDefault="005135B6" w:rsidP="00EF28B8">
      <w:pPr>
        <w:jc w:val="both"/>
        <w:rPr>
          <w:rFonts w:eastAsia="MS Mincho"/>
        </w:rPr>
      </w:pPr>
    </w:p>
    <w:p w:rsidR="00EF28B8" w:rsidRDefault="00EF28B8" w:rsidP="00EF28B8">
      <w:pPr>
        <w:jc w:val="both"/>
        <w:rPr>
          <w:rFonts w:eastAsia="MS Mincho"/>
        </w:rPr>
      </w:pPr>
      <w:r w:rsidRPr="00EF28B8">
        <w:rPr>
          <w:rFonts w:eastAsia="MS Mincho"/>
        </w:rPr>
        <w:t xml:space="preserve">Generally, it has been anecdotally reported that there is a proportion of people in the industry who see greyhounds as a commodity, rather than a living animal. For example, GRV recently audited a property where they found a dog with muzzle grazing injuries. When questioned, the participant’s response was, </w:t>
      </w:r>
      <w:r w:rsidRPr="00EF28B8">
        <w:rPr>
          <w:rFonts w:eastAsia="MS Mincho"/>
          <w:b/>
          <w:i/>
        </w:rPr>
        <w:t>“it’s just a race dog what more do you want me to do with it?”</w:t>
      </w:r>
      <w:r w:rsidR="007B521C">
        <w:rPr>
          <w:rFonts w:eastAsia="MS Mincho"/>
        </w:rPr>
        <w:t xml:space="preserve"> </w:t>
      </w:r>
    </w:p>
    <w:p w:rsidR="00142863" w:rsidRPr="00EF28B8" w:rsidRDefault="00142863" w:rsidP="00EF28B8">
      <w:pPr>
        <w:jc w:val="both"/>
        <w:rPr>
          <w:rFonts w:eastAsia="MS Mincho"/>
          <w:lang w:val="en-US"/>
        </w:rPr>
      </w:pPr>
    </w:p>
    <w:p w:rsidR="005E307C" w:rsidRPr="00CA7E5B" w:rsidRDefault="00F803A8" w:rsidP="00CA7E5B">
      <w:pPr>
        <w:pStyle w:val="Heading3"/>
      </w:pPr>
      <w:bookmarkStart w:id="69" w:name="_Toc469529152"/>
      <w:bookmarkStart w:id="70" w:name="_Toc477190165"/>
      <w:r>
        <w:rPr>
          <w:lang w:val="en-US"/>
        </w:rPr>
        <w:t>1.4.</w:t>
      </w:r>
      <w:r w:rsidR="008A7AF1">
        <w:rPr>
          <w:lang w:val="en-US"/>
        </w:rPr>
        <w:t>7</w:t>
      </w:r>
      <w:r>
        <w:rPr>
          <w:lang w:val="en-US"/>
        </w:rPr>
        <w:t xml:space="preserve"> L</w:t>
      </w:r>
      <w:r w:rsidR="00673E43">
        <w:rPr>
          <w:lang w:val="en-US"/>
        </w:rPr>
        <w:t xml:space="preserve">ack </w:t>
      </w:r>
      <w:r>
        <w:rPr>
          <w:lang w:val="en-US"/>
        </w:rPr>
        <w:t xml:space="preserve">of </w:t>
      </w:r>
      <w:r w:rsidR="00332810">
        <w:rPr>
          <w:lang w:val="en-US"/>
        </w:rPr>
        <w:t>information/education/</w:t>
      </w:r>
      <w:r>
        <w:rPr>
          <w:lang w:val="en-US"/>
        </w:rPr>
        <w:t xml:space="preserve">training </w:t>
      </w:r>
      <w:r w:rsidRPr="00CA7E5B">
        <w:t>programs</w:t>
      </w:r>
      <w:bookmarkEnd w:id="69"/>
      <w:bookmarkEnd w:id="70"/>
      <w:r w:rsidRPr="00CA7E5B">
        <w:t xml:space="preserve"> </w:t>
      </w:r>
    </w:p>
    <w:p w:rsidR="009D2BCD" w:rsidRDefault="003434EC" w:rsidP="003434EC">
      <w:pPr>
        <w:jc w:val="both"/>
        <w:rPr>
          <w:rFonts w:eastAsia="Cambria" w:cs="Times New Roman"/>
        </w:rPr>
      </w:pPr>
      <w:r w:rsidRPr="00EF28B8">
        <w:rPr>
          <w:rFonts w:eastAsia="Cambria" w:cs="Times New Roman"/>
        </w:rPr>
        <w:t>In a paper presented at the Australian Animal Welfare Strategy (AAWS) conference, GRV recognised that education of participants would lead to better welfare for greyhounds. They noted the need for information about selection of breeding animals, rearing, husbandry and health would all improve the quality of greyhounds.</w:t>
      </w:r>
      <w:r w:rsidRPr="00EF28B8">
        <w:rPr>
          <w:rFonts w:eastAsia="Cambria" w:cs="Times New Roman"/>
          <w:vertAlign w:val="superscript"/>
        </w:rPr>
        <w:footnoteReference w:id="75"/>
      </w:r>
    </w:p>
    <w:p w:rsidR="009D2BCD" w:rsidRDefault="009D2BCD" w:rsidP="003434EC">
      <w:pPr>
        <w:jc w:val="both"/>
        <w:rPr>
          <w:rFonts w:eastAsia="Cambria" w:cs="Times New Roman"/>
        </w:rPr>
      </w:pPr>
    </w:p>
    <w:tbl>
      <w:tblPr>
        <w:tblW w:w="0" w:type="auto"/>
        <w:tblLook w:val="04A0" w:firstRow="1" w:lastRow="0" w:firstColumn="1" w:lastColumn="0" w:noHBand="0" w:noVBand="1"/>
      </w:tblPr>
      <w:tblGrid>
        <w:gridCol w:w="8437"/>
      </w:tblGrid>
      <w:tr w:rsidR="000C3C06" w:rsidTr="000C3C06">
        <w:tc>
          <w:tcPr>
            <w:tcW w:w="8437" w:type="dxa"/>
            <w:shd w:val="clear" w:color="auto" w:fill="D9D9D9" w:themeFill="background1" w:themeFillShade="D9"/>
          </w:tcPr>
          <w:p w:rsidR="000C3C06" w:rsidRPr="00457D62" w:rsidRDefault="00173706" w:rsidP="000C3C06">
            <w:pPr>
              <w:rPr>
                <w:rFonts w:eastAsia="Cambria"/>
                <w:b/>
              </w:rPr>
            </w:pPr>
            <w:r>
              <w:rPr>
                <w:rFonts w:eastAsia="Cambria"/>
                <w:b/>
              </w:rPr>
              <w:t>Comment by GRV</w:t>
            </w:r>
            <w:r w:rsidR="000C3C06">
              <w:rPr>
                <w:rFonts w:eastAsia="Cambria"/>
                <w:b/>
              </w:rPr>
              <w:t>;</w:t>
            </w:r>
          </w:p>
          <w:p w:rsidR="000C3C06" w:rsidRPr="000C3C06" w:rsidRDefault="000C3C06" w:rsidP="002A1729">
            <w:r>
              <w:rPr>
                <w:rFonts w:eastAsia="Cambria"/>
              </w:rPr>
              <w:t>GRV is currently developing an education strategy</w:t>
            </w:r>
            <w:r w:rsidR="002A1729">
              <w:rPr>
                <w:rFonts w:eastAsia="Cambria"/>
              </w:rPr>
              <w:t>.</w:t>
            </w:r>
            <w:r>
              <w:rPr>
                <w:rFonts w:eastAsia="Cambria"/>
              </w:rPr>
              <w:t xml:space="preserve"> </w:t>
            </w:r>
            <w:r w:rsidR="002A1729">
              <w:rPr>
                <w:rFonts w:eastAsia="Cambria"/>
              </w:rPr>
              <w:t>This includes</w:t>
            </w:r>
            <w:r>
              <w:rPr>
                <w:rFonts w:eastAsia="Cambria"/>
              </w:rPr>
              <w:t xml:space="preserve"> the enhancement of its registration function </w:t>
            </w:r>
            <w:r w:rsidR="002A1729">
              <w:rPr>
                <w:rFonts w:eastAsia="Cambria"/>
              </w:rPr>
              <w:t xml:space="preserve">which </w:t>
            </w:r>
            <w:r>
              <w:rPr>
                <w:rFonts w:eastAsia="Cambria"/>
              </w:rPr>
              <w:t>includ</w:t>
            </w:r>
            <w:r w:rsidR="002A1729">
              <w:rPr>
                <w:rFonts w:eastAsia="Cambria"/>
              </w:rPr>
              <w:t>es</w:t>
            </w:r>
            <w:r>
              <w:rPr>
                <w:rFonts w:eastAsia="Cambria"/>
              </w:rPr>
              <w:t xml:space="preserve"> linked education requirements and categories of registration.</w:t>
            </w:r>
          </w:p>
        </w:tc>
      </w:tr>
    </w:tbl>
    <w:p w:rsidR="000C3C06" w:rsidRDefault="000C3C06" w:rsidP="00195586">
      <w:pPr>
        <w:jc w:val="both"/>
        <w:rPr>
          <w:rFonts w:eastAsia="Cambria" w:cs="Times New Roman"/>
        </w:rPr>
      </w:pPr>
    </w:p>
    <w:p w:rsidR="00195586" w:rsidRPr="000753D5" w:rsidRDefault="00B11A06" w:rsidP="00195586">
      <w:pPr>
        <w:jc w:val="both"/>
        <w:rPr>
          <w:rFonts w:cs="Arial-BoldMT"/>
          <w:bCs/>
        </w:rPr>
      </w:pPr>
      <w:r>
        <w:rPr>
          <w:rFonts w:cs="Arial-BoldMT"/>
          <w:bCs/>
        </w:rPr>
        <w:t xml:space="preserve">The </w:t>
      </w:r>
      <w:r w:rsidR="00195586" w:rsidRPr="00D06F37">
        <w:rPr>
          <w:rFonts w:cs="Arial-BoldMT"/>
          <w:bCs/>
        </w:rPr>
        <w:t xml:space="preserve">risk that </w:t>
      </w:r>
      <w:r w:rsidR="00195586">
        <w:rPr>
          <w:rFonts w:cs="Arial-BoldMT"/>
          <w:bCs/>
        </w:rPr>
        <w:t xml:space="preserve">uninformed breeders may </w:t>
      </w:r>
      <w:r w:rsidR="00195586" w:rsidRPr="00D06F37">
        <w:rPr>
          <w:rFonts w:cs="Arial-BoldMT"/>
          <w:bCs/>
        </w:rPr>
        <w:t>breed for quantity to ‘improve the chance’ of a winner rather than quality</w:t>
      </w:r>
      <w:r w:rsidR="00195586">
        <w:rPr>
          <w:rFonts w:cs="Arial-BoldMT"/>
          <w:bCs/>
        </w:rPr>
        <w:t xml:space="preserve"> increases the possibility of poorly bred (or managed dogs) and excess dogs</w:t>
      </w:r>
      <w:r w:rsidR="008E3318">
        <w:rPr>
          <w:rFonts w:cs="Arial-BoldMT"/>
          <w:bCs/>
        </w:rPr>
        <w:t xml:space="preserve"> </w:t>
      </w:r>
      <w:r w:rsidR="008A7AF1">
        <w:rPr>
          <w:rFonts w:cs="Arial-BoldMT"/>
          <w:bCs/>
        </w:rPr>
        <w:t>(wastage)</w:t>
      </w:r>
      <w:r w:rsidR="00195586">
        <w:rPr>
          <w:rFonts w:cs="Arial-BoldMT"/>
          <w:bCs/>
        </w:rPr>
        <w:t>, not suitable or capable of racing.</w:t>
      </w:r>
      <w:r w:rsidR="007B521C">
        <w:rPr>
          <w:rFonts w:cs="Arial-BoldMT"/>
          <w:bCs/>
        </w:rPr>
        <w:t xml:space="preserve"> </w:t>
      </w:r>
      <w:r w:rsidR="00195586">
        <w:rPr>
          <w:rFonts w:cs="Arial-BoldMT"/>
          <w:bCs/>
        </w:rPr>
        <w:t xml:space="preserve">McHugh reported </w:t>
      </w:r>
      <w:r w:rsidR="00195586" w:rsidRPr="00D669C1">
        <w:rPr>
          <w:rFonts w:cs="Arial-BoldMT"/>
          <w:bCs/>
          <w:i/>
        </w:rPr>
        <w:t>‘</w:t>
      </w:r>
      <w:r w:rsidR="00195586">
        <w:rPr>
          <w:rFonts w:cs="Arial-BoldMT"/>
          <w:bCs/>
          <w:i/>
        </w:rPr>
        <w:t>that the collective breeding knowledge of the greyhound industry is not that high</w:t>
      </w:r>
      <w:r w:rsidR="00195586">
        <w:rPr>
          <w:i/>
        </w:rPr>
        <w:t>’</w:t>
      </w:r>
      <w:r w:rsidR="00195586">
        <w:rPr>
          <w:rStyle w:val="FootnoteReference"/>
          <w:i/>
        </w:rPr>
        <w:footnoteReference w:id="76"/>
      </w:r>
      <w:r w:rsidR="00195586" w:rsidRPr="00D3271C">
        <w:rPr>
          <w:i/>
        </w:rPr>
        <w:t>.</w:t>
      </w:r>
    </w:p>
    <w:p w:rsidR="00195586" w:rsidRPr="004B0055" w:rsidRDefault="00195586" w:rsidP="004B0055">
      <w:pPr>
        <w:rPr>
          <w:lang w:val="en-US"/>
        </w:rPr>
      </w:pPr>
    </w:p>
    <w:p w:rsidR="00385A2C" w:rsidRDefault="00B11A06" w:rsidP="00195586">
      <w:pPr>
        <w:jc w:val="both"/>
        <w:rPr>
          <w:rFonts w:eastAsia="MS Mincho"/>
        </w:rPr>
      </w:pPr>
      <w:r>
        <w:t>GRV noted in 2008</w:t>
      </w:r>
      <w:r w:rsidR="00385A2C">
        <w:t xml:space="preserve"> that </w:t>
      </w:r>
      <w:r>
        <w:t xml:space="preserve">in Victoria, </w:t>
      </w:r>
      <w:r w:rsidR="00385A2C">
        <w:t>‘</w:t>
      </w:r>
      <w:r w:rsidR="00385A2C" w:rsidRPr="00E37A28">
        <w:rPr>
          <w:i/>
        </w:rPr>
        <w:t>breeding animal selection</w:t>
      </w:r>
      <w:r w:rsidR="00385A2C">
        <w:rPr>
          <w:i/>
        </w:rPr>
        <w:t>…[was]…</w:t>
      </w:r>
      <w:r w:rsidR="00385A2C" w:rsidRPr="00E37A28">
        <w:rPr>
          <w:i/>
        </w:rPr>
        <w:t>based on gut feeling, flavours of the month and advertising – not on hard science’</w:t>
      </w:r>
      <w:r w:rsidR="00385A2C" w:rsidRPr="00697276">
        <w:rPr>
          <w:rFonts w:asciiTheme="majorHAnsi" w:hAnsiTheme="majorHAnsi"/>
          <w:color w:val="000000" w:themeColor="text1"/>
        </w:rPr>
        <w:t>.</w:t>
      </w:r>
      <w:r w:rsidR="00385A2C" w:rsidRPr="00FC397D">
        <w:rPr>
          <w:rStyle w:val="FootnoteReference"/>
          <w:rFonts w:asciiTheme="majorHAnsi" w:hAnsiTheme="majorHAnsi"/>
          <w:color w:val="000000" w:themeColor="text1"/>
        </w:rPr>
        <w:footnoteReference w:id="77"/>
      </w:r>
      <w:r w:rsidR="007B521C">
        <w:rPr>
          <w:rFonts w:asciiTheme="majorHAnsi" w:hAnsiTheme="majorHAnsi"/>
          <w:color w:val="00B050"/>
        </w:rPr>
        <w:t xml:space="preserve"> </w:t>
      </w:r>
      <w:r w:rsidR="00385A2C" w:rsidRPr="00E37A28">
        <w:rPr>
          <w:rFonts w:asciiTheme="majorHAnsi" w:hAnsiTheme="majorHAnsi"/>
        </w:rPr>
        <w:t xml:space="preserve">It was for this reason that GRV developed a breeder training course and requires </w:t>
      </w:r>
      <w:r w:rsidR="00385A2C" w:rsidRPr="005F7238">
        <w:t xml:space="preserve">new </w:t>
      </w:r>
      <w:r w:rsidR="00385A2C">
        <w:t>participants, who have not previously bred a litter before, to complete the GRV ‘Breeders Education Package’</w:t>
      </w:r>
      <w:r w:rsidR="00686179">
        <w:t>.</w:t>
      </w:r>
      <w:r w:rsidR="007B521C">
        <w:t xml:space="preserve"> </w:t>
      </w:r>
      <w:r w:rsidR="00686179">
        <w:t>The Breeders Education Package is still running through GRV’s in house ‘</w:t>
      </w:r>
      <w:r w:rsidR="00E52923">
        <w:t>F</w:t>
      </w:r>
      <w:r w:rsidR="00686179">
        <w:t xml:space="preserve">ast </w:t>
      </w:r>
      <w:r w:rsidR="00E52923">
        <w:t>T</w:t>
      </w:r>
      <w:r w:rsidR="00686179">
        <w:t xml:space="preserve">rack’ member system. It is understood that GRV intend to implement an </w:t>
      </w:r>
      <w:r w:rsidR="00B77EE0">
        <w:t xml:space="preserve">enhanced </w:t>
      </w:r>
      <w:r w:rsidR="00686179">
        <w:t>evaluation process in the future, as part of their overall animal welfare strategy</w:t>
      </w:r>
      <w:r w:rsidR="00385A2C">
        <w:t>.</w:t>
      </w:r>
    </w:p>
    <w:p w:rsidR="00385A2C" w:rsidRDefault="00385A2C" w:rsidP="00195586">
      <w:pPr>
        <w:jc w:val="both"/>
        <w:rPr>
          <w:rFonts w:eastAsia="MS Mincho"/>
        </w:rPr>
      </w:pPr>
    </w:p>
    <w:p w:rsidR="00195586" w:rsidRDefault="00195586" w:rsidP="00195586">
      <w:pPr>
        <w:jc w:val="both"/>
        <w:rPr>
          <w:rFonts w:cs="Arial-BoldMT"/>
          <w:bCs/>
        </w:rPr>
      </w:pPr>
      <w:r w:rsidRPr="007460DC">
        <w:rPr>
          <w:rFonts w:eastAsia="MS Mincho"/>
        </w:rPr>
        <w:t xml:space="preserve">There are anecdotal reports of a poor understanding of basic training practices amongst breeders </w:t>
      </w:r>
      <w:r w:rsidR="003434EC">
        <w:rPr>
          <w:rFonts w:eastAsia="MS Mincho"/>
        </w:rPr>
        <w:t xml:space="preserve">(including </w:t>
      </w:r>
      <w:r w:rsidRPr="007460DC">
        <w:rPr>
          <w:rFonts w:eastAsia="MS Mincho"/>
        </w:rPr>
        <w:t>rearers</w:t>
      </w:r>
      <w:r w:rsidR="003434EC">
        <w:rPr>
          <w:rFonts w:eastAsia="MS Mincho"/>
        </w:rPr>
        <w:t>)</w:t>
      </w:r>
      <w:r w:rsidRPr="007460DC">
        <w:rPr>
          <w:rFonts w:eastAsia="MS Mincho"/>
        </w:rPr>
        <w:t>. In 2015 it was noted, in a study of NSW</w:t>
      </w:r>
      <w:r w:rsidR="008A7AF1">
        <w:rPr>
          <w:rFonts w:eastAsia="MS Mincho"/>
        </w:rPr>
        <w:t>,</w:t>
      </w:r>
      <w:r w:rsidRPr="007460DC">
        <w:rPr>
          <w:rFonts w:eastAsia="MS Mincho"/>
        </w:rPr>
        <w:t xml:space="preserve"> that dog management practices do not appear to be based on the understanding of fundamental behavioural </w:t>
      </w:r>
      <w:r w:rsidRPr="007460DC">
        <w:rPr>
          <w:rFonts w:eastAsia="MS Mincho"/>
        </w:rPr>
        <w:lastRenderedPageBreak/>
        <w:t>needs and there is an apparent lack of awareness of the critical importance of the first three months of life (for socialisation and behavioural needs)</w:t>
      </w:r>
      <w:r w:rsidRPr="0062446A">
        <w:rPr>
          <w:rStyle w:val="FootnoteReference"/>
          <w:rFonts w:cs="Arial-BoldMT"/>
          <w:bCs/>
          <w:i/>
          <w:sz w:val="20"/>
        </w:rPr>
        <w:t xml:space="preserve"> </w:t>
      </w:r>
      <w:r w:rsidRPr="004B0055">
        <w:rPr>
          <w:rStyle w:val="FootnoteReference"/>
          <w:rFonts w:cs="Arial-BoldMT"/>
          <w:bCs/>
          <w:sz w:val="20"/>
        </w:rPr>
        <w:footnoteReference w:id="78"/>
      </w:r>
      <w:r w:rsidRPr="007460DC">
        <w:rPr>
          <w:rFonts w:cs="Arial-BoldMT"/>
          <w:bCs/>
        </w:rPr>
        <w:t>.</w:t>
      </w:r>
      <w:r>
        <w:rPr>
          <w:rFonts w:cs="Arial-BoldMT"/>
          <w:bCs/>
        </w:rPr>
        <w:t xml:space="preserve"> These participants may be willing to try</w:t>
      </w:r>
      <w:r w:rsidR="00E52923">
        <w:rPr>
          <w:rFonts w:cs="Arial-BoldMT"/>
          <w:bCs/>
        </w:rPr>
        <w:t xml:space="preserve"> to</w:t>
      </w:r>
      <w:r>
        <w:rPr>
          <w:rFonts w:cs="Arial-BoldMT"/>
          <w:bCs/>
        </w:rPr>
        <w:t xml:space="preserve"> improve practice but do not have the resources or information </w:t>
      </w:r>
      <w:r w:rsidR="003434EC">
        <w:rPr>
          <w:rFonts w:cs="Arial-BoldMT"/>
          <w:bCs/>
        </w:rPr>
        <w:t xml:space="preserve">to do so </w:t>
      </w:r>
      <w:r>
        <w:rPr>
          <w:rFonts w:cs="Arial-BoldMT"/>
          <w:bCs/>
        </w:rPr>
        <w:t>(</w:t>
      </w:r>
      <w:r w:rsidR="008E3318">
        <w:rPr>
          <w:rFonts w:cs="Arial-BoldMT"/>
          <w:bCs/>
        </w:rPr>
        <w:t xml:space="preserve">see </w:t>
      </w:r>
      <w:r w:rsidR="003434EC">
        <w:rPr>
          <w:rFonts w:cs="Arial-BoldMT"/>
          <w:bCs/>
        </w:rPr>
        <w:t>Table 10</w:t>
      </w:r>
      <w:r>
        <w:rPr>
          <w:rFonts w:cs="Arial-BoldMT"/>
          <w:bCs/>
        </w:rPr>
        <w:t>).</w:t>
      </w:r>
    </w:p>
    <w:p w:rsidR="0077019D" w:rsidRDefault="0077019D" w:rsidP="00DB662A">
      <w:pPr>
        <w:jc w:val="both"/>
      </w:pPr>
    </w:p>
    <w:p w:rsidR="00DB662A" w:rsidRPr="008A6CE1" w:rsidRDefault="00DB662A" w:rsidP="00DB662A">
      <w:pPr>
        <w:jc w:val="both"/>
      </w:pPr>
      <w:r w:rsidRPr="008A6CE1">
        <w:t>The</w:t>
      </w:r>
      <w:r w:rsidR="008A6CE1" w:rsidRPr="008A6CE1">
        <w:t xml:space="preserve"> </w:t>
      </w:r>
      <w:r w:rsidR="008A6CE1">
        <w:t xml:space="preserve">Working Dog </w:t>
      </w:r>
      <w:r w:rsidR="00B17D58">
        <w:t>Alliance</w:t>
      </w:r>
      <w:r w:rsidR="008A6CE1">
        <w:t xml:space="preserve"> (WDA)</w:t>
      </w:r>
      <w:r w:rsidR="008A6CE1" w:rsidRPr="008A6CE1">
        <w:t xml:space="preserve"> report</w:t>
      </w:r>
      <w:r w:rsidR="008E3318">
        <w:t xml:space="preserve"> noted that</w:t>
      </w:r>
      <w:r w:rsidR="008A6CE1" w:rsidRPr="008A6CE1">
        <w:t xml:space="preserve"> </w:t>
      </w:r>
      <w:r w:rsidR="008A6CE1" w:rsidRPr="008A6CE1">
        <w:rPr>
          <w:i/>
        </w:rPr>
        <w:t xml:space="preserve">‘there was minimal consideration for the major effects of some practices on health, welfare and performance of dogs </w:t>
      </w:r>
      <w:r w:rsidR="00B17D58" w:rsidRPr="008A6CE1">
        <w:rPr>
          <w:i/>
        </w:rPr>
        <w:t>throughout</w:t>
      </w:r>
      <w:r w:rsidR="008A6CE1" w:rsidRPr="008A6CE1">
        <w:rPr>
          <w:i/>
        </w:rPr>
        <w:t xml:space="preserve"> their </w:t>
      </w:r>
      <w:r w:rsidR="00B17D58" w:rsidRPr="008A6CE1">
        <w:rPr>
          <w:i/>
        </w:rPr>
        <w:t>lifecycle’</w:t>
      </w:r>
      <w:r w:rsidR="008A6CE1" w:rsidRPr="004B0055">
        <w:rPr>
          <w:rStyle w:val="FootnoteReference"/>
          <w:rFonts w:cs="Arial-BoldMT"/>
          <w:bCs/>
          <w:sz w:val="20"/>
        </w:rPr>
        <w:footnoteReference w:id="79"/>
      </w:r>
      <w:r w:rsidR="008A6CE1" w:rsidRPr="008A6CE1">
        <w:rPr>
          <w:rFonts w:cs="Arial-BoldMT"/>
          <w:bCs/>
        </w:rPr>
        <w:t>.</w:t>
      </w:r>
      <w:r w:rsidR="00597FEC">
        <w:rPr>
          <w:rFonts w:cs="Arial-BoldMT"/>
          <w:bCs/>
        </w:rPr>
        <w:t xml:space="preserve"> </w:t>
      </w:r>
      <w:r w:rsidR="00E52923">
        <w:t xml:space="preserve">Because </w:t>
      </w:r>
      <w:r w:rsidR="00D7251B">
        <w:t>a registered owner may not be the person in</w:t>
      </w:r>
      <w:r w:rsidR="008E3318">
        <w:t xml:space="preserve"> </w:t>
      </w:r>
      <w:r w:rsidR="00D7251B">
        <w:t>charge of a greyhound</w:t>
      </w:r>
      <w:r w:rsidR="00BB6DE9">
        <w:t>,</w:t>
      </w:r>
      <w:r w:rsidR="00D7251B">
        <w:t xml:space="preserve"> there is an increase</w:t>
      </w:r>
      <w:r w:rsidR="0063474F">
        <w:t>d</w:t>
      </w:r>
      <w:r w:rsidR="00D7251B">
        <w:t xml:space="preserve"> risk that unregistered </w:t>
      </w:r>
      <w:r w:rsidR="0066167C">
        <w:t xml:space="preserve">participants </w:t>
      </w:r>
      <w:r w:rsidR="00D7251B">
        <w:t>(</w:t>
      </w:r>
      <w:r w:rsidR="0066167C">
        <w:t>those</w:t>
      </w:r>
      <w:r w:rsidR="00D7251B">
        <w:t xml:space="preserve"> </w:t>
      </w:r>
      <w:r w:rsidR="003E67FF">
        <w:t>rea</w:t>
      </w:r>
      <w:r w:rsidR="00D7251B">
        <w:t>ring</w:t>
      </w:r>
      <w:r w:rsidR="003434EC">
        <w:t xml:space="preserve"> or</w:t>
      </w:r>
      <w:r w:rsidR="00D7251B">
        <w:t xml:space="preserve"> breaking in greyhounds</w:t>
      </w:r>
      <w:r w:rsidR="003434EC">
        <w:t>)</w:t>
      </w:r>
      <w:r w:rsidR="003E67FF">
        <w:t xml:space="preserve"> </w:t>
      </w:r>
      <w:r w:rsidR="00D7251B">
        <w:t xml:space="preserve">are not compliant </w:t>
      </w:r>
      <w:r w:rsidR="003E67FF">
        <w:t>n</w:t>
      </w:r>
      <w:r w:rsidR="00D7251B">
        <w:t xml:space="preserve">or connected </w:t>
      </w:r>
      <w:r w:rsidR="003E67FF">
        <w:t xml:space="preserve">the system </w:t>
      </w:r>
      <w:r w:rsidR="00D7251B">
        <w:t xml:space="preserve">to gain information on current </w:t>
      </w:r>
      <w:r w:rsidR="00E52923">
        <w:t xml:space="preserve">best </w:t>
      </w:r>
      <w:r w:rsidR="00D7251B">
        <w:t xml:space="preserve">practice. The level of unregistered </w:t>
      </w:r>
      <w:r w:rsidR="0066167C">
        <w:t xml:space="preserve">participants </w:t>
      </w:r>
      <w:r w:rsidR="00D7251B">
        <w:t>in the industry is currently unclear.</w:t>
      </w:r>
      <w:r w:rsidR="007B521C">
        <w:t xml:space="preserve"> </w:t>
      </w:r>
    </w:p>
    <w:p w:rsidR="006E29B0" w:rsidRDefault="006E29B0" w:rsidP="00DB662A">
      <w:pPr>
        <w:pStyle w:val="ListParagraph"/>
        <w:autoSpaceDE w:val="0"/>
        <w:autoSpaceDN w:val="0"/>
        <w:adjustRightInd w:val="0"/>
        <w:ind w:left="0"/>
        <w:jc w:val="both"/>
        <w:rPr>
          <w:rFonts w:cs="Arial-BoldMT"/>
          <w:bCs/>
        </w:rPr>
      </w:pPr>
    </w:p>
    <w:p w:rsidR="00DB662A" w:rsidRDefault="00DB662A" w:rsidP="00DB662A">
      <w:pPr>
        <w:pStyle w:val="ListParagraph"/>
        <w:autoSpaceDE w:val="0"/>
        <w:autoSpaceDN w:val="0"/>
        <w:adjustRightInd w:val="0"/>
        <w:ind w:left="0"/>
        <w:jc w:val="both"/>
        <w:rPr>
          <w:rFonts w:cs="Arial-BoldMT"/>
          <w:bCs/>
        </w:rPr>
      </w:pPr>
      <w:r w:rsidRPr="00A9075A">
        <w:rPr>
          <w:rFonts w:cs="Arial-BoldMT"/>
          <w:bCs/>
        </w:rPr>
        <w:t>The W</w:t>
      </w:r>
      <w:r w:rsidR="008A6CE1">
        <w:rPr>
          <w:rFonts w:cs="Arial-BoldMT"/>
          <w:bCs/>
        </w:rPr>
        <w:t>DA</w:t>
      </w:r>
      <w:r w:rsidRPr="00A9075A">
        <w:rPr>
          <w:rFonts w:cs="Arial-BoldMT"/>
          <w:bCs/>
        </w:rPr>
        <w:t xml:space="preserve"> </w:t>
      </w:r>
      <w:r>
        <w:rPr>
          <w:rFonts w:cs="Arial-BoldMT"/>
          <w:bCs/>
        </w:rPr>
        <w:t xml:space="preserve">recently </w:t>
      </w:r>
      <w:r w:rsidRPr="00A9075A">
        <w:rPr>
          <w:rFonts w:cs="Arial-BoldMT"/>
          <w:bCs/>
        </w:rPr>
        <w:t>identified that a window of opportunity exists between 3 weeks and 14 weeks of age</w:t>
      </w:r>
      <w:r w:rsidR="0077019D">
        <w:rPr>
          <w:rFonts w:cs="Arial-BoldMT"/>
          <w:bCs/>
        </w:rPr>
        <w:t xml:space="preserve">, during the whelping stage, </w:t>
      </w:r>
      <w:r w:rsidRPr="00A9075A">
        <w:rPr>
          <w:rFonts w:cs="Arial-BoldMT"/>
          <w:bCs/>
        </w:rPr>
        <w:t>for optimal socialisation to be most effective</w:t>
      </w:r>
      <w:r w:rsidR="006E29B0">
        <w:rPr>
          <w:rFonts w:cs="Arial-BoldMT"/>
          <w:bCs/>
        </w:rPr>
        <w:t xml:space="preserve"> (</w:t>
      </w:r>
      <w:r w:rsidR="0077019D">
        <w:rPr>
          <w:rFonts w:cs="Arial-BoldMT"/>
          <w:bCs/>
        </w:rPr>
        <w:t xml:space="preserve">see Section </w:t>
      </w:r>
      <w:r w:rsidR="003E67FF">
        <w:rPr>
          <w:rFonts w:cs="Arial-BoldMT"/>
          <w:bCs/>
        </w:rPr>
        <w:t xml:space="preserve">1.2.2 </w:t>
      </w:r>
      <w:r w:rsidR="0077019D">
        <w:rPr>
          <w:rFonts w:cs="Arial-BoldMT"/>
          <w:bCs/>
        </w:rPr>
        <w:t>of the RIS</w:t>
      </w:r>
      <w:r w:rsidR="006E29B0">
        <w:rPr>
          <w:rFonts w:cs="Arial-BoldMT"/>
          <w:bCs/>
        </w:rPr>
        <w:t>)</w:t>
      </w:r>
      <w:r w:rsidRPr="00A9075A">
        <w:rPr>
          <w:rFonts w:cs="Arial-BoldMT"/>
          <w:bCs/>
        </w:rPr>
        <w:t>. Prescribed levels of training, exercise, enrichment and socialisation for every age dog at every stage of their lifecycle will offer a consistent level of care and welfare for all dogs and prepare the dog for a life outside of the industry.</w:t>
      </w:r>
      <w:r w:rsidRPr="00A9075A">
        <w:rPr>
          <w:rStyle w:val="FootnoteReference"/>
          <w:rFonts w:cs="Arial-BoldMT"/>
          <w:bCs/>
          <w:i/>
          <w:sz w:val="20"/>
        </w:rPr>
        <w:t xml:space="preserve"> </w:t>
      </w:r>
      <w:r w:rsidRPr="004B0055">
        <w:rPr>
          <w:rStyle w:val="FootnoteReference"/>
          <w:rFonts w:cs="Arial-BoldMT"/>
          <w:bCs/>
          <w:sz w:val="20"/>
        </w:rPr>
        <w:footnoteReference w:id="80"/>
      </w:r>
      <w:r w:rsidR="007B521C">
        <w:rPr>
          <w:rFonts w:cs="Arial-BoldMT"/>
          <w:bCs/>
        </w:rPr>
        <w:t xml:space="preserve"> </w:t>
      </w:r>
      <w:r>
        <w:rPr>
          <w:rFonts w:cs="Arial-BoldMT"/>
          <w:bCs/>
        </w:rPr>
        <w:t>GRV report</w:t>
      </w:r>
      <w:r w:rsidR="00E52923">
        <w:rPr>
          <w:rFonts w:cs="Arial-BoldMT"/>
          <w:bCs/>
        </w:rPr>
        <w:t xml:space="preserve">s </w:t>
      </w:r>
      <w:r>
        <w:rPr>
          <w:rFonts w:cs="Arial-BoldMT"/>
          <w:bCs/>
        </w:rPr>
        <w:t xml:space="preserve">that most trainers and persons-in-charge of greyhounds are not using latest research and techniques but relying on </w:t>
      </w:r>
      <w:r w:rsidR="003244B2">
        <w:rPr>
          <w:rFonts w:cs="Arial-BoldMT"/>
          <w:bCs/>
        </w:rPr>
        <w:t xml:space="preserve">old ‘handed-down’ </w:t>
      </w:r>
      <w:r>
        <w:rPr>
          <w:rFonts w:cs="Arial-BoldMT"/>
          <w:bCs/>
        </w:rPr>
        <w:t>techniques for training a winner.</w:t>
      </w:r>
      <w:r w:rsidR="00D7251B">
        <w:rPr>
          <w:rFonts w:cs="Arial-BoldMT"/>
          <w:bCs/>
        </w:rPr>
        <w:t xml:space="preserve"> </w:t>
      </w:r>
    </w:p>
    <w:p w:rsidR="0077019D" w:rsidRPr="00203DEF" w:rsidRDefault="0077019D" w:rsidP="003244B2">
      <w:pPr>
        <w:jc w:val="both"/>
      </w:pPr>
    </w:p>
    <w:p w:rsidR="00DB662A" w:rsidRDefault="00756CAF" w:rsidP="003244B2">
      <w:pPr>
        <w:jc w:val="both"/>
      </w:pPr>
      <w:r>
        <w:t>Anecdotal evidence from GRV suggests that w</w:t>
      </w:r>
      <w:r w:rsidR="00DB662A" w:rsidRPr="00203DEF">
        <w:t>hilst there is an element of chance in the entire industry generally</w:t>
      </w:r>
      <w:r w:rsidR="00B7475A">
        <w:t xml:space="preserve">, </w:t>
      </w:r>
      <w:r w:rsidR="00DB662A" w:rsidRPr="00203DEF">
        <w:t>participants that have dogs that do well</w:t>
      </w:r>
      <w:r w:rsidR="0066167C">
        <w:t>,</w:t>
      </w:r>
      <w:r w:rsidR="00DB662A" w:rsidRPr="00203DEF">
        <w:t xml:space="preserve"> </w:t>
      </w:r>
      <w:r w:rsidR="00B77EE0">
        <w:t xml:space="preserve">generally </w:t>
      </w:r>
      <w:r w:rsidR="00DB662A" w:rsidRPr="00203DEF">
        <w:t>have structured breeding, and training plans, and maintain a level of dog management that improves racing ability. Those that are resource</w:t>
      </w:r>
      <w:r w:rsidR="007C5FC6">
        <w:t>, or knowledge,</w:t>
      </w:r>
      <w:r w:rsidR="00DB662A" w:rsidRPr="00203DEF">
        <w:t xml:space="preserve"> poor and have </w:t>
      </w:r>
      <w:r w:rsidR="00E52923">
        <w:t xml:space="preserve">too </w:t>
      </w:r>
      <w:r w:rsidR="00DB662A" w:rsidRPr="00203DEF">
        <w:t>many dogs</w:t>
      </w:r>
      <w:r w:rsidR="00E52923">
        <w:t xml:space="preserve"> relative to their resources</w:t>
      </w:r>
      <w:r w:rsidR="0066167C">
        <w:t xml:space="preserve">, </w:t>
      </w:r>
      <w:r w:rsidR="00DB662A" w:rsidRPr="00203DEF">
        <w:t>are less likely to breed and/or train a champion dog.</w:t>
      </w:r>
    </w:p>
    <w:p w:rsidR="00673E43" w:rsidRPr="00673E43" w:rsidRDefault="00673E43" w:rsidP="00673E43">
      <w:pPr>
        <w:rPr>
          <w:lang w:val="en-US"/>
        </w:rPr>
      </w:pPr>
    </w:p>
    <w:p w:rsidR="00F803A8" w:rsidRDefault="00F803A8" w:rsidP="005E307C">
      <w:pPr>
        <w:pStyle w:val="Heading3"/>
        <w:rPr>
          <w:lang w:val="en-US"/>
        </w:rPr>
      </w:pPr>
      <w:bookmarkStart w:id="71" w:name="_Toc469529153"/>
      <w:bookmarkStart w:id="72" w:name="_Toc477190166"/>
      <w:r>
        <w:rPr>
          <w:lang w:val="en-US"/>
        </w:rPr>
        <w:t>1.4.</w:t>
      </w:r>
      <w:r w:rsidR="007C5FC6">
        <w:rPr>
          <w:lang w:val="en-US"/>
        </w:rPr>
        <w:t>8 Rehoming</w:t>
      </w:r>
      <w:bookmarkEnd w:id="71"/>
      <w:bookmarkEnd w:id="72"/>
    </w:p>
    <w:p w:rsidR="007C19E1" w:rsidRPr="00354D47" w:rsidRDefault="007C5FC6" w:rsidP="007C19E1">
      <w:pPr>
        <w:jc w:val="both"/>
        <w:rPr>
          <w:lang w:val="en-US"/>
        </w:rPr>
      </w:pPr>
      <w:r w:rsidRPr="00993505">
        <w:t>Every lifecycle stage (</w:t>
      </w:r>
      <w:r w:rsidR="00B7475A">
        <w:t xml:space="preserve">see </w:t>
      </w:r>
      <w:r w:rsidRPr="00993505">
        <w:t xml:space="preserve">Chart </w:t>
      </w:r>
      <w:r w:rsidR="00B7475A">
        <w:t>2</w:t>
      </w:r>
      <w:r w:rsidRPr="00993505">
        <w:t>) represents a potential point of e</w:t>
      </w:r>
      <w:r w:rsidR="001748F4">
        <w:t xml:space="preserve">xit from the industry. </w:t>
      </w:r>
      <w:r w:rsidR="007C19E1" w:rsidRPr="00E750CD">
        <w:t>The onus on reconditioning or rehabilitation is currently on</w:t>
      </w:r>
      <w:r w:rsidR="00B11A06">
        <w:t xml:space="preserve"> GRV’s</w:t>
      </w:r>
      <w:r w:rsidR="007C19E1" w:rsidRPr="00E750CD">
        <w:t xml:space="preserve"> </w:t>
      </w:r>
      <w:r w:rsidR="00B11A06" w:rsidRPr="00354D47">
        <w:t>Greyhound Adoption Program (GAP)</w:t>
      </w:r>
      <w:r w:rsidR="007C19E1">
        <w:t xml:space="preserve"> alone.</w:t>
      </w:r>
      <w:r w:rsidR="007B521C">
        <w:t xml:space="preserve"> </w:t>
      </w:r>
      <w:r w:rsidR="007C19E1" w:rsidRPr="00354D47">
        <w:t xml:space="preserve">Every greyhound that enters the program is thoroughly temperament tested, </w:t>
      </w:r>
      <w:r w:rsidR="00E52923">
        <w:t xml:space="preserve">and veterinary checked; every greyhound rehomed by the program must be </w:t>
      </w:r>
      <w:r w:rsidR="007C19E1" w:rsidRPr="00354D47">
        <w:t>de</w:t>
      </w:r>
      <w:r w:rsidR="00450604">
        <w:t>-</w:t>
      </w:r>
      <w:r w:rsidR="007C19E1" w:rsidRPr="00354D47">
        <w:t xml:space="preserve">sexed, wormed, microchipped, and vaccinated. The greyhounds </w:t>
      </w:r>
      <w:r w:rsidR="00F2723E">
        <w:t xml:space="preserve">may </w:t>
      </w:r>
      <w:r w:rsidR="007C19E1" w:rsidRPr="00354D47">
        <w:t xml:space="preserve">then spend time with a foster carer to help them adjust from life in a kennel, to life in a pet home. </w:t>
      </w:r>
      <w:r w:rsidR="00E52923">
        <w:t xml:space="preserve">In 2015-16 </w:t>
      </w:r>
      <w:r w:rsidR="00E52923">
        <w:rPr>
          <w:lang w:val="en-US"/>
        </w:rPr>
        <w:t>i</w:t>
      </w:r>
      <w:r w:rsidR="007C19E1" w:rsidRPr="00354D47">
        <w:rPr>
          <w:lang w:val="en-US"/>
        </w:rPr>
        <w:t>t cost GRV approximately $1</w:t>
      </w:r>
      <w:r w:rsidR="00B7475A">
        <w:rPr>
          <w:lang w:val="en-US"/>
        </w:rPr>
        <w:t>,</w:t>
      </w:r>
      <w:r w:rsidR="007C19E1" w:rsidRPr="00354D47">
        <w:rPr>
          <w:lang w:val="en-US"/>
        </w:rPr>
        <w:t>200 per dog to progress through the system to rehoming.</w:t>
      </w:r>
      <w:r w:rsidR="007C19E1">
        <w:rPr>
          <w:lang w:val="en-US"/>
        </w:rPr>
        <w:t xml:space="preserve"> </w:t>
      </w:r>
      <w:r w:rsidR="007C19E1" w:rsidRPr="00354D47">
        <w:rPr>
          <w:lang w:val="en-US"/>
        </w:rPr>
        <w:t xml:space="preserve">Currently GAP has 180 kennels, with plans to expand in the coming </w:t>
      </w:r>
      <w:r w:rsidR="00B11A06" w:rsidRPr="00354D47">
        <w:rPr>
          <w:lang w:val="en-US"/>
        </w:rPr>
        <w:t>twelve-month</w:t>
      </w:r>
      <w:r w:rsidR="007C19E1" w:rsidRPr="00354D47">
        <w:rPr>
          <w:lang w:val="en-US"/>
        </w:rPr>
        <w:t xml:space="preserve"> period to potentially have 280 kennels</w:t>
      </w:r>
      <w:r w:rsidR="00B11A06">
        <w:rPr>
          <w:lang w:val="en-US"/>
        </w:rPr>
        <w:t>.</w:t>
      </w:r>
      <w:r w:rsidR="007B521C">
        <w:rPr>
          <w:lang w:val="en-US"/>
        </w:rPr>
        <w:t xml:space="preserve"> </w:t>
      </w:r>
      <w:r w:rsidR="00B11A06">
        <w:rPr>
          <w:lang w:val="en-US"/>
        </w:rPr>
        <w:t>A</w:t>
      </w:r>
      <w:r w:rsidR="007C19E1">
        <w:rPr>
          <w:lang w:val="en-US"/>
        </w:rPr>
        <w:t>t the moment</w:t>
      </w:r>
      <w:r w:rsidR="001B1AFD">
        <w:rPr>
          <w:lang w:val="en-US"/>
        </w:rPr>
        <w:t xml:space="preserve"> </w:t>
      </w:r>
      <w:r w:rsidR="00E52923">
        <w:rPr>
          <w:lang w:val="en-US"/>
        </w:rPr>
        <w:t xml:space="preserve">participants contacting </w:t>
      </w:r>
      <w:r w:rsidR="001B1AFD">
        <w:rPr>
          <w:lang w:val="en-US"/>
        </w:rPr>
        <w:t>GAP</w:t>
      </w:r>
      <w:r w:rsidR="00E52923">
        <w:rPr>
          <w:lang w:val="en-US"/>
        </w:rPr>
        <w:t xml:space="preserve"> wait</w:t>
      </w:r>
      <w:r w:rsidR="007C19E1" w:rsidRPr="00354D47">
        <w:rPr>
          <w:lang w:val="en-US"/>
        </w:rPr>
        <w:t xml:space="preserve"> </w:t>
      </w:r>
      <w:r w:rsidR="00E52923">
        <w:rPr>
          <w:lang w:val="en-US"/>
        </w:rPr>
        <w:t>between one and three months</w:t>
      </w:r>
      <w:r w:rsidR="007C19E1" w:rsidRPr="00354D47">
        <w:rPr>
          <w:lang w:val="en-US"/>
        </w:rPr>
        <w:t xml:space="preserve"> to enter the program.</w:t>
      </w:r>
      <w:r w:rsidR="007B521C">
        <w:rPr>
          <w:lang w:val="en-US"/>
        </w:rPr>
        <w:t xml:space="preserve"> </w:t>
      </w:r>
    </w:p>
    <w:p w:rsidR="007C19E1" w:rsidRDefault="007C19E1" w:rsidP="007C19E1">
      <w:pPr>
        <w:jc w:val="both"/>
        <w:rPr>
          <w:lang w:val="en-US"/>
        </w:rPr>
      </w:pPr>
    </w:p>
    <w:p w:rsidR="001748F4" w:rsidRPr="001748F4" w:rsidRDefault="001748F4" w:rsidP="001748F4">
      <w:pPr>
        <w:jc w:val="both"/>
      </w:pPr>
      <w:r>
        <w:t>GAP reports that g</w:t>
      </w:r>
      <w:r w:rsidRPr="00E750CD">
        <w:t xml:space="preserve">reyhounds </w:t>
      </w:r>
      <w:r>
        <w:t>that have been exposed to external stimuli outside the racing industry before they enter the program</w:t>
      </w:r>
      <w:r w:rsidRPr="00E750CD">
        <w:t xml:space="preserve"> have been shown to have a better chance of passing their temperament test</w:t>
      </w:r>
      <w:r>
        <w:t xml:space="preserve"> and finding a permanent home.</w:t>
      </w:r>
      <w:r w:rsidRPr="00E750CD">
        <w:t xml:space="preserve"> </w:t>
      </w:r>
      <w:r>
        <w:t xml:space="preserve">The average time a dog spends in </w:t>
      </w:r>
      <w:r w:rsidR="00E52923">
        <w:t xml:space="preserve">the </w:t>
      </w:r>
      <w:r>
        <w:t>GAP</w:t>
      </w:r>
      <w:r w:rsidR="00E52923">
        <w:t xml:space="preserve"> program</w:t>
      </w:r>
      <w:r>
        <w:t xml:space="preserve"> is 42 days with </w:t>
      </w:r>
      <w:r w:rsidR="00E52923">
        <w:t>an average of 14 days actually in the kennels</w:t>
      </w:r>
      <w:r w:rsidR="00D120B6">
        <w:t>. The dog may spend the balance of days in foster care in a home environment.</w:t>
      </w:r>
      <w:r w:rsidR="00E52923">
        <w:t xml:space="preserve"> </w:t>
      </w:r>
      <w:r w:rsidRPr="00E750CD">
        <w:t xml:space="preserve">Only greyhounds that have passed the GAP </w:t>
      </w:r>
      <w:r w:rsidR="00E52923">
        <w:t xml:space="preserve">National Temperament Test (GAPNTT) </w:t>
      </w:r>
      <w:r w:rsidRPr="00E750CD">
        <w:t xml:space="preserve">are awarded a special green GAP collar, and have an exemption from the </w:t>
      </w:r>
      <w:r w:rsidRPr="007046FB">
        <w:rPr>
          <w:i/>
        </w:rPr>
        <w:t>Domestic Animals</w:t>
      </w:r>
      <w:r w:rsidRPr="00B310B2">
        <w:rPr>
          <w:i/>
        </w:rPr>
        <w:t xml:space="preserve"> A</w:t>
      </w:r>
      <w:r w:rsidRPr="007046FB">
        <w:rPr>
          <w:i/>
        </w:rPr>
        <w:t>ct 1994</w:t>
      </w:r>
      <w:r w:rsidRPr="00E750CD">
        <w:t xml:space="preserve"> from </w:t>
      </w:r>
      <w:r w:rsidRPr="00E750CD">
        <w:lastRenderedPageBreak/>
        <w:t>the requirements (for greyhounds) to be muzzled in public.</w:t>
      </w:r>
      <w:r>
        <w:t xml:space="preserve"> In 2015-16 there were </w:t>
      </w:r>
      <w:r w:rsidR="00B11A06">
        <w:t>845</w:t>
      </w:r>
      <w:r>
        <w:t xml:space="preserve"> greyhounds rehomed or</w:t>
      </w:r>
      <w:r w:rsidRPr="00027506">
        <w:t xml:space="preserve"> </w:t>
      </w:r>
      <w:r>
        <w:t>‘</w:t>
      </w:r>
      <w:r w:rsidRPr="00027506">
        <w:t>green-collared</w:t>
      </w:r>
      <w:r>
        <w:t>’</w:t>
      </w:r>
      <w:r w:rsidRPr="00027506">
        <w:t xml:space="preserve"> after retiring from racing</w:t>
      </w:r>
      <w:r w:rsidR="00B11A06">
        <w:t xml:space="preserve"> (see Table 7).</w:t>
      </w:r>
    </w:p>
    <w:p w:rsidR="00073893" w:rsidRPr="00F803A8" w:rsidRDefault="00073893" w:rsidP="00F803A8">
      <w:pPr>
        <w:rPr>
          <w:lang w:val="en-US"/>
        </w:rPr>
      </w:pPr>
    </w:p>
    <w:p w:rsidR="00DF143E" w:rsidRDefault="00F803A8" w:rsidP="00CA7E5B">
      <w:pPr>
        <w:pStyle w:val="H13pt"/>
      </w:pPr>
      <w:bookmarkStart w:id="73" w:name="_Toc477190167"/>
      <w:r>
        <w:rPr>
          <w:rFonts w:eastAsiaTheme="majorEastAsia"/>
        </w:rPr>
        <w:t>1.5 Scope</w:t>
      </w:r>
      <w:bookmarkEnd w:id="73"/>
      <w:r w:rsidR="00DF143E" w:rsidRPr="00DF143E">
        <w:t xml:space="preserve"> </w:t>
      </w:r>
    </w:p>
    <w:p w:rsidR="00DF143E" w:rsidRDefault="00DF143E" w:rsidP="00DF143E">
      <w:pPr>
        <w:jc w:val="both"/>
      </w:pPr>
      <w:r w:rsidRPr="007672B7">
        <w:t>The creation of a new code under the DAA will generally standardise and give effect to various provisions of existing legislation and local rules, for welfare and keeping conditions of greyhounds, which exists in the above</w:t>
      </w:r>
      <w:r w:rsidR="00F07924">
        <w:t xml:space="preserve"> ‘complex</w:t>
      </w:r>
      <w:r w:rsidR="0078503D">
        <w:t>’</w:t>
      </w:r>
      <w:r w:rsidRPr="007672B7">
        <w:t xml:space="preserve"> legislative framework. The proposed code will provide a clearer regulatory framework and wider coverage of all people involved with greyhounds at all lifecycle stages of their life. In addition, as the </w:t>
      </w:r>
      <w:r w:rsidR="00B7475A">
        <w:t xml:space="preserve">proposed </w:t>
      </w:r>
      <w:r w:rsidRPr="007672B7">
        <w:t>code will be made under the DAA, it provides greater powers to authorised officers to enforce and audit and comes with significantly higher penalties</w:t>
      </w:r>
      <w:r w:rsidR="003A0678">
        <w:t xml:space="preserve"> (</w:t>
      </w:r>
      <w:r w:rsidR="00B7475A">
        <w:t>s</w:t>
      </w:r>
      <w:r w:rsidR="003A0678">
        <w:t xml:space="preserve">ee </w:t>
      </w:r>
      <w:r w:rsidR="00B7475A">
        <w:t>T</w:t>
      </w:r>
      <w:r w:rsidR="003A0678">
        <w:t xml:space="preserve">able </w:t>
      </w:r>
      <w:r w:rsidR="00450604">
        <w:t>9</w:t>
      </w:r>
      <w:r w:rsidR="003A0678">
        <w:t>)</w:t>
      </w:r>
      <w:r w:rsidRPr="007672B7">
        <w:t>.</w:t>
      </w:r>
      <w:r w:rsidR="00EB6385">
        <w:t xml:space="preserve"> Local rules, made </w:t>
      </w:r>
      <w:r w:rsidR="00F2723E">
        <w:t xml:space="preserve">by Greyhound Racing Victoria </w:t>
      </w:r>
      <w:r w:rsidR="00EB6385" w:rsidRPr="00E66D8C">
        <w:t>will be</w:t>
      </w:r>
      <w:r w:rsidR="007672B7" w:rsidRPr="00E66D8C">
        <w:t xml:space="preserve"> able to be reviewed</w:t>
      </w:r>
      <w:r w:rsidR="003A0678" w:rsidRPr="00E66D8C">
        <w:t xml:space="preserve"> to </w:t>
      </w:r>
      <w:r w:rsidR="00F2723E">
        <w:t xml:space="preserve">ensure that </w:t>
      </w:r>
      <w:r w:rsidR="007672B7" w:rsidRPr="00E66D8C">
        <w:t xml:space="preserve">move prescriptive welfare requirements </w:t>
      </w:r>
      <w:r w:rsidR="00F2723E">
        <w:t xml:space="preserve">are moved </w:t>
      </w:r>
      <w:r w:rsidR="007672B7" w:rsidRPr="00E66D8C">
        <w:t xml:space="preserve">to a single document </w:t>
      </w:r>
      <w:r w:rsidR="00B17D58" w:rsidRPr="00E66D8C">
        <w:t>(proposed</w:t>
      </w:r>
      <w:r w:rsidR="003A0678" w:rsidRPr="00E66D8C">
        <w:t xml:space="preserve"> Code</w:t>
      </w:r>
      <w:r w:rsidR="00B17D58" w:rsidRPr="00E66D8C">
        <w:t>) enforced</w:t>
      </w:r>
      <w:r w:rsidR="007672B7" w:rsidRPr="00E66D8C">
        <w:t xml:space="preserve"> under the DAA.</w:t>
      </w:r>
      <w:r w:rsidR="00F2723E">
        <w:t xml:space="preserve"> </w:t>
      </w:r>
    </w:p>
    <w:p w:rsidR="00DF143E" w:rsidRPr="00435B34" w:rsidRDefault="00DF143E" w:rsidP="00DF143E">
      <w:pPr>
        <w:jc w:val="both"/>
      </w:pPr>
    </w:p>
    <w:p w:rsidR="00DF143E" w:rsidRDefault="00DF143E" w:rsidP="00DF143E">
      <w:pPr>
        <w:pStyle w:val="ListParagraph"/>
        <w:ind w:left="0"/>
        <w:jc w:val="both"/>
      </w:pPr>
      <w:r>
        <w:t>The proposed code is limited to the scope under section 63AC (2) of the DAA, that allows the code ‘</w:t>
      </w:r>
      <w:r w:rsidRPr="005250BC">
        <w:rPr>
          <w:i/>
        </w:rPr>
        <w:t>to specify standards for the keeping, treatment, handling and care of GRV greyhounds</w:t>
      </w:r>
      <w:r>
        <w:rPr>
          <w:i/>
        </w:rPr>
        <w:t>’</w:t>
      </w:r>
      <w:r>
        <w:t>, as well as; ‘</w:t>
      </w:r>
      <w:r w:rsidRPr="005250BC">
        <w:rPr>
          <w:i/>
        </w:rPr>
        <w:t>facilities, equipment and conditions at premises where GRV greyhounds are being kept</w:t>
      </w:r>
      <w:r>
        <w:rPr>
          <w:i/>
        </w:rPr>
        <w:t>’</w:t>
      </w:r>
      <w:r w:rsidRPr="00095349">
        <w:t xml:space="preserve"> and</w:t>
      </w:r>
      <w:r>
        <w:rPr>
          <w:i/>
        </w:rPr>
        <w:t xml:space="preserve"> ‘standards for the procedures and practices to be adopted in relation to the keeping of GRV greyhounds</w:t>
      </w:r>
      <w:r w:rsidR="00B7475A">
        <w:rPr>
          <w:i/>
        </w:rPr>
        <w:t>’</w:t>
      </w:r>
      <w:r w:rsidRPr="004B0055">
        <w:rPr>
          <w:rStyle w:val="FootnoteReference"/>
        </w:rPr>
        <w:footnoteReference w:id="81"/>
      </w:r>
      <w:r>
        <w:rPr>
          <w:i/>
        </w:rPr>
        <w:t>.</w:t>
      </w:r>
    </w:p>
    <w:p w:rsidR="008120FD" w:rsidRDefault="008120FD" w:rsidP="00DF143E">
      <w:pPr>
        <w:pStyle w:val="ListParagraph"/>
        <w:ind w:left="0"/>
        <w:jc w:val="both"/>
      </w:pPr>
    </w:p>
    <w:p w:rsidR="006124FC" w:rsidRDefault="008120FD" w:rsidP="00DF143E">
      <w:pPr>
        <w:pStyle w:val="ListParagraph"/>
        <w:ind w:left="0"/>
        <w:jc w:val="both"/>
      </w:pPr>
      <w:r>
        <w:t xml:space="preserve">The scope of the proposed code relates to management practices </w:t>
      </w:r>
      <w:r w:rsidR="00BB6DE9">
        <w:t>that impact on</w:t>
      </w:r>
      <w:r>
        <w:t xml:space="preserve"> animal welfare</w:t>
      </w:r>
      <w:r w:rsidR="00B7475A">
        <w:t xml:space="preserve"> and quality of life</w:t>
      </w:r>
      <w:r>
        <w:t xml:space="preserve"> (excluding the issue of live baiting</w:t>
      </w:r>
      <w:r w:rsidR="00FF0706">
        <w:t xml:space="preserve"> and wastage</w:t>
      </w:r>
      <w:r>
        <w:t xml:space="preserve">), </w:t>
      </w:r>
      <w:r w:rsidR="00B17D58">
        <w:t>and the</w:t>
      </w:r>
      <w:r w:rsidR="00FF0706">
        <w:t xml:space="preserve"> transition to </w:t>
      </w:r>
      <w:r>
        <w:t>rehoming</w:t>
      </w:r>
      <w:r w:rsidR="0087591C">
        <w:t xml:space="preserve"> (See Sections 1.4.4 to 1.4.8).</w:t>
      </w:r>
      <w:r w:rsidR="007B521C">
        <w:t xml:space="preserve"> </w:t>
      </w:r>
    </w:p>
    <w:p w:rsidR="006124FC" w:rsidRDefault="006124FC" w:rsidP="00DF143E">
      <w:pPr>
        <w:pStyle w:val="ListParagraph"/>
        <w:ind w:left="0"/>
        <w:jc w:val="both"/>
      </w:pPr>
    </w:p>
    <w:p w:rsidR="00F1231E" w:rsidRDefault="00F1231E" w:rsidP="00503B24">
      <w:pPr>
        <w:jc w:val="both"/>
      </w:pPr>
      <w:r>
        <w:t>The s</w:t>
      </w:r>
      <w:r w:rsidR="008120FD">
        <w:t>ocial licence</w:t>
      </w:r>
      <w:r>
        <w:t xml:space="preserve"> ramifications of </w:t>
      </w:r>
      <w:r w:rsidR="00282ED2">
        <w:t>live baiting and wastage</w:t>
      </w:r>
      <w:r w:rsidR="00483B95">
        <w:t>, as discussed in section 1.4.1</w:t>
      </w:r>
      <w:r w:rsidR="008120FD">
        <w:t xml:space="preserve"> </w:t>
      </w:r>
      <w:r>
        <w:t xml:space="preserve">are not directly covered </w:t>
      </w:r>
      <w:r w:rsidR="008120FD">
        <w:t>in this RIS</w:t>
      </w:r>
      <w:r w:rsidR="007110D4">
        <w:t>.</w:t>
      </w:r>
      <w:r w:rsidR="007B521C">
        <w:t xml:space="preserve"> </w:t>
      </w:r>
      <w:r w:rsidR="00A32D13">
        <w:t>However, animal</w:t>
      </w:r>
      <w:r w:rsidR="00483B95">
        <w:t xml:space="preserve"> welfare standards covered by the proposed Code may have </w:t>
      </w:r>
      <w:r w:rsidR="008120FD" w:rsidRPr="007046FB">
        <w:rPr>
          <w:i/>
        </w:rPr>
        <w:t xml:space="preserve">a </w:t>
      </w:r>
      <w:r w:rsidR="000E409F" w:rsidRPr="007046FB">
        <w:rPr>
          <w:i/>
        </w:rPr>
        <w:t>knock-on</w:t>
      </w:r>
      <w:r w:rsidR="008120FD" w:rsidRPr="007046FB">
        <w:rPr>
          <w:i/>
        </w:rPr>
        <w:t xml:space="preserve"> effect</w:t>
      </w:r>
      <w:r w:rsidR="008120FD">
        <w:t xml:space="preserve"> </w:t>
      </w:r>
      <w:r w:rsidR="00483B95">
        <w:t xml:space="preserve">on </w:t>
      </w:r>
      <w:r w:rsidR="00EA6663">
        <w:t>the industry’s ability to meet community expectations regarding animal welfare</w:t>
      </w:r>
      <w:r w:rsidR="00B05DD3">
        <w:t xml:space="preserve"> and </w:t>
      </w:r>
      <w:r w:rsidR="00483B95">
        <w:t>social licence</w:t>
      </w:r>
    </w:p>
    <w:p w:rsidR="00F1231E" w:rsidRDefault="00F1231E" w:rsidP="00503B24">
      <w:pPr>
        <w:jc w:val="both"/>
      </w:pPr>
    </w:p>
    <w:tbl>
      <w:tblPr>
        <w:tblW w:w="0" w:type="auto"/>
        <w:tblLook w:val="04A0" w:firstRow="1" w:lastRow="0" w:firstColumn="1" w:lastColumn="0" w:noHBand="0" w:noVBand="1"/>
      </w:tblPr>
      <w:tblGrid>
        <w:gridCol w:w="8437"/>
      </w:tblGrid>
      <w:tr w:rsidR="006E7548" w:rsidTr="006E7548">
        <w:tc>
          <w:tcPr>
            <w:tcW w:w="8437" w:type="dxa"/>
            <w:shd w:val="clear" w:color="auto" w:fill="D9D9D9" w:themeFill="background1" w:themeFillShade="D9"/>
          </w:tcPr>
          <w:p w:rsidR="006E7548" w:rsidRDefault="006E7548" w:rsidP="006E7548">
            <w:pPr>
              <w:rPr>
                <w:b/>
              </w:rPr>
            </w:pPr>
            <w:r>
              <w:rPr>
                <w:b/>
              </w:rPr>
              <w:t>Comment by GRV</w:t>
            </w:r>
            <w:r w:rsidRPr="00457D62">
              <w:rPr>
                <w:b/>
              </w:rPr>
              <w:t>;</w:t>
            </w:r>
          </w:p>
          <w:p w:rsidR="006E7548" w:rsidRPr="006E7548" w:rsidRDefault="006E7548" w:rsidP="006E7548">
            <w:pPr>
              <w:rPr>
                <w:b/>
              </w:rPr>
            </w:pPr>
            <w:r>
              <w:t>These matters are being directly addressed by GRV through its strengthening of integrity and welfare capabilities.</w:t>
            </w:r>
          </w:p>
        </w:tc>
      </w:tr>
    </w:tbl>
    <w:p w:rsidR="00B05DD3" w:rsidRDefault="00B05DD3" w:rsidP="00503B24">
      <w:pPr>
        <w:jc w:val="both"/>
      </w:pPr>
    </w:p>
    <w:p w:rsidR="00AB4745" w:rsidRDefault="00EF0EC0" w:rsidP="00503B24">
      <w:pPr>
        <w:jc w:val="both"/>
        <w:rPr>
          <w:color w:val="auto"/>
        </w:rPr>
      </w:pPr>
      <w:r>
        <w:t xml:space="preserve">The issue of wastage (oversupply of dogs) and euthanasia is not addressed specifically in this RIS and </w:t>
      </w:r>
      <w:r w:rsidRPr="00077626">
        <w:rPr>
          <w:color w:val="auto"/>
        </w:rPr>
        <w:t>although euthanasia is a management tool if done humanely, the proposed Code does not directly address wastage rates.</w:t>
      </w:r>
      <w:r w:rsidR="007B521C">
        <w:rPr>
          <w:color w:val="auto"/>
        </w:rPr>
        <w:t xml:space="preserve"> </w:t>
      </w:r>
      <w:r w:rsidRPr="00077626">
        <w:rPr>
          <w:color w:val="auto"/>
        </w:rPr>
        <w:t>Whilst reducing euthanasia</w:t>
      </w:r>
      <w:r>
        <w:rPr>
          <w:color w:val="auto"/>
        </w:rPr>
        <w:t>/wastage</w:t>
      </w:r>
      <w:r w:rsidRPr="00077626">
        <w:rPr>
          <w:color w:val="auto"/>
        </w:rPr>
        <w:t xml:space="preserve"> is not the objective of the proposed Code, </w:t>
      </w:r>
      <w:r>
        <w:rPr>
          <w:color w:val="auto"/>
        </w:rPr>
        <w:t>it is a</w:t>
      </w:r>
      <w:r w:rsidRPr="00077626">
        <w:rPr>
          <w:color w:val="auto"/>
        </w:rPr>
        <w:t xml:space="preserve"> </w:t>
      </w:r>
      <w:r w:rsidR="00984171">
        <w:rPr>
          <w:color w:val="auto"/>
        </w:rPr>
        <w:t>likely to be a</w:t>
      </w:r>
      <w:r w:rsidR="00984171" w:rsidRPr="00077626">
        <w:rPr>
          <w:color w:val="auto"/>
        </w:rPr>
        <w:t xml:space="preserve"> positive </w:t>
      </w:r>
      <w:r w:rsidRPr="00077626">
        <w:rPr>
          <w:color w:val="auto"/>
        </w:rPr>
        <w:t>consequence of good management practices during the lifecycle of the greyhound</w:t>
      </w:r>
      <w:r>
        <w:rPr>
          <w:color w:val="auto"/>
        </w:rPr>
        <w:t>, which will improve rehoming potential.</w:t>
      </w:r>
      <w:r w:rsidR="007B521C">
        <w:rPr>
          <w:color w:val="auto"/>
        </w:rPr>
        <w:t xml:space="preserve"> </w:t>
      </w:r>
      <w:r>
        <w:rPr>
          <w:color w:val="auto"/>
        </w:rPr>
        <w:t>Although</w:t>
      </w:r>
      <w:r w:rsidRPr="00077626">
        <w:rPr>
          <w:color w:val="auto"/>
        </w:rPr>
        <w:t xml:space="preserve"> the proposed Code does not address wastage in itself, GRV strategies and policies </w:t>
      </w:r>
      <w:r>
        <w:rPr>
          <w:color w:val="auto"/>
        </w:rPr>
        <w:t>(</w:t>
      </w:r>
      <w:r w:rsidRPr="00077626">
        <w:rPr>
          <w:color w:val="auto"/>
        </w:rPr>
        <w:t>r</w:t>
      </w:r>
      <w:r>
        <w:rPr>
          <w:color w:val="auto"/>
        </w:rPr>
        <w:t>unning in conjunction with the proposed C</w:t>
      </w:r>
      <w:r w:rsidRPr="00077626">
        <w:rPr>
          <w:color w:val="auto"/>
        </w:rPr>
        <w:t>ode</w:t>
      </w:r>
      <w:r>
        <w:rPr>
          <w:color w:val="auto"/>
        </w:rPr>
        <w:t>) will.</w:t>
      </w:r>
      <w:r w:rsidRPr="00C357B6">
        <w:rPr>
          <w:color w:val="auto"/>
        </w:rPr>
        <w:t xml:space="preserve"> </w:t>
      </w:r>
    </w:p>
    <w:p w:rsidR="00AB4745" w:rsidRDefault="00AB4745" w:rsidP="004B0055">
      <w:pPr>
        <w:pStyle w:val="ListParagraph"/>
        <w:ind w:left="0"/>
        <w:jc w:val="both"/>
      </w:pPr>
    </w:p>
    <w:p w:rsidR="0078503D" w:rsidRDefault="00450604" w:rsidP="004B0055">
      <w:pPr>
        <w:pStyle w:val="ListParagraph"/>
        <w:ind w:left="0"/>
        <w:jc w:val="both"/>
      </w:pPr>
      <w:r>
        <w:t>Both t</w:t>
      </w:r>
      <w:r w:rsidR="00A24AA5" w:rsidRPr="00A24AA5">
        <w:t>he reduction in the number of litters in 2015-16, as well as, the introduction of new strategies for rehoming by industry participants</w:t>
      </w:r>
      <w:r>
        <w:rPr>
          <w:rStyle w:val="FootnoteReference"/>
        </w:rPr>
        <w:footnoteReference w:id="82"/>
      </w:r>
      <w:r>
        <w:t>,</w:t>
      </w:r>
      <w:r w:rsidR="00A24AA5" w:rsidRPr="00A24AA5">
        <w:t xml:space="preserve"> is expected to have an impact on the oversupply of dogs and therefore number of dogs euthanased in 2016-17 and 2017-18</w:t>
      </w:r>
      <w:r w:rsidR="0078503D">
        <w:rPr>
          <w:rStyle w:val="FootnoteReference"/>
        </w:rPr>
        <w:footnoteReference w:id="83"/>
      </w:r>
      <w:r w:rsidR="00A24AA5" w:rsidRPr="00A24AA5">
        <w:t>.</w:t>
      </w:r>
      <w:r w:rsidR="007B521C">
        <w:t xml:space="preserve"> </w:t>
      </w:r>
    </w:p>
    <w:p w:rsidR="0078503D" w:rsidRDefault="0078503D" w:rsidP="004B0055">
      <w:pPr>
        <w:pStyle w:val="ListParagraph"/>
        <w:ind w:left="0"/>
        <w:jc w:val="both"/>
      </w:pPr>
    </w:p>
    <w:p w:rsidR="00FE5029" w:rsidRPr="004B0055" w:rsidRDefault="00F2723E" w:rsidP="004B0055">
      <w:r>
        <w:lastRenderedPageBreak/>
        <w:t xml:space="preserve">There are a number of </w:t>
      </w:r>
      <w:r w:rsidR="00FE5029" w:rsidRPr="0078503D">
        <w:t>strategies being employed by GRV around the oversupply of dogs</w:t>
      </w:r>
      <w:r>
        <w:t>, these</w:t>
      </w:r>
      <w:r w:rsidR="00FE5029" w:rsidRPr="0078503D">
        <w:t xml:space="preserve"> include:</w:t>
      </w:r>
      <w:r>
        <w:t xml:space="preserve"> </w:t>
      </w:r>
    </w:p>
    <w:p w:rsidR="007D3A52" w:rsidRDefault="007D3A52" w:rsidP="00CA7E5B">
      <w:pPr>
        <w:pStyle w:val="ListParagraph"/>
        <w:numPr>
          <w:ilvl w:val="0"/>
          <w:numId w:val="67"/>
        </w:numPr>
        <w:ind w:left="426" w:hanging="426"/>
      </w:pPr>
      <w:r>
        <w:t>Reducing the premature injury and death of racing greyhounds;</w:t>
      </w:r>
    </w:p>
    <w:p w:rsidR="007D3A52" w:rsidRDefault="007D3A52" w:rsidP="00CA7E5B">
      <w:pPr>
        <w:pStyle w:val="ListParagraph"/>
        <w:numPr>
          <w:ilvl w:val="0"/>
          <w:numId w:val="67"/>
        </w:numPr>
        <w:ind w:left="426" w:hanging="426"/>
      </w:pPr>
      <w:r>
        <w:t>Preventing excessive breeding (reducing litter numbers);</w:t>
      </w:r>
    </w:p>
    <w:p w:rsidR="007D3A52" w:rsidRDefault="007D3A52" w:rsidP="00CA7E5B">
      <w:pPr>
        <w:pStyle w:val="ListParagraph"/>
        <w:numPr>
          <w:ilvl w:val="0"/>
          <w:numId w:val="67"/>
        </w:numPr>
        <w:ind w:left="426" w:hanging="426"/>
      </w:pPr>
      <w:r>
        <w:t>Optimising the use of the racing greyhound population;</w:t>
      </w:r>
    </w:p>
    <w:p w:rsidR="007D3A52" w:rsidRDefault="007D3A52" w:rsidP="00CA7E5B">
      <w:pPr>
        <w:pStyle w:val="ListParagraph"/>
        <w:numPr>
          <w:ilvl w:val="0"/>
          <w:numId w:val="67"/>
        </w:numPr>
        <w:ind w:left="426" w:hanging="426"/>
      </w:pPr>
      <w:r>
        <w:t>Creating more rehoming opportunities for greyhounds;</w:t>
      </w:r>
    </w:p>
    <w:p w:rsidR="007D3A52" w:rsidRDefault="007D3A52" w:rsidP="00CA7E5B">
      <w:pPr>
        <w:pStyle w:val="ListParagraph"/>
        <w:numPr>
          <w:ilvl w:val="0"/>
          <w:numId w:val="67"/>
        </w:numPr>
        <w:ind w:left="426" w:hanging="426"/>
      </w:pPr>
      <w:r>
        <w:t>Operating an incentives framework that promotes animal welfare at all stages of the greyhound lifecycle;</w:t>
      </w:r>
    </w:p>
    <w:p w:rsidR="007D3A52" w:rsidRDefault="007D3A52" w:rsidP="00CA7E5B">
      <w:pPr>
        <w:pStyle w:val="ListParagraph"/>
        <w:numPr>
          <w:ilvl w:val="0"/>
          <w:numId w:val="67"/>
        </w:numPr>
        <w:ind w:left="426" w:hanging="426"/>
      </w:pPr>
      <w:r>
        <w:t>Making informed decisions about GRVs infrastructure investments to maximise animal welfare outcomes; and</w:t>
      </w:r>
    </w:p>
    <w:p w:rsidR="00FE5029" w:rsidRDefault="007D3A52" w:rsidP="00CA7E5B">
      <w:pPr>
        <w:pStyle w:val="ListParagraph"/>
        <w:numPr>
          <w:ilvl w:val="0"/>
          <w:numId w:val="67"/>
        </w:numPr>
        <w:ind w:left="426" w:hanging="426"/>
      </w:pPr>
      <w:r>
        <w:t>Providing training to industry participants to improve greyhound welfare at every stage of a greyhound’s lifecycle.</w:t>
      </w:r>
      <w:r w:rsidR="0087591C">
        <w:rPr>
          <w:rStyle w:val="FootnoteReference"/>
        </w:rPr>
        <w:footnoteReference w:id="84"/>
      </w:r>
    </w:p>
    <w:p w:rsidR="00C50EE9" w:rsidRDefault="00C50EE9" w:rsidP="00CA7E5B"/>
    <w:tbl>
      <w:tblPr>
        <w:tblW w:w="0" w:type="auto"/>
        <w:tblLook w:val="04A0" w:firstRow="1" w:lastRow="0" w:firstColumn="1" w:lastColumn="0" w:noHBand="0" w:noVBand="1"/>
      </w:tblPr>
      <w:tblGrid>
        <w:gridCol w:w="8437"/>
      </w:tblGrid>
      <w:tr w:rsidR="009F6A1B" w:rsidTr="007A4C94">
        <w:tc>
          <w:tcPr>
            <w:tcW w:w="8437" w:type="dxa"/>
            <w:shd w:val="clear" w:color="auto" w:fill="D9D9D9" w:themeFill="background1" w:themeFillShade="D9"/>
          </w:tcPr>
          <w:p w:rsidR="009F6A1B" w:rsidRPr="0009651B" w:rsidRDefault="007A4C94" w:rsidP="009F6A1B">
            <w:pPr>
              <w:jc w:val="both"/>
              <w:rPr>
                <w:b/>
                <w:color w:val="auto"/>
              </w:rPr>
            </w:pPr>
            <w:r>
              <w:rPr>
                <w:b/>
                <w:color w:val="auto"/>
              </w:rPr>
              <w:t>Comments by GRV:</w:t>
            </w:r>
          </w:p>
          <w:p w:rsidR="009F6A1B" w:rsidRDefault="009F6A1B" w:rsidP="009F6A1B">
            <w:pPr>
              <w:jc w:val="both"/>
            </w:pPr>
            <w:r>
              <w:rPr>
                <w:color w:val="auto"/>
              </w:rPr>
              <w:t>GRV has published its 6 core strategic priorities which are:</w:t>
            </w:r>
          </w:p>
          <w:p w:rsidR="009F6A1B" w:rsidRPr="007A4C94" w:rsidRDefault="007A4C94" w:rsidP="007A4C94">
            <w:pPr>
              <w:jc w:val="both"/>
              <w:rPr>
                <w:u w:val="single"/>
              </w:rPr>
            </w:pPr>
            <w:r w:rsidRPr="007A4C94">
              <w:rPr>
                <w:u w:val="single"/>
              </w:rPr>
              <w:t xml:space="preserve">1. Animal Welfare </w:t>
            </w:r>
          </w:p>
          <w:p w:rsidR="009F6A1B" w:rsidRDefault="009F6A1B" w:rsidP="009F6A1B">
            <w:pPr>
              <w:jc w:val="both"/>
            </w:pPr>
            <w:r>
              <w:t>GRV is committed to providing a racing industry environment in which the safety and welfare of greyhounds comes first. GRV will work to ensure that every greyhound will have the opportunity to live its whole life with quality care provided, that meets positive physical and psychological requirements. It will do this by:</w:t>
            </w:r>
          </w:p>
          <w:p w:rsidR="009F6A1B" w:rsidRDefault="009F6A1B" w:rsidP="00CA7E5B">
            <w:pPr>
              <w:pStyle w:val="ListParagraph"/>
              <w:numPr>
                <w:ilvl w:val="0"/>
                <w:numId w:val="61"/>
              </w:numPr>
              <w:ind w:left="426" w:hanging="426"/>
              <w:jc w:val="both"/>
            </w:pPr>
            <w:r>
              <w:t>Reducing the premature injury and death of racing greyhounds;</w:t>
            </w:r>
          </w:p>
          <w:p w:rsidR="009F6A1B" w:rsidRDefault="009F6A1B" w:rsidP="00CA7E5B">
            <w:pPr>
              <w:pStyle w:val="ListParagraph"/>
              <w:numPr>
                <w:ilvl w:val="0"/>
                <w:numId w:val="61"/>
              </w:numPr>
              <w:ind w:left="426" w:hanging="426"/>
              <w:jc w:val="both"/>
            </w:pPr>
            <w:r>
              <w:t>Preventing excessive breeding (reducing litter numbers);</w:t>
            </w:r>
          </w:p>
          <w:p w:rsidR="009F6A1B" w:rsidRDefault="009F6A1B" w:rsidP="00CA7E5B">
            <w:pPr>
              <w:pStyle w:val="ListParagraph"/>
              <w:numPr>
                <w:ilvl w:val="0"/>
                <w:numId w:val="61"/>
              </w:numPr>
              <w:ind w:left="426" w:hanging="426"/>
              <w:jc w:val="both"/>
            </w:pPr>
            <w:r>
              <w:t>Optimising the use of the racing greyhound population;</w:t>
            </w:r>
          </w:p>
          <w:p w:rsidR="009F6A1B" w:rsidRDefault="009F6A1B" w:rsidP="00CA7E5B">
            <w:pPr>
              <w:pStyle w:val="ListParagraph"/>
              <w:numPr>
                <w:ilvl w:val="0"/>
                <w:numId w:val="61"/>
              </w:numPr>
              <w:ind w:left="426" w:hanging="426"/>
              <w:jc w:val="both"/>
            </w:pPr>
            <w:r>
              <w:t>Creating more rehoming opportunities for greyhounds;</w:t>
            </w:r>
          </w:p>
          <w:p w:rsidR="009F6A1B" w:rsidRDefault="009F6A1B" w:rsidP="00CA7E5B">
            <w:pPr>
              <w:pStyle w:val="ListParagraph"/>
              <w:numPr>
                <w:ilvl w:val="0"/>
                <w:numId w:val="61"/>
              </w:numPr>
              <w:ind w:left="426" w:hanging="426"/>
              <w:jc w:val="both"/>
            </w:pPr>
            <w:r>
              <w:t>Operating an incentives framework that promotes animal welfare at all stages of the greyhound lifecycle;</w:t>
            </w:r>
          </w:p>
          <w:p w:rsidR="009F6A1B" w:rsidRDefault="009F6A1B" w:rsidP="00CA7E5B">
            <w:pPr>
              <w:pStyle w:val="ListParagraph"/>
              <w:numPr>
                <w:ilvl w:val="0"/>
                <w:numId w:val="61"/>
              </w:numPr>
              <w:ind w:left="426" w:hanging="426"/>
              <w:jc w:val="both"/>
            </w:pPr>
            <w:r>
              <w:t>Making informed decisions about GRVs infrastructure investments to maximise animal welfare outcomes; and</w:t>
            </w:r>
          </w:p>
          <w:p w:rsidR="009F6A1B" w:rsidRDefault="009F6A1B" w:rsidP="00CA7E5B">
            <w:pPr>
              <w:pStyle w:val="ListParagraph"/>
              <w:numPr>
                <w:ilvl w:val="0"/>
                <w:numId w:val="61"/>
              </w:numPr>
              <w:ind w:left="426" w:hanging="426"/>
              <w:jc w:val="both"/>
            </w:pPr>
            <w:r>
              <w:t>Providing training to industry participants to improve greyhound welfare at every stage of a greyhound’s lifecycle.</w:t>
            </w:r>
          </w:p>
          <w:p w:rsidR="009F6A1B" w:rsidRDefault="009F6A1B" w:rsidP="009F6A1B">
            <w:pPr>
              <w:jc w:val="both"/>
            </w:pPr>
          </w:p>
          <w:p w:rsidR="009F6A1B" w:rsidRPr="007A4C94" w:rsidRDefault="009F6A1B" w:rsidP="009F6A1B">
            <w:pPr>
              <w:jc w:val="both"/>
              <w:rPr>
                <w:u w:val="single"/>
              </w:rPr>
            </w:pPr>
            <w:r w:rsidRPr="007A4C94">
              <w:rPr>
                <w:u w:val="single"/>
              </w:rPr>
              <w:t xml:space="preserve">2. Regulatory Standards </w:t>
            </w:r>
          </w:p>
          <w:p w:rsidR="009F6A1B" w:rsidRDefault="009F6A1B" w:rsidP="009F6A1B">
            <w:pPr>
              <w:jc w:val="both"/>
            </w:pPr>
            <w:r>
              <w:t>GRV is committed to a program of enhanced industry supervision that drives improved outcomes. To achieve this, GRV will take a contemporary, integrated, evidence</w:t>
            </w:r>
            <w:r w:rsidR="002A1729">
              <w:t xml:space="preserve"> </w:t>
            </w:r>
            <w:r>
              <w:t>led and ethically driven approach to its regulatory role. It will support, encourage and take actions that ensure the industry achieves improved greyhound welfare outcomes by:</w:t>
            </w:r>
          </w:p>
          <w:p w:rsidR="009F6A1B" w:rsidRDefault="009F6A1B" w:rsidP="00CA7E5B">
            <w:pPr>
              <w:pStyle w:val="ListParagraph"/>
              <w:numPr>
                <w:ilvl w:val="0"/>
                <w:numId w:val="61"/>
              </w:numPr>
              <w:ind w:left="426" w:hanging="426"/>
              <w:jc w:val="both"/>
            </w:pPr>
            <w:r>
              <w:t>Implementing the recommendations of reviews conducted by the Chief Veterinary Officer and the Officer of Racing Integrity Commissioner;</w:t>
            </w:r>
          </w:p>
          <w:p w:rsidR="009F6A1B" w:rsidRDefault="009F6A1B" w:rsidP="00CA7E5B">
            <w:pPr>
              <w:pStyle w:val="ListParagraph"/>
              <w:numPr>
                <w:ilvl w:val="0"/>
                <w:numId w:val="61"/>
              </w:numPr>
              <w:ind w:left="426" w:hanging="426"/>
              <w:jc w:val="both"/>
            </w:pPr>
            <w:r>
              <w:t>Implementing evidence-led compliance and licensing regulatory frameworks for all premises and persons involved in the rearing, education, breaking-in and training of greyhounds;</w:t>
            </w:r>
          </w:p>
          <w:p w:rsidR="009F6A1B" w:rsidRDefault="009F6A1B" w:rsidP="00CA7E5B">
            <w:pPr>
              <w:pStyle w:val="ListParagraph"/>
              <w:numPr>
                <w:ilvl w:val="0"/>
                <w:numId w:val="61"/>
              </w:numPr>
              <w:ind w:left="426" w:hanging="426"/>
              <w:jc w:val="both"/>
            </w:pPr>
            <w:r>
              <w:t>Assuming greater responsibility for race day operations to reduce the risk of potential conflicts of interest and to ensure consistency of race day standards and practices;</w:t>
            </w:r>
          </w:p>
          <w:p w:rsidR="009F6A1B" w:rsidRDefault="009F6A1B" w:rsidP="00CA7E5B">
            <w:pPr>
              <w:pStyle w:val="ListParagraph"/>
              <w:numPr>
                <w:ilvl w:val="0"/>
                <w:numId w:val="61"/>
              </w:numPr>
              <w:ind w:left="426" w:hanging="426"/>
              <w:jc w:val="both"/>
            </w:pPr>
            <w:r>
              <w:t>Introducing programs that drive industry self-regulation and continuous improvement; and</w:t>
            </w:r>
          </w:p>
          <w:p w:rsidR="009F6A1B" w:rsidRDefault="009F6A1B" w:rsidP="00CA7E5B">
            <w:pPr>
              <w:pStyle w:val="ListParagraph"/>
              <w:numPr>
                <w:ilvl w:val="0"/>
                <w:numId w:val="61"/>
              </w:numPr>
              <w:ind w:left="426" w:hanging="426"/>
            </w:pPr>
            <w:r>
              <w:t>Establishing and enhancing a separate Integrity function to deliver GRV’s regulatory program.</w:t>
            </w:r>
          </w:p>
          <w:p w:rsidR="009F6A1B" w:rsidRPr="007A4C94" w:rsidRDefault="009F6A1B" w:rsidP="009F6A1B">
            <w:pPr>
              <w:jc w:val="both"/>
              <w:rPr>
                <w:u w:val="single"/>
              </w:rPr>
            </w:pPr>
            <w:r w:rsidRPr="007A4C94">
              <w:rPr>
                <w:u w:val="single"/>
              </w:rPr>
              <w:lastRenderedPageBreak/>
              <w:t>3. GRV’s Capabilities, Cultur</w:t>
            </w:r>
            <w:r w:rsidR="007A4C94" w:rsidRPr="007A4C94">
              <w:rPr>
                <w:u w:val="single"/>
              </w:rPr>
              <w:t xml:space="preserve">e and Financial Sustainability </w:t>
            </w:r>
          </w:p>
          <w:p w:rsidR="009F6A1B" w:rsidRDefault="009F6A1B" w:rsidP="009F6A1B">
            <w:pPr>
              <w:jc w:val="both"/>
            </w:pPr>
            <w:r>
              <w:t>GRV will lead the industry in regaining its social licence by developing an enhanced organisational capability to deliver world leading animal welfare strategies supported by a program of monitoring and enforcement.</w:t>
            </w:r>
            <w:r w:rsidR="007B521C">
              <w:t xml:space="preserve"> </w:t>
            </w:r>
            <w:r>
              <w:t xml:space="preserve">GRV will create an organisational culture which effectively manages animal welfare, industry integrity and sustained wagering and commercial growth by: </w:t>
            </w:r>
          </w:p>
          <w:p w:rsidR="009F6A1B" w:rsidRDefault="009F6A1B" w:rsidP="00CA7E5B">
            <w:pPr>
              <w:pStyle w:val="ListParagraph"/>
              <w:numPr>
                <w:ilvl w:val="0"/>
                <w:numId w:val="61"/>
              </w:numPr>
              <w:ind w:left="426" w:hanging="426"/>
              <w:jc w:val="both"/>
            </w:pPr>
            <w:r>
              <w:t>Reorienting its organisational structure, capacity and capability to successfully achieve its new strategic direction;</w:t>
            </w:r>
          </w:p>
          <w:p w:rsidR="009F6A1B" w:rsidRDefault="009F6A1B" w:rsidP="00CA7E5B">
            <w:pPr>
              <w:pStyle w:val="ListParagraph"/>
              <w:numPr>
                <w:ilvl w:val="0"/>
                <w:numId w:val="61"/>
              </w:numPr>
              <w:ind w:left="426" w:hanging="426"/>
              <w:jc w:val="both"/>
            </w:pPr>
            <w:r>
              <w:t xml:space="preserve">Developing a proactive and ’can-do’ internal culture; </w:t>
            </w:r>
          </w:p>
          <w:p w:rsidR="009F6A1B" w:rsidRDefault="009F6A1B" w:rsidP="00CA7E5B">
            <w:pPr>
              <w:pStyle w:val="ListParagraph"/>
              <w:numPr>
                <w:ilvl w:val="0"/>
                <w:numId w:val="61"/>
              </w:numPr>
              <w:ind w:left="426" w:hanging="426"/>
              <w:jc w:val="both"/>
            </w:pPr>
            <w:r>
              <w:t>Developing a culture where the risks of conflict of interest are understood, declared and managed;</w:t>
            </w:r>
          </w:p>
          <w:p w:rsidR="009F6A1B" w:rsidRDefault="009F6A1B" w:rsidP="00CA7E5B">
            <w:pPr>
              <w:pStyle w:val="ListParagraph"/>
              <w:numPr>
                <w:ilvl w:val="0"/>
                <w:numId w:val="61"/>
              </w:numPr>
              <w:ind w:left="426" w:hanging="426"/>
              <w:jc w:val="both"/>
            </w:pPr>
            <w:r>
              <w:t xml:space="preserve">Developing and implementing strategies to ensure GRV remains financially sustainable and responsible; </w:t>
            </w:r>
          </w:p>
          <w:p w:rsidR="009F6A1B" w:rsidRDefault="009F6A1B" w:rsidP="00CA7E5B">
            <w:pPr>
              <w:pStyle w:val="ListParagraph"/>
              <w:numPr>
                <w:ilvl w:val="0"/>
                <w:numId w:val="61"/>
              </w:numPr>
              <w:ind w:left="426" w:hanging="426"/>
              <w:jc w:val="both"/>
            </w:pPr>
            <w:r>
              <w:t>Developing an information management capability that strengthens evidence-led decision-making.</w:t>
            </w:r>
            <w:r w:rsidR="00FA31C9">
              <w:br/>
            </w:r>
          </w:p>
          <w:p w:rsidR="009F6A1B" w:rsidRPr="007A4C94" w:rsidRDefault="009F6A1B" w:rsidP="007A4C94">
            <w:pPr>
              <w:jc w:val="both"/>
              <w:rPr>
                <w:u w:val="single"/>
              </w:rPr>
            </w:pPr>
            <w:r w:rsidRPr="007A4C94">
              <w:rPr>
                <w:u w:val="single"/>
              </w:rPr>
              <w:t>4. Social Responsibility</w:t>
            </w:r>
            <w:r w:rsidR="007A4C94">
              <w:rPr>
                <w:u w:val="single"/>
              </w:rPr>
              <w:t xml:space="preserve"> </w:t>
            </w:r>
          </w:p>
          <w:p w:rsidR="009F6A1B" w:rsidRDefault="009F6A1B" w:rsidP="009F6A1B">
            <w:pPr>
              <w:jc w:val="both"/>
            </w:pPr>
            <w:r>
              <w:t>GRV is committed to an industry culture where participants follow contemporary rules, laws and ethical behaviours. It recognises the importance of community and participant attitudes towards greyhound racing, and towards GRV as the industry’s regulator, and will take these into account in the discharge of its role. GRV will assist the industry to maintain its social licence by:</w:t>
            </w:r>
          </w:p>
          <w:p w:rsidR="009F6A1B" w:rsidRDefault="009F6A1B" w:rsidP="00CA7E5B">
            <w:pPr>
              <w:pStyle w:val="ListParagraph"/>
              <w:numPr>
                <w:ilvl w:val="0"/>
                <w:numId w:val="61"/>
              </w:numPr>
              <w:ind w:left="426" w:hanging="426"/>
              <w:jc w:val="both"/>
            </w:pPr>
            <w:r>
              <w:t>Creating a safe workplace for GRV staff and club employees, and safe infrastructure for participants and consumers;</w:t>
            </w:r>
          </w:p>
          <w:p w:rsidR="009F6A1B" w:rsidRDefault="009F6A1B" w:rsidP="00CA7E5B">
            <w:pPr>
              <w:pStyle w:val="ListParagraph"/>
              <w:numPr>
                <w:ilvl w:val="0"/>
                <w:numId w:val="61"/>
              </w:numPr>
              <w:ind w:left="426" w:hanging="426"/>
              <w:jc w:val="both"/>
            </w:pPr>
            <w:r>
              <w:t>Maintaining productive relationships with the Office of Racing, the RSPCA and other key external bodies;</w:t>
            </w:r>
          </w:p>
          <w:p w:rsidR="009F6A1B" w:rsidRDefault="009F6A1B" w:rsidP="00CA7E5B">
            <w:pPr>
              <w:pStyle w:val="ListParagraph"/>
              <w:numPr>
                <w:ilvl w:val="0"/>
                <w:numId w:val="61"/>
              </w:numPr>
              <w:ind w:left="426" w:hanging="426"/>
              <w:jc w:val="both"/>
            </w:pPr>
            <w:r>
              <w:t>Delivering information and education programs that increase participants’ skills and meet community expectations;</w:t>
            </w:r>
          </w:p>
          <w:p w:rsidR="009F6A1B" w:rsidRDefault="009F6A1B" w:rsidP="00CA7E5B">
            <w:pPr>
              <w:pStyle w:val="ListParagraph"/>
              <w:numPr>
                <w:ilvl w:val="0"/>
                <w:numId w:val="61"/>
              </w:numPr>
              <w:ind w:left="426" w:hanging="426"/>
              <w:jc w:val="both"/>
            </w:pPr>
            <w:r>
              <w:t>Developing an industry culture of compliance with GRV’s rules, laws and ethical standards;</w:t>
            </w:r>
          </w:p>
          <w:p w:rsidR="009F6A1B" w:rsidRDefault="009F6A1B" w:rsidP="00CA7E5B">
            <w:pPr>
              <w:pStyle w:val="ListParagraph"/>
              <w:numPr>
                <w:ilvl w:val="0"/>
                <w:numId w:val="61"/>
              </w:numPr>
              <w:ind w:left="426" w:hanging="426"/>
              <w:jc w:val="both"/>
            </w:pPr>
            <w:r>
              <w:t>Strengthening strategic communications;</w:t>
            </w:r>
          </w:p>
          <w:p w:rsidR="009F6A1B" w:rsidRDefault="009F6A1B" w:rsidP="00CA7E5B">
            <w:pPr>
              <w:pStyle w:val="ListParagraph"/>
              <w:numPr>
                <w:ilvl w:val="0"/>
                <w:numId w:val="61"/>
              </w:numPr>
              <w:ind w:left="426" w:hanging="426"/>
              <w:jc w:val="both"/>
            </w:pPr>
            <w:r>
              <w:t>Maintaining effective industry engagement via the Industry Consultative Group (ICG);</w:t>
            </w:r>
          </w:p>
          <w:p w:rsidR="009F6A1B" w:rsidRDefault="009F6A1B" w:rsidP="00CA7E5B">
            <w:pPr>
              <w:pStyle w:val="ListParagraph"/>
              <w:numPr>
                <w:ilvl w:val="0"/>
                <w:numId w:val="61"/>
              </w:numPr>
              <w:ind w:left="426" w:hanging="426"/>
              <w:jc w:val="both"/>
            </w:pPr>
            <w:r>
              <w:t>Advocating responsible gambling by consumers; and</w:t>
            </w:r>
          </w:p>
          <w:p w:rsidR="009F6A1B" w:rsidRDefault="009F6A1B" w:rsidP="00CA7E5B">
            <w:pPr>
              <w:pStyle w:val="ListParagraph"/>
              <w:numPr>
                <w:ilvl w:val="0"/>
                <w:numId w:val="61"/>
              </w:numPr>
              <w:ind w:left="426" w:hanging="426"/>
            </w:pPr>
            <w:r>
              <w:t>Attracting new participants into the industry while respecting diversity and equity.</w:t>
            </w:r>
          </w:p>
          <w:p w:rsidR="009F6A1B" w:rsidRDefault="009F6A1B" w:rsidP="009F6A1B"/>
          <w:p w:rsidR="009F6A1B" w:rsidRPr="007A4C94" w:rsidRDefault="009F6A1B" w:rsidP="009F6A1B">
            <w:pPr>
              <w:jc w:val="both"/>
              <w:rPr>
                <w:u w:val="single"/>
              </w:rPr>
            </w:pPr>
            <w:r w:rsidRPr="007A4C94">
              <w:rPr>
                <w:u w:val="single"/>
              </w:rPr>
              <w:t xml:space="preserve">5. Club Support </w:t>
            </w:r>
          </w:p>
          <w:p w:rsidR="009F6A1B" w:rsidRDefault="009F6A1B" w:rsidP="009F6A1B">
            <w:pPr>
              <w:jc w:val="both"/>
            </w:pPr>
            <w:r>
              <w:t>Clubs are the industry’s primary interface with local communities. To assist clubs, GRV will provide relevant and timely advice, governance, management and corporate services support. It will support clubs in Victoria to be an indispensable part of their local communities and assist clubs to strengthen their commercial and operational effectiveness by:</w:t>
            </w:r>
          </w:p>
          <w:p w:rsidR="009F6A1B" w:rsidRDefault="009F6A1B" w:rsidP="00CA7E5B">
            <w:pPr>
              <w:pStyle w:val="ListParagraph"/>
              <w:numPr>
                <w:ilvl w:val="0"/>
                <w:numId w:val="61"/>
              </w:numPr>
              <w:ind w:left="426" w:hanging="426"/>
              <w:jc w:val="both"/>
            </w:pPr>
            <w:r>
              <w:t>Supporting clubs to be proactive in driving strong animal welfare outcomes;</w:t>
            </w:r>
          </w:p>
          <w:p w:rsidR="009F6A1B" w:rsidRDefault="009F6A1B" w:rsidP="00CA7E5B">
            <w:pPr>
              <w:pStyle w:val="ListParagraph"/>
              <w:numPr>
                <w:ilvl w:val="0"/>
                <w:numId w:val="61"/>
              </w:numPr>
              <w:ind w:left="426" w:hanging="426"/>
              <w:jc w:val="both"/>
            </w:pPr>
            <w:r>
              <w:t>Ensuring clubs are meeting minimum operating standards including OHS compliance for racing and event purposes;</w:t>
            </w:r>
          </w:p>
          <w:p w:rsidR="009F6A1B" w:rsidRDefault="009F6A1B" w:rsidP="00CA7E5B">
            <w:pPr>
              <w:pStyle w:val="ListParagraph"/>
              <w:numPr>
                <w:ilvl w:val="0"/>
                <w:numId w:val="61"/>
              </w:numPr>
              <w:ind w:left="426" w:hanging="426"/>
              <w:jc w:val="both"/>
            </w:pPr>
            <w:r>
              <w:t>Enabling clubs to support and deliver GRV’s objectives;</w:t>
            </w:r>
          </w:p>
          <w:p w:rsidR="009F6A1B" w:rsidRDefault="009F6A1B" w:rsidP="00CA7E5B">
            <w:pPr>
              <w:pStyle w:val="ListParagraph"/>
              <w:numPr>
                <w:ilvl w:val="0"/>
                <w:numId w:val="61"/>
              </w:numPr>
              <w:ind w:left="426" w:hanging="426"/>
              <w:jc w:val="both"/>
            </w:pPr>
            <w:r>
              <w:t>Building the capability of clubs by broadening their skills base;</w:t>
            </w:r>
          </w:p>
          <w:p w:rsidR="009F6A1B" w:rsidRDefault="009F6A1B" w:rsidP="00CA7E5B">
            <w:pPr>
              <w:pStyle w:val="ListParagraph"/>
              <w:numPr>
                <w:ilvl w:val="0"/>
                <w:numId w:val="61"/>
              </w:numPr>
              <w:ind w:left="426" w:hanging="426"/>
              <w:jc w:val="both"/>
            </w:pPr>
            <w:r>
              <w:t>Assisting clubs with meeting the requirements of their constitutions, funding and registration agreements, governance arrangements and operating standards;</w:t>
            </w:r>
            <w:r w:rsidR="00CA7E5B">
              <w:br/>
            </w:r>
          </w:p>
          <w:p w:rsidR="009F6A1B" w:rsidRDefault="009F6A1B" w:rsidP="00CA7E5B">
            <w:pPr>
              <w:pStyle w:val="ListParagraph"/>
              <w:numPr>
                <w:ilvl w:val="0"/>
                <w:numId w:val="61"/>
              </w:numPr>
              <w:ind w:left="426" w:hanging="426"/>
              <w:jc w:val="both"/>
            </w:pPr>
            <w:r>
              <w:lastRenderedPageBreak/>
              <w:t>Supporting clubs to continue strengthening their engagement with local communities; and</w:t>
            </w:r>
          </w:p>
          <w:p w:rsidR="009F6A1B" w:rsidRDefault="009F6A1B" w:rsidP="00CA7E5B">
            <w:pPr>
              <w:pStyle w:val="ListParagraph"/>
              <w:numPr>
                <w:ilvl w:val="0"/>
                <w:numId w:val="61"/>
              </w:numPr>
              <w:ind w:left="426" w:hanging="426"/>
              <w:jc w:val="both"/>
            </w:pPr>
            <w:r>
              <w:t>Providing training and development to support clubs develop their management and operational capabilities.</w:t>
            </w:r>
          </w:p>
          <w:p w:rsidR="009F6A1B" w:rsidRDefault="009F6A1B" w:rsidP="009F6A1B">
            <w:pPr>
              <w:jc w:val="both"/>
            </w:pPr>
          </w:p>
          <w:p w:rsidR="009F6A1B" w:rsidRPr="007A4C94" w:rsidRDefault="009F6A1B" w:rsidP="009F6A1B">
            <w:pPr>
              <w:jc w:val="both"/>
              <w:rPr>
                <w:u w:val="single"/>
              </w:rPr>
            </w:pPr>
            <w:r w:rsidRPr="007A4C94">
              <w:rPr>
                <w:u w:val="single"/>
              </w:rPr>
              <w:t xml:space="preserve">6. Industry Growth </w:t>
            </w:r>
          </w:p>
          <w:p w:rsidR="009F6A1B" w:rsidRDefault="009F6A1B" w:rsidP="009F6A1B">
            <w:pPr>
              <w:jc w:val="both"/>
            </w:pPr>
            <w:r>
              <w:t xml:space="preserve">GRV understands continued industry growth requires careful management of wagering and broadcasting partnerships, the development of strong industry relationships and sustainable business growth strategies. GRV will position the industry for sustained wagering and commercial growth by: </w:t>
            </w:r>
          </w:p>
          <w:p w:rsidR="009F6A1B" w:rsidRDefault="009F6A1B" w:rsidP="00CA7E5B">
            <w:pPr>
              <w:pStyle w:val="ListParagraph"/>
              <w:numPr>
                <w:ilvl w:val="0"/>
                <w:numId w:val="61"/>
              </w:numPr>
              <w:ind w:left="426" w:hanging="426"/>
              <w:jc w:val="both"/>
            </w:pPr>
            <w:r>
              <w:t>Increasing the fan and participation base for the sport;</w:t>
            </w:r>
          </w:p>
          <w:p w:rsidR="009F6A1B" w:rsidRDefault="009F6A1B" w:rsidP="00CA7E5B">
            <w:pPr>
              <w:pStyle w:val="ListParagraph"/>
              <w:numPr>
                <w:ilvl w:val="0"/>
                <w:numId w:val="61"/>
              </w:numPr>
              <w:ind w:left="426" w:hanging="426"/>
              <w:jc w:val="both"/>
            </w:pPr>
            <w:r>
              <w:t xml:space="preserve">Improving media content and distribution to further promote greyhound racing; </w:t>
            </w:r>
          </w:p>
          <w:p w:rsidR="009F6A1B" w:rsidRDefault="009F6A1B" w:rsidP="00CA7E5B">
            <w:pPr>
              <w:pStyle w:val="ListParagraph"/>
              <w:numPr>
                <w:ilvl w:val="0"/>
                <w:numId w:val="61"/>
              </w:numPr>
              <w:ind w:left="426" w:hanging="426"/>
              <w:jc w:val="both"/>
            </w:pPr>
            <w:r>
              <w:t>working collaboratively with Joint Venture and wagering partners to improve wagering participation; and</w:t>
            </w:r>
          </w:p>
          <w:p w:rsidR="009F6A1B" w:rsidRDefault="009F6A1B" w:rsidP="00CA7E5B">
            <w:pPr>
              <w:pStyle w:val="ListParagraph"/>
              <w:numPr>
                <w:ilvl w:val="0"/>
                <w:numId w:val="61"/>
              </w:numPr>
              <w:ind w:left="426" w:hanging="426"/>
              <w:jc w:val="both"/>
            </w:pPr>
            <w:r>
              <w:t>Developing strategies to optimise the utilisation of the greyhound racing population.</w:t>
            </w:r>
          </w:p>
          <w:p w:rsidR="009F6A1B" w:rsidRDefault="009F6A1B" w:rsidP="009F6A1B">
            <w:pPr>
              <w:jc w:val="both"/>
            </w:pPr>
          </w:p>
          <w:p w:rsidR="009F6A1B" w:rsidRDefault="009F6A1B" w:rsidP="009F6A1B">
            <w:pPr>
              <w:pStyle w:val="ListParagraph"/>
              <w:ind w:left="0"/>
              <w:jc w:val="both"/>
            </w:pPr>
            <w:r>
              <w:t>GRV has demonstrated strong progress in delivering on its strategic priorities and in addressing industry issues and has been commended for its work in the recent review of Integrity Structures by Pau Bittar. Its many initiatives have already delivered significant results through:</w:t>
            </w:r>
          </w:p>
          <w:p w:rsidR="009F6A1B" w:rsidRDefault="009F6A1B" w:rsidP="00CA7E5B">
            <w:pPr>
              <w:pStyle w:val="ListParagraph"/>
              <w:numPr>
                <w:ilvl w:val="0"/>
                <w:numId w:val="62"/>
              </w:numPr>
              <w:ind w:left="426" w:hanging="426"/>
              <w:jc w:val="both"/>
            </w:pPr>
            <w:r>
              <w:t xml:space="preserve">Safer tracks through enhanced infrastructure </w:t>
            </w:r>
          </w:p>
          <w:p w:rsidR="009F6A1B" w:rsidRDefault="009F6A1B" w:rsidP="00CA7E5B">
            <w:pPr>
              <w:pStyle w:val="ListParagraph"/>
              <w:numPr>
                <w:ilvl w:val="0"/>
                <w:numId w:val="62"/>
              </w:numPr>
              <w:ind w:left="426" w:hanging="426"/>
              <w:jc w:val="both"/>
            </w:pPr>
            <w:r>
              <w:t>Reduced on track injuries and fatalities</w:t>
            </w:r>
          </w:p>
          <w:p w:rsidR="009F6A1B" w:rsidRDefault="009F6A1B" w:rsidP="00CA7E5B">
            <w:pPr>
              <w:pStyle w:val="ListParagraph"/>
              <w:numPr>
                <w:ilvl w:val="0"/>
                <w:numId w:val="62"/>
              </w:numPr>
              <w:ind w:left="426" w:hanging="426"/>
              <w:jc w:val="both"/>
            </w:pPr>
            <w:r>
              <w:t>Reduced euthanasia rates</w:t>
            </w:r>
          </w:p>
          <w:p w:rsidR="009F6A1B" w:rsidRDefault="009F6A1B" w:rsidP="00CA7E5B">
            <w:pPr>
              <w:pStyle w:val="ListParagraph"/>
              <w:numPr>
                <w:ilvl w:val="0"/>
                <w:numId w:val="62"/>
              </w:numPr>
              <w:ind w:left="426" w:hanging="426"/>
              <w:jc w:val="both"/>
            </w:pPr>
            <w:r>
              <w:t>Increased rehoming</w:t>
            </w:r>
          </w:p>
          <w:p w:rsidR="009F6A1B" w:rsidRPr="007A4C94" w:rsidRDefault="009F6A1B" w:rsidP="00CA7E5B">
            <w:pPr>
              <w:pStyle w:val="ListParagraph"/>
              <w:numPr>
                <w:ilvl w:val="0"/>
                <w:numId w:val="62"/>
              </w:numPr>
              <w:ind w:left="426" w:hanging="426"/>
              <w:jc w:val="both"/>
            </w:pPr>
            <w:r>
              <w:t>Reduced breeding rates</w:t>
            </w:r>
          </w:p>
        </w:tc>
      </w:tr>
    </w:tbl>
    <w:p w:rsidR="00C50EE9" w:rsidRDefault="00C50EE9" w:rsidP="00CA7E5B"/>
    <w:p w:rsidR="004A2CAD" w:rsidRPr="004B0055" w:rsidRDefault="000D48B0" w:rsidP="00DF143E">
      <w:pPr>
        <w:pStyle w:val="ListParagraph"/>
        <w:ind w:left="0"/>
        <w:jc w:val="both"/>
      </w:pPr>
      <w:r>
        <w:t>G</w:t>
      </w:r>
      <w:r w:rsidR="00D1537C" w:rsidRPr="003D54D3">
        <w:t xml:space="preserve">overnance </w:t>
      </w:r>
      <w:r>
        <w:t xml:space="preserve">issues around racing and betting </w:t>
      </w:r>
      <w:r w:rsidR="00D1537C" w:rsidRPr="003D54D3">
        <w:t>as discussed</w:t>
      </w:r>
      <w:r w:rsidR="0087591C">
        <w:t xml:space="preserve"> in section 1.4.2</w:t>
      </w:r>
      <w:r w:rsidR="00446914">
        <w:t xml:space="preserve"> </w:t>
      </w:r>
      <w:r>
        <w:t xml:space="preserve">are </w:t>
      </w:r>
      <w:r w:rsidR="00446914">
        <w:t>also</w:t>
      </w:r>
      <w:r w:rsidR="0087591C">
        <w:t xml:space="preserve"> outside </w:t>
      </w:r>
      <w:r w:rsidR="00D1537C" w:rsidRPr="003D54D3">
        <w:t>the scope of th</w:t>
      </w:r>
      <w:r w:rsidR="00D1537C">
        <w:t>e proposed</w:t>
      </w:r>
      <w:r w:rsidR="00D1537C" w:rsidRPr="003D54D3">
        <w:t xml:space="preserve"> code, however the proposed Code does address concerns raised </w:t>
      </w:r>
      <w:r w:rsidR="00D1537C">
        <w:t xml:space="preserve">around </w:t>
      </w:r>
      <w:r w:rsidR="00D1537C" w:rsidRPr="003D54D3">
        <w:t>scattered legislation in relation to welfa</w:t>
      </w:r>
      <w:r w:rsidR="0087591C">
        <w:t>re and management requirements</w:t>
      </w:r>
      <w:r w:rsidR="00835860">
        <w:t xml:space="preserve"> and </w:t>
      </w:r>
      <w:r w:rsidR="00446914">
        <w:t xml:space="preserve">effective </w:t>
      </w:r>
      <w:r w:rsidR="00835860">
        <w:t>enforcement</w:t>
      </w:r>
      <w:r w:rsidR="0087591C">
        <w:t>.</w:t>
      </w:r>
      <w:r w:rsidR="007B521C">
        <w:t xml:space="preserve"> </w:t>
      </w:r>
      <w:r w:rsidR="0087591C" w:rsidRPr="00D1537C">
        <w:t>Additionally,</w:t>
      </w:r>
      <w:r w:rsidR="00483B95" w:rsidRPr="004B0055">
        <w:t xml:space="preserve"> the issue of lifetime tracking of greyhounds as discussed in section 1.4.3</w:t>
      </w:r>
      <w:r w:rsidR="00396E8C" w:rsidRPr="004B0055">
        <w:t xml:space="preserve"> is being addressed through GRV policies and local rules</w:t>
      </w:r>
      <w:r w:rsidR="00D1537C" w:rsidRPr="004B0055">
        <w:t xml:space="preserve"> </w:t>
      </w:r>
      <w:r w:rsidR="00D1537C">
        <w:t xml:space="preserve">(see Section 9 of this RIS for a more detailed discussion) </w:t>
      </w:r>
      <w:r w:rsidR="00D1537C" w:rsidRPr="004B0055">
        <w:t>and is outside the scope of the proposed code.</w:t>
      </w:r>
    </w:p>
    <w:p w:rsidR="00483B95" w:rsidRDefault="00483B95" w:rsidP="00CA7E5B"/>
    <w:p w:rsidR="00F803A8" w:rsidRDefault="00F803A8" w:rsidP="00CA7E5B">
      <w:pPr>
        <w:pStyle w:val="H13pt"/>
        <w:rPr>
          <w:rFonts w:eastAsiaTheme="majorEastAsia"/>
        </w:rPr>
      </w:pPr>
      <w:bookmarkStart w:id="74" w:name="_Toc477190168"/>
      <w:r>
        <w:rPr>
          <w:rFonts w:eastAsiaTheme="majorEastAsia"/>
        </w:rPr>
        <w:t>1.</w:t>
      </w:r>
      <w:r w:rsidR="00DF143E">
        <w:rPr>
          <w:rFonts w:eastAsiaTheme="majorEastAsia"/>
        </w:rPr>
        <w:t>6 Need to undertake a Regulatory Impact Statement</w:t>
      </w:r>
      <w:bookmarkEnd w:id="74"/>
      <w:r w:rsidR="00DF143E">
        <w:rPr>
          <w:rFonts w:eastAsiaTheme="majorEastAsia"/>
        </w:rPr>
        <w:t xml:space="preserve"> </w:t>
      </w:r>
    </w:p>
    <w:p w:rsidR="000E409F" w:rsidRDefault="000E409F" w:rsidP="000E409F">
      <w:pPr>
        <w:pStyle w:val="ListParagraph"/>
        <w:ind w:left="0"/>
        <w:jc w:val="both"/>
      </w:pPr>
      <w:r>
        <w:t xml:space="preserve">The </w:t>
      </w:r>
      <w:r w:rsidRPr="00070EEF">
        <w:t>proposed Code of Practice for the Keeping of Racing Greyhounds (‘the proposed code’)</w:t>
      </w:r>
      <w:r>
        <w:t xml:space="preserve"> is a mandatory code and so is a legislative instrument within the meaning of the </w:t>
      </w:r>
      <w:r>
        <w:rPr>
          <w:i/>
        </w:rPr>
        <w:t>Subordinate Legislation Act 1994</w:t>
      </w:r>
      <w:r>
        <w:t>.</w:t>
      </w:r>
      <w:r w:rsidR="007B521C">
        <w:t xml:space="preserve"> </w:t>
      </w:r>
      <w:r>
        <w:t xml:space="preserve">Therefore, a </w:t>
      </w:r>
      <w:r w:rsidRPr="00070EEF">
        <w:t xml:space="preserve">regulatory impact statement </w:t>
      </w:r>
      <w:r>
        <w:t xml:space="preserve">(RIS) is required to be prepared to identify any significant economic or social burden imposed by the proposed code. </w:t>
      </w:r>
    </w:p>
    <w:p w:rsidR="000E409F" w:rsidRDefault="000E409F" w:rsidP="000E409F">
      <w:pPr>
        <w:pStyle w:val="ListParagraph"/>
        <w:ind w:left="0"/>
        <w:jc w:val="both"/>
      </w:pPr>
    </w:p>
    <w:p w:rsidR="00DF143E" w:rsidRDefault="00DF143E" w:rsidP="00DF143E">
      <w:pPr>
        <w:pStyle w:val="ListParagraph"/>
        <w:ind w:left="0"/>
        <w:jc w:val="both"/>
      </w:pPr>
      <w:r w:rsidRPr="00070EEF">
        <w:t>The purpose of the code is to specify the minimum standards of staffing, accommodation, management and care which are appropriate to the physical and behavioural needs of racing greyhounds.</w:t>
      </w:r>
      <w:r>
        <w:t xml:space="preserve"> Industry and the community have identified substantial risks to greyhound welfare arising from the social costs of their private business/hobby decisions. In this regard, the aim of the intervention is to alter incentives so that private decision makers take account of the external effects of their actions.</w:t>
      </w:r>
    </w:p>
    <w:p w:rsidR="00DF143E" w:rsidRPr="00070EEF" w:rsidRDefault="00DF143E" w:rsidP="00DF143E">
      <w:pPr>
        <w:pStyle w:val="ListParagraph"/>
        <w:ind w:left="0"/>
        <w:jc w:val="both"/>
      </w:pPr>
    </w:p>
    <w:p w:rsidR="00DF143E" w:rsidRPr="00A24AFC" w:rsidRDefault="00DF143E" w:rsidP="00DF143E">
      <w:pPr>
        <w:pStyle w:val="ListParagraph"/>
        <w:ind w:left="0"/>
        <w:jc w:val="both"/>
      </w:pPr>
      <w:r>
        <w:lastRenderedPageBreak/>
        <w:t>The</w:t>
      </w:r>
      <w:r w:rsidRPr="00070EEF">
        <w:t xml:space="preserve"> intent</w:t>
      </w:r>
      <w:r>
        <w:t>ion is</w:t>
      </w:r>
      <w:r w:rsidRPr="00070EEF">
        <w:t xml:space="preserve"> that the proposed code will replace the existing </w:t>
      </w:r>
      <w:r w:rsidRPr="006E6760">
        <w:rPr>
          <w:i/>
        </w:rPr>
        <w:t xml:space="preserve">Code of Practice for </w:t>
      </w:r>
      <w:r w:rsidR="00CA7E5B">
        <w:rPr>
          <w:i/>
        </w:rPr>
        <w:br/>
      </w:r>
      <w:r w:rsidRPr="006E6760">
        <w:rPr>
          <w:i/>
        </w:rPr>
        <w:t>the Operation of Greyhound Establishments</w:t>
      </w:r>
      <w:r w:rsidRPr="00070EEF">
        <w:t xml:space="preserve"> (‘the existing code’)</w:t>
      </w:r>
      <w:r>
        <w:t xml:space="preserve"> and a range of other welfare and management rules that currently exist</w:t>
      </w:r>
      <w:r w:rsidRPr="00A24AFC">
        <w:t xml:space="preserve"> under the framework of GRV policies and </w:t>
      </w:r>
      <w:r w:rsidRPr="00A24AFC">
        <w:rPr>
          <w:i/>
        </w:rPr>
        <w:t>Local Rules</w:t>
      </w:r>
      <w:r w:rsidRPr="00A24AFC">
        <w:t xml:space="preserve">. </w:t>
      </w:r>
    </w:p>
    <w:p w:rsidR="00DF143E" w:rsidRDefault="00DF143E" w:rsidP="00DF143E">
      <w:pPr>
        <w:pStyle w:val="ListParagraph"/>
        <w:ind w:left="0"/>
        <w:jc w:val="both"/>
      </w:pPr>
    </w:p>
    <w:p w:rsidR="00DF143E" w:rsidRPr="00BB14F1" w:rsidRDefault="00DF143E" w:rsidP="00DF143E">
      <w:pPr>
        <w:pStyle w:val="ListParagraph"/>
        <w:ind w:left="0"/>
        <w:jc w:val="both"/>
      </w:pPr>
      <w:r w:rsidRPr="00BB14F1">
        <w:t xml:space="preserve">The revision of the existing code follows </w:t>
      </w:r>
      <w:r w:rsidR="000E409F">
        <w:t xml:space="preserve">a </w:t>
      </w:r>
      <w:r w:rsidRPr="00BB14F1">
        <w:t xml:space="preserve">recent amendment to the </w:t>
      </w:r>
      <w:r w:rsidRPr="00BB14F1">
        <w:rPr>
          <w:i/>
        </w:rPr>
        <w:t>Domestic Animals Act 1994</w:t>
      </w:r>
      <w:r w:rsidRPr="00BB14F1">
        <w:t xml:space="preserve"> (DAA) to ensure that any person who ‘keeps’ a greyhound (under the definition of keeping under section 3(1) DAA) is required to comply with the existing a</w:t>
      </w:r>
      <w:r w:rsidR="000E409F">
        <w:t>nd proposed code. The amendment is</w:t>
      </w:r>
      <w:r w:rsidRPr="00BB14F1">
        <w:t xml:space="preserve"> now in operation and so form</w:t>
      </w:r>
      <w:r w:rsidR="000E409F">
        <w:t>s</w:t>
      </w:r>
      <w:r w:rsidRPr="00BB14F1">
        <w:t xml:space="preserve"> part of the base case for analysis in this RIS</w:t>
      </w:r>
      <w:r w:rsidR="000E409F">
        <w:t>.</w:t>
      </w:r>
      <w:r w:rsidR="007B521C">
        <w:t xml:space="preserve"> </w:t>
      </w:r>
      <w:r w:rsidR="000E409F">
        <w:t>Therefore, the</w:t>
      </w:r>
      <w:r w:rsidRPr="00BB14F1">
        <w:t xml:space="preserve"> RIS evaluates only the proposed code in comparison to the existing code</w:t>
      </w:r>
      <w:r>
        <w:t xml:space="preserve"> and rules and legislation</w:t>
      </w:r>
      <w:r w:rsidRPr="00BB14F1">
        <w:t>.</w:t>
      </w:r>
    </w:p>
    <w:p w:rsidR="00DF143E" w:rsidRDefault="00DF143E" w:rsidP="00DF143E">
      <w:pPr>
        <w:pStyle w:val="ListParagraph"/>
        <w:ind w:left="0"/>
        <w:jc w:val="both"/>
      </w:pPr>
    </w:p>
    <w:p w:rsidR="00EB03D7" w:rsidRPr="00EB03D7" w:rsidRDefault="00EB03D7" w:rsidP="00DF143E">
      <w:pPr>
        <w:pStyle w:val="ListParagraph"/>
        <w:ind w:left="0"/>
        <w:jc w:val="both"/>
      </w:pPr>
      <w:r w:rsidRPr="000E409F">
        <w:t>While the Victorian greyhound racing industry collects substantial amounts of data, its ability to accurately record and extract the data for analytical purposes is limited. Work is underway to capture more rigorous data for future analysis and planning. Consequently, the assessment of regulatory impacts in this RIS has been undertaken on the basis of robust assumptions in the absence of available data.</w:t>
      </w:r>
    </w:p>
    <w:p w:rsidR="00CA6877" w:rsidRPr="00F803A8" w:rsidRDefault="00CA6877" w:rsidP="00F803A8">
      <w:pPr>
        <w:rPr>
          <w:lang w:val="en-US"/>
        </w:rPr>
      </w:pPr>
    </w:p>
    <w:p w:rsidR="00F803A8" w:rsidRPr="00F803A8" w:rsidRDefault="00F803A8" w:rsidP="00CA7E5B">
      <w:pPr>
        <w:pStyle w:val="H13pt"/>
        <w:rPr>
          <w:lang w:val="en-US"/>
        </w:rPr>
      </w:pPr>
      <w:bookmarkStart w:id="75" w:name="_Toc477190169"/>
      <w:r>
        <w:rPr>
          <w:rFonts w:eastAsiaTheme="majorEastAsia"/>
        </w:rPr>
        <w:t>1.</w:t>
      </w:r>
      <w:r w:rsidR="00DB1CA7">
        <w:rPr>
          <w:rFonts w:eastAsiaTheme="majorEastAsia"/>
        </w:rPr>
        <w:t>7</w:t>
      </w:r>
      <w:r w:rsidR="00CA6877">
        <w:rPr>
          <w:rFonts w:eastAsiaTheme="majorEastAsia"/>
        </w:rPr>
        <w:t xml:space="preserve"> Consultation</w:t>
      </w:r>
      <w:bookmarkEnd w:id="75"/>
    </w:p>
    <w:p w:rsidR="00DF143E" w:rsidRPr="00070EEF" w:rsidRDefault="00DF143E" w:rsidP="00DF143E">
      <w:pPr>
        <w:pStyle w:val="ListParagraph"/>
        <w:ind w:left="0"/>
        <w:jc w:val="both"/>
        <w:rPr>
          <w:color w:val="FF0000"/>
        </w:rPr>
      </w:pPr>
      <w:r w:rsidRPr="00070EEF">
        <w:t xml:space="preserve">The Department of Economic Development, Jobs, Transport and Resources (DEDJTR) undertook a stakeholder industry </w:t>
      </w:r>
      <w:r>
        <w:t xml:space="preserve">preliminary consultation </w:t>
      </w:r>
      <w:r w:rsidRPr="00070EEF">
        <w:t>survey between December 20</w:t>
      </w:r>
      <w:r>
        <w:t>15 and January 2016, where</w:t>
      </w:r>
      <w:r w:rsidRPr="00070EEF">
        <w:t xml:space="preserve"> 724 identified stakeholders, operating </w:t>
      </w:r>
      <w:r>
        <w:t xml:space="preserve">across the greyhound lifecycle </w:t>
      </w:r>
      <w:r w:rsidRPr="00070EEF">
        <w:t>provided data to assist in identifying the effects of the proposed code.</w:t>
      </w:r>
      <w:r>
        <w:rPr>
          <w:color w:val="FF0000"/>
        </w:rPr>
        <w:t xml:space="preserve"> </w:t>
      </w:r>
      <w:r w:rsidRPr="00787502">
        <w:t>Greyhounds Australasia report Victoria has 14,199 licensed persons</w:t>
      </w:r>
      <w:r w:rsidRPr="004D060C">
        <w:rPr>
          <w:rStyle w:val="FootnoteReference"/>
          <w:color w:val="000000" w:themeColor="text1"/>
        </w:rPr>
        <w:footnoteReference w:id="85"/>
      </w:r>
      <w:r w:rsidRPr="004D060C">
        <w:rPr>
          <w:color w:val="000000" w:themeColor="text1"/>
        </w:rPr>
        <w:t xml:space="preserve"> </w:t>
      </w:r>
      <w:r w:rsidRPr="00787502">
        <w:t>so</w:t>
      </w:r>
      <w:r>
        <w:t xml:space="preserve"> the survey represents</w:t>
      </w:r>
      <w:r w:rsidRPr="00787502">
        <w:t xml:space="preserve"> </w:t>
      </w:r>
      <w:r w:rsidR="00E01F8B" w:rsidRPr="007046FB">
        <w:rPr>
          <w:i/>
        </w:rPr>
        <w:t>only</w:t>
      </w:r>
      <w:r w:rsidR="00E01F8B">
        <w:t xml:space="preserve"> </w:t>
      </w:r>
      <w:r w:rsidRPr="00787502">
        <w:t>5%</w:t>
      </w:r>
      <w:r>
        <w:t xml:space="preserve"> of the industry. </w:t>
      </w:r>
    </w:p>
    <w:p w:rsidR="00DF143E" w:rsidRPr="00070EEF" w:rsidRDefault="00DF143E" w:rsidP="00DF143E">
      <w:pPr>
        <w:pStyle w:val="ListParagraph"/>
        <w:ind w:left="0"/>
        <w:jc w:val="both"/>
      </w:pPr>
    </w:p>
    <w:p w:rsidR="00DF143E" w:rsidRPr="00935D75" w:rsidRDefault="00DF143E" w:rsidP="00DF143E">
      <w:pPr>
        <w:pStyle w:val="ListParagraph"/>
        <w:ind w:left="0"/>
        <w:jc w:val="both"/>
        <w:rPr>
          <w:color w:val="FF0000"/>
        </w:rPr>
      </w:pPr>
      <w:r w:rsidRPr="00070EEF">
        <w:t>The survey identified that 80.11% of respondents indicate</w:t>
      </w:r>
      <w:r w:rsidR="00450604">
        <w:t>d</w:t>
      </w:r>
      <w:r w:rsidRPr="00070EEF">
        <w:t xml:space="preserve"> their primary activity </w:t>
      </w:r>
      <w:r>
        <w:t>i</w:t>
      </w:r>
      <w:r w:rsidRPr="00070EEF">
        <w:t>s racing/training, whist</w:t>
      </w:r>
      <w:r>
        <w:t xml:space="preserve"> only</w:t>
      </w:r>
      <w:r w:rsidRPr="00070EEF">
        <w:t xml:space="preserve"> 8.84% list</w:t>
      </w:r>
      <w:r w:rsidR="00450604">
        <w:t>ed</w:t>
      </w:r>
      <w:r w:rsidRPr="00070EEF">
        <w:t xml:space="preserve"> their primary activity as breeding, 6.22% as rearing, 3.87% a spelling or boarding</w:t>
      </w:r>
      <w:r>
        <w:t>,</w:t>
      </w:r>
      <w:r w:rsidRPr="00070EEF">
        <w:t xml:space="preserve"> with the re</w:t>
      </w:r>
      <w:r>
        <w:t>mainder</w:t>
      </w:r>
      <w:r w:rsidRPr="00070EEF">
        <w:t xml:space="preserve"> having breaking in or </w:t>
      </w:r>
      <w:r>
        <w:t>‘</w:t>
      </w:r>
      <w:r w:rsidRPr="00070EEF">
        <w:t>other</w:t>
      </w:r>
      <w:r>
        <w:t>’</w:t>
      </w:r>
      <w:r w:rsidRPr="00070EEF">
        <w:t xml:space="preserve"> as their primary activity</w:t>
      </w:r>
      <w:r w:rsidR="0059193F">
        <w:rPr>
          <w:rStyle w:val="FootnoteReference"/>
        </w:rPr>
        <w:footnoteReference w:id="86"/>
      </w:r>
      <w:r w:rsidRPr="00070EEF">
        <w:t>.</w:t>
      </w:r>
      <w:r w:rsidR="007B521C">
        <w:rPr>
          <w:color w:val="FF0000"/>
        </w:rPr>
        <w:t xml:space="preserve"> </w:t>
      </w:r>
      <w:r w:rsidRPr="00070EEF">
        <w:t xml:space="preserve">The survey </w:t>
      </w:r>
      <w:r w:rsidR="00450604">
        <w:t xml:space="preserve">showed </w:t>
      </w:r>
      <w:r w:rsidRPr="00070EEF">
        <w:t>that stakeholders ‘</w:t>
      </w:r>
      <w:r w:rsidRPr="00070EEF">
        <w:rPr>
          <w:i/>
        </w:rPr>
        <w:t>are seeking a code that takes into account the different requirements of larger versus small/hobby operators with concern that if there are significant changes, this may put people out of operation’</w:t>
      </w:r>
      <w:r>
        <w:rPr>
          <w:rStyle w:val="FootnoteReference"/>
          <w:i/>
        </w:rPr>
        <w:footnoteReference w:id="87"/>
      </w:r>
      <w:r>
        <w:rPr>
          <w:color w:val="000000" w:themeColor="text1"/>
        </w:rPr>
        <w:t>.</w:t>
      </w:r>
    </w:p>
    <w:p w:rsidR="00DF143E" w:rsidRDefault="00DF143E" w:rsidP="00DF143E">
      <w:pPr>
        <w:pStyle w:val="ListParagraph"/>
        <w:ind w:left="0"/>
        <w:jc w:val="both"/>
        <w:rPr>
          <w:color w:val="00B050"/>
        </w:rPr>
      </w:pPr>
    </w:p>
    <w:p w:rsidR="00DF143E" w:rsidRDefault="00DF143E" w:rsidP="00DF143E">
      <w:pPr>
        <w:pStyle w:val="ListParagraph"/>
        <w:ind w:left="0"/>
        <w:jc w:val="both"/>
      </w:pPr>
      <w:r>
        <w:t xml:space="preserve">Preliminary consultation has also been undertaken prior to and during the drafting of the proposed code. Three reference groups broadly representing animal welfare promoters, enforcement agencies and greyhound industry participants have consulted on the existing code and the direction of the proposed code. In addition, GRV have been heavily involved in the development of the proposed code </w:t>
      </w:r>
      <w:r w:rsidR="00AF167B">
        <w:t>a</w:t>
      </w:r>
      <w:r>
        <w:t>s the industry’s promotional and regulatory body.</w:t>
      </w:r>
    </w:p>
    <w:p w:rsidR="00DF143E" w:rsidRDefault="00DF143E" w:rsidP="00DF143E">
      <w:pPr>
        <w:pStyle w:val="ListParagraph"/>
        <w:ind w:left="0"/>
        <w:jc w:val="both"/>
      </w:pPr>
    </w:p>
    <w:p w:rsidR="00DF143E" w:rsidRDefault="00DF143E" w:rsidP="00DF143E">
      <w:pPr>
        <w:pStyle w:val="ListParagraph"/>
        <w:ind w:left="0"/>
        <w:jc w:val="both"/>
        <w:rPr>
          <w:color w:val="000000" w:themeColor="text1"/>
        </w:rPr>
      </w:pPr>
      <w:r w:rsidRPr="002B6A3D">
        <w:t>The</w:t>
      </w:r>
      <w:r>
        <w:t xml:space="preserve"> primary process of consultation regarding the proposed code is the publication of a RIS for public comment during a statutory minimum consultation period of 45-60 days. </w:t>
      </w:r>
      <w:r w:rsidRPr="00D6595B">
        <w:t xml:space="preserve">It is </w:t>
      </w:r>
      <w:r>
        <w:t>intended that a copy of this RIS and the proposed code will be provided to affected stakeholders, industry groups and the public over this period and provide the ability for individuals to lodge formal responses</w:t>
      </w:r>
      <w:r w:rsidRPr="00596689">
        <w:rPr>
          <w:color w:val="000000" w:themeColor="text1"/>
        </w:rPr>
        <w:t>.</w:t>
      </w:r>
    </w:p>
    <w:p w:rsidR="000E409F" w:rsidRDefault="000E409F" w:rsidP="00CA7E5B">
      <w:r>
        <w:br w:type="page"/>
      </w:r>
    </w:p>
    <w:p w:rsidR="003E1D67" w:rsidRDefault="00CA6877" w:rsidP="007046FB">
      <w:pPr>
        <w:pStyle w:val="Heading1"/>
      </w:pPr>
      <w:bookmarkStart w:id="76" w:name="_Toc469529154"/>
      <w:bookmarkStart w:id="77" w:name="_Toc477190170"/>
      <w:r>
        <w:lastRenderedPageBreak/>
        <w:t>Sec</w:t>
      </w:r>
      <w:r w:rsidR="00560A71" w:rsidRPr="00560A71">
        <w:t>tion 2 I</w:t>
      </w:r>
      <w:r w:rsidR="00DD4531">
        <w:t>dentif</w:t>
      </w:r>
      <w:r w:rsidR="0023450A">
        <w:t>ication</w:t>
      </w:r>
      <w:r w:rsidR="00560A71" w:rsidRPr="00560A71">
        <w:t xml:space="preserve"> </w:t>
      </w:r>
      <w:bookmarkEnd w:id="32"/>
      <w:r>
        <w:t>and description of residual problems</w:t>
      </w:r>
      <w:bookmarkEnd w:id="76"/>
      <w:bookmarkEnd w:id="77"/>
    </w:p>
    <w:p w:rsidR="001F1527" w:rsidRDefault="001F1527" w:rsidP="004B0055">
      <w:pPr>
        <w:jc w:val="both"/>
      </w:pPr>
      <w:r w:rsidRPr="001F1527">
        <w:t>Notwithstanding all of the current industry issues</w:t>
      </w:r>
      <w:r>
        <w:t xml:space="preserve"> in greyhound racing as</w:t>
      </w:r>
      <w:r w:rsidRPr="001F1527">
        <w:t xml:space="preserve"> outlined in Section 1.4 of this RIS</w:t>
      </w:r>
      <w:r>
        <w:t>,</w:t>
      </w:r>
      <w:r w:rsidRPr="001F1527">
        <w:t xml:space="preserve"> the residual problems that are able to be addressed in the proposed code </w:t>
      </w:r>
      <w:r>
        <w:t xml:space="preserve">for the Victorian greyhound racing industry </w:t>
      </w:r>
      <w:r w:rsidRPr="001F1527">
        <w:t>are:</w:t>
      </w:r>
    </w:p>
    <w:p w:rsidR="001F1527" w:rsidRPr="004B0055" w:rsidRDefault="001F1527" w:rsidP="00981934">
      <w:pPr>
        <w:pStyle w:val="ListParagraph"/>
        <w:numPr>
          <w:ilvl w:val="0"/>
          <w:numId w:val="14"/>
        </w:numPr>
        <w:ind w:left="284" w:hanging="284"/>
        <w:jc w:val="both"/>
      </w:pPr>
      <w:r w:rsidRPr="004B0055">
        <w:t>2.1 Risks to animal welfare and quality of life (Section 1.4.4) that also relate to:</w:t>
      </w:r>
    </w:p>
    <w:p w:rsidR="001F1527" w:rsidRPr="004B0055" w:rsidRDefault="001F1527" w:rsidP="00981934">
      <w:pPr>
        <w:pStyle w:val="ListParagraph"/>
        <w:numPr>
          <w:ilvl w:val="0"/>
          <w:numId w:val="15"/>
        </w:numPr>
        <w:tabs>
          <w:tab w:val="left" w:pos="709"/>
        </w:tabs>
        <w:ind w:left="284" w:firstLine="283"/>
        <w:jc w:val="both"/>
      </w:pPr>
      <w:r w:rsidRPr="004B0055">
        <w:t>coverage for the lifecycle of dogs (Section 1.4.5);</w:t>
      </w:r>
    </w:p>
    <w:p w:rsidR="001F1527" w:rsidRPr="004B0055" w:rsidRDefault="001F1527" w:rsidP="00981934">
      <w:pPr>
        <w:pStyle w:val="ListParagraph"/>
        <w:numPr>
          <w:ilvl w:val="0"/>
          <w:numId w:val="15"/>
        </w:numPr>
        <w:tabs>
          <w:tab w:val="left" w:pos="709"/>
        </w:tabs>
        <w:ind w:left="284" w:firstLine="283"/>
        <w:jc w:val="both"/>
      </w:pPr>
      <w:r w:rsidRPr="004B0055">
        <w:t>participant behaviour (Section 1.4.6); and</w:t>
      </w:r>
    </w:p>
    <w:p w:rsidR="001F1527" w:rsidRPr="004B0055" w:rsidRDefault="001F1527" w:rsidP="00981934">
      <w:pPr>
        <w:pStyle w:val="ListParagraph"/>
        <w:numPr>
          <w:ilvl w:val="0"/>
          <w:numId w:val="15"/>
        </w:numPr>
        <w:tabs>
          <w:tab w:val="left" w:pos="709"/>
        </w:tabs>
        <w:ind w:left="284" w:firstLine="283"/>
        <w:jc w:val="both"/>
      </w:pPr>
      <w:r w:rsidRPr="004B0055">
        <w:t>Lack of education (Section 1.4.7); and</w:t>
      </w:r>
    </w:p>
    <w:p w:rsidR="001F1527" w:rsidRPr="004B0055" w:rsidRDefault="001F1527" w:rsidP="00981934">
      <w:pPr>
        <w:pStyle w:val="ListParagraph"/>
        <w:numPr>
          <w:ilvl w:val="0"/>
          <w:numId w:val="14"/>
        </w:numPr>
        <w:ind w:left="284" w:hanging="284"/>
        <w:jc w:val="both"/>
      </w:pPr>
      <w:r w:rsidRPr="004B0055">
        <w:t>2.2 Inadequate rehoming potential (Section 1.4.8).</w:t>
      </w:r>
    </w:p>
    <w:p w:rsidR="001F1527" w:rsidRPr="001F1527" w:rsidRDefault="001F1527" w:rsidP="001F1527"/>
    <w:p w:rsidR="00065755" w:rsidRDefault="001F1527" w:rsidP="004B0055">
      <w:pPr>
        <w:jc w:val="both"/>
      </w:pPr>
      <w:r w:rsidRPr="001F1527">
        <w:t xml:space="preserve">These </w:t>
      </w:r>
      <w:r w:rsidR="008C6B88">
        <w:t xml:space="preserve">residual problems are </w:t>
      </w:r>
      <w:r w:rsidRPr="001F1527">
        <w:t xml:space="preserve">addressed in detail in </w:t>
      </w:r>
      <w:r w:rsidR="008C6B88">
        <w:t>S</w:t>
      </w:r>
      <w:r w:rsidRPr="001F1527">
        <w:t>ections 2.1 and 2.2 in this RIS</w:t>
      </w:r>
      <w:r w:rsidR="008C6B88">
        <w:t xml:space="preserve"> as follows</w:t>
      </w:r>
      <w:r w:rsidRPr="001F1527">
        <w:t>.</w:t>
      </w:r>
    </w:p>
    <w:p w:rsidR="001F1527" w:rsidRPr="004B0055" w:rsidRDefault="001F1527" w:rsidP="001F1527"/>
    <w:p w:rsidR="00CA6877" w:rsidRPr="005F3BA9" w:rsidRDefault="00CA6877" w:rsidP="00CA7E5B">
      <w:pPr>
        <w:pStyle w:val="H13pt"/>
      </w:pPr>
      <w:bookmarkStart w:id="78" w:name="_Toc469529155"/>
      <w:bookmarkStart w:id="79" w:name="_Toc477190171"/>
      <w:r w:rsidRPr="005F3BA9">
        <w:t xml:space="preserve">2.1 Residual problem – risk to animal welfare </w:t>
      </w:r>
      <w:r w:rsidR="000753D5" w:rsidRPr="005F3BA9">
        <w:t>and quality of life</w:t>
      </w:r>
      <w:bookmarkEnd w:id="78"/>
      <w:bookmarkEnd w:id="79"/>
    </w:p>
    <w:p w:rsidR="00065755" w:rsidRDefault="00065755" w:rsidP="00065755">
      <w:pPr>
        <w:jc w:val="both"/>
        <w:rPr>
          <w:color w:val="000000" w:themeColor="text1"/>
        </w:rPr>
      </w:pPr>
      <w:r w:rsidRPr="00065755">
        <w:t xml:space="preserve">Notwithstanding the legislation in various Acts of Parliament, in Local Rules and the Greyhound Australasia Rules requiring adequate care and welfare of greyhounds, there is no requirement for veterinary oversight of a holistic health management plan for the whole business no matter how </w:t>
      </w:r>
      <w:r w:rsidR="00E52923">
        <w:t>large</w:t>
      </w:r>
      <w:r w:rsidR="00E52923" w:rsidRPr="00065755">
        <w:t xml:space="preserve"> </w:t>
      </w:r>
      <w:r w:rsidRPr="00065755">
        <w:t xml:space="preserve">or small. </w:t>
      </w:r>
      <w:r w:rsidRPr="00F2723E">
        <w:t>The greyhound industry is made up of mostly small owners with 1</w:t>
      </w:r>
      <w:r w:rsidR="00A61460" w:rsidRPr="00F2723E">
        <w:t xml:space="preserve"> to </w:t>
      </w:r>
      <w:r w:rsidRPr="00F2723E">
        <w:t xml:space="preserve">2 dogs and knowledge is passed on between relatives or friends, but also deeply guarded to protect ‘a winning formula’ and so there is a great risk that small size owners do not had external expert review of their practices – leaving dogs in their care at risk of poor practice and bad management leading to health and welfare problems throughout the various stages of the </w:t>
      </w:r>
      <w:r w:rsidR="005D22C9" w:rsidRPr="00F2723E">
        <w:t>lifecycle</w:t>
      </w:r>
      <w:r w:rsidRPr="00F2723E">
        <w:t>.</w:t>
      </w:r>
      <w:r w:rsidR="007B521C">
        <w:t xml:space="preserve"> </w:t>
      </w:r>
      <w:r w:rsidR="0073799C" w:rsidRPr="002C026B">
        <w:rPr>
          <w:color w:val="000000" w:themeColor="text1"/>
        </w:rPr>
        <w:t>It is not in the interest of racing dog owners to allow animal welfare to fail significantly, as the racing success of dogs will be adversely affected. Poor welfare is more likely to be allowed to continue where it is viewed as saving time or money on dogs they view as ‘being of less value’ (i.e. as a convenience).</w:t>
      </w:r>
      <w:r w:rsidR="007B521C">
        <w:rPr>
          <w:color w:val="000000" w:themeColor="text1"/>
        </w:rPr>
        <w:t xml:space="preserve"> </w:t>
      </w:r>
      <w:r w:rsidR="0073799C" w:rsidRPr="002C026B">
        <w:rPr>
          <w:color w:val="000000" w:themeColor="text1"/>
        </w:rPr>
        <w:t>Equally greyhound owners have ‘success in mind’ and so are likely to try to produce as many animals as possible and unlikely to be training a greyhound from an early stage to improve its potential of rehoming.</w:t>
      </w:r>
      <w:r w:rsidR="007A4C94">
        <w:rPr>
          <w:color w:val="000000" w:themeColor="text1"/>
        </w:rPr>
        <w:t xml:space="preserve"> </w:t>
      </w:r>
      <w:r w:rsidR="0045216D">
        <w:rPr>
          <w:color w:val="000000" w:themeColor="text1"/>
        </w:rPr>
        <w:t xml:space="preserve">In </w:t>
      </w:r>
      <w:r w:rsidR="007A4C94">
        <w:rPr>
          <w:color w:val="000000" w:themeColor="text1"/>
        </w:rPr>
        <w:t>addition</w:t>
      </w:r>
      <w:r w:rsidR="0045216D">
        <w:rPr>
          <w:color w:val="000000" w:themeColor="text1"/>
        </w:rPr>
        <w:t xml:space="preserve">, poor management, leading to </w:t>
      </w:r>
      <w:r w:rsidR="007A4C94">
        <w:rPr>
          <w:color w:val="000000" w:themeColor="text1"/>
        </w:rPr>
        <w:t>poor</w:t>
      </w:r>
      <w:r w:rsidR="0045216D">
        <w:rPr>
          <w:color w:val="000000" w:themeColor="text1"/>
        </w:rPr>
        <w:t xml:space="preserve"> welfare outcomes, is often a result of lack of knowledge and/or resources. For example, participants in charge of dogs may not recognise </w:t>
      </w:r>
      <w:r w:rsidR="007A4C94">
        <w:rPr>
          <w:color w:val="000000" w:themeColor="text1"/>
        </w:rPr>
        <w:t>poor</w:t>
      </w:r>
      <w:r w:rsidR="0045216D">
        <w:rPr>
          <w:color w:val="000000" w:themeColor="text1"/>
        </w:rPr>
        <w:t xml:space="preserve"> welfare outcomes (eg stress-related disorders).</w:t>
      </w:r>
    </w:p>
    <w:p w:rsidR="002B41F8" w:rsidRPr="00065755" w:rsidRDefault="002B41F8" w:rsidP="00065755">
      <w:pPr>
        <w:jc w:val="both"/>
      </w:pPr>
    </w:p>
    <w:p w:rsidR="006547A9" w:rsidRDefault="006547A9" w:rsidP="00065755">
      <w:pPr>
        <w:jc w:val="both"/>
      </w:pPr>
      <w:r>
        <w:t xml:space="preserve">Dogs are at particular risk </w:t>
      </w:r>
      <w:r w:rsidRPr="00065755">
        <w:t>if staffing is not at an acceptable level to provide adequate care and monitoring.</w:t>
      </w:r>
      <w:r w:rsidRPr="00445729">
        <w:t xml:space="preserve"> </w:t>
      </w:r>
      <w:r w:rsidRPr="00065755">
        <w:t>Staffing is an expense that is convenient to cut</w:t>
      </w:r>
      <w:r>
        <w:t>.</w:t>
      </w:r>
      <w:r w:rsidR="007B521C">
        <w:t xml:space="preserve"> </w:t>
      </w:r>
      <w:r>
        <w:t xml:space="preserve">Furthermore, </w:t>
      </w:r>
      <w:r w:rsidRPr="00065755">
        <w:t xml:space="preserve">staff may not have </w:t>
      </w:r>
      <w:r>
        <w:t>adequate</w:t>
      </w:r>
      <w:r w:rsidRPr="00065755">
        <w:t xml:space="preserve"> </w:t>
      </w:r>
      <w:r w:rsidR="00E52923">
        <w:t xml:space="preserve">knowledge and/or </w:t>
      </w:r>
      <w:r w:rsidRPr="00065755">
        <w:t xml:space="preserve">training to provide </w:t>
      </w:r>
      <w:r>
        <w:t>a minimum standard</w:t>
      </w:r>
      <w:r w:rsidRPr="00065755">
        <w:t xml:space="preserve"> of care and monitoring </w:t>
      </w:r>
      <w:r>
        <w:t>to</w:t>
      </w:r>
      <w:r w:rsidRPr="00065755">
        <w:t xml:space="preserve"> a large number of </w:t>
      </w:r>
      <w:r>
        <w:t>greyhounds</w:t>
      </w:r>
      <w:r w:rsidRPr="00065755">
        <w:t>.</w:t>
      </w:r>
      <w:r w:rsidR="007B521C">
        <w:t xml:space="preserve"> </w:t>
      </w:r>
      <w:r w:rsidRPr="00065755">
        <w:t xml:space="preserve">A lack of </w:t>
      </w:r>
      <w:r w:rsidR="00E52923">
        <w:t xml:space="preserve">mandated </w:t>
      </w:r>
      <w:r w:rsidRPr="00065755">
        <w:t>staff ratios for large facilities means inadequate time and staff to provide adequate levels of care.</w:t>
      </w:r>
      <w:r w:rsidR="007B521C">
        <w:t xml:space="preserve"> </w:t>
      </w:r>
    </w:p>
    <w:p w:rsidR="006547A9" w:rsidRDefault="006547A9" w:rsidP="00065755">
      <w:pPr>
        <w:jc w:val="both"/>
      </w:pPr>
    </w:p>
    <w:p w:rsidR="00065755" w:rsidRPr="00065755" w:rsidRDefault="00065755" w:rsidP="00065755">
      <w:pPr>
        <w:jc w:val="both"/>
      </w:pPr>
      <w:r w:rsidRPr="00065755">
        <w:rPr>
          <w:rFonts w:cs="Arial-BoldMT"/>
          <w:bCs/>
        </w:rPr>
        <w:t>RSPCA report that many puppies and adult greyhounds are not socialised with other dogs or humans increasing the likelihood of the development of fearfulness and antisocial behaviour which impacts negatively on their welfare</w:t>
      </w:r>
      <w:r w:rsidRPr="00065755">
        <w:rPr>
          <w:rStyle w:val="FootnoteReference"/>
          <w:rFonts w:asciiTheme="majorHAnsi" w:hAnsiTheme="majorHAnsi" w:cs="Arial-BoldMT"/>
          <w:bCs/>
          <w:i/>
        </w:rPr>
        <w:footnoteReference w:id="88"/>
      </w:r>
      <w:r w:rsidRPr="00065755">
        <w:rPr>
          <w:rFonts w:cs="Arial-BoldMT"/>
          <w:bCs/>
        </w:rPr>
        <w:t>.</w:t>
      </w:r>
    </w:p>
    <w:p w:rsidR="00065755" w:rsidRPr="00065755" w:rsidRDefault="00065755" w:rsidP="00065755">
      <w:pPr>
        <w:jc w:val="both"/>
      </w:pPr>
    </w:p>
    <w:p w:rsidR="00065755" w:rsidRPr="00065755" w:rsidRDefault="00D816F0" w:rsidP="00065755">
      <w:pPr>
        <w:jc w:val="both"/>
      </w:pPr>
      <w:r>
        <w:t>S</w:t>
      </w:r>
      <w:r w:rsidR="00065755" w:rsidRPr="00065755">
        <w:t xml:space="preserve">maller whelping areas </w:t>
      </w:r>
      <w:r>
        <w:t xml:space="preserve">are more likely to </w:t>
      </w:r>
      <w:r w:rsidR="00065755" w:rsidRPr="00065755">
        <w:t>get dirt</w:t>
      </w:r>
      <w:r w:rsidR="00E52923">
        <w:t>y</w:t>
      </w:r>
      <w:r w:rsidR="00065755" w:rsidRPr="00065755">
        <w:t xml:space="preserve"> quicker </w:t>
      </w:r>
      <w:r>
        <w:t xml:space="preserve">than larger areas </w:t>
      </w:r>
      <w:r w:rsidR="00065755" w:rsidRPr="00065755">
        <w:t xml:space="preserve">and </w:t>
      </w:r>
      <w:r>
        <w:t xml:space="preserve">may </w:t>
      </w:r>
      <w:r w:rsidR="00065755" w:rsidRPr="00065755">
        <w:t>create hygiene issues that</w:t>
      </w:r>
      <w:r w:rsidR="00E52923">
        <w:t xml:space="preserve"> could </w:t>
      </w:r>
      <w:r w:rsidR="00065755" w:rsidRPr="00065755">
        <w:t xml:space="preserve">lead to welfare issues. </w:t>
      </w:r>
      <w:r>
        <w:t>L</w:t>
      </w:r>
      <w:r w:rsidR="00065755" w:rsidRPr="00065755">
        <w:t xml:space="preserve">arge numbers of puppies in a small area </w:t>
      </w:r>
      <w:r>
        <w:lastRenderedPageBreak/>
        <w:t xml:space="preserve">may </w:t>
      </w:r>
      <w:r w:rsidR="00065755" w:rsidRPr="00065755">
        <w:t xml:space="preserve">affect movement and therefore impact on muscular and skeletal development, having long term implications for racing ability and health. </w:t>
      </w:r>
    </w:p>
    <w:p w:rsidR="00065755" w:rsidRPr="00065755" w:rsidRDefault="00065755" w:rsidP="00065755">
      <w:pPr>
        <w:jc w:val="both"/>
        <w:rPr>
          <w:rFonts w:cs="Arial-BoldMT"/>
          <w:bCs/>
        </w:rPr>
      </w:pPr>
    </w:p>
    <w:p w:rsidR="00065755" w:rsidRPr="00065755" w:rsidRDefault="00065755" w:rsidP="00065755">
      <w:pPr>
        <w:jc w:val="both"/>
        <w:rPr>
          <w:rFonts w:cs="Arial-BoldMT"/>
          <w:bCs/>
        </w:rPr>
      </w:pPr>
      <w:r w:rsidRPr="00065755">
        <w:rPr>
          <w:rFonts w:cs="Arial-BoldMT"/>
          <w:bCs/>
        </w:rPr>
        <w:t>The Royal Society for the Prevention of Cruelty to Animals (RSPCA) report that injuries are very common for racing dogs and can be ongoing</w:t>
      </w:r>
      <w:r w:rsidRPr="00065755">
        <w:rPr>
          <w:rFonts w:cs="Arial-BoldMT"/>
          <w:bCs/>
          <w:i/>
        </w:rPr>
        <w:t xml:space="preserve"> ‘Injuries are a major animal welfare issue that often cause pain, suffering and distress’</w:t>
      </w:r>
      <w:r w:rsidRPr="00065755">
        <w:rPr>
          <w:rStyle w:val="FootnoteReference"/>
          <w:rFonts w:asciiTheme="majorHAnsi" w:hAnsiTheme="majorHAnsi" w:cs="Arial-BoldMT"/>
          <w:bCs/>
          <w:i/>
        </w:rPr>
        <w:t xml:space="preserve"> </w:t>
      </w:r>
      <w:r w:rsidRPr="004B0055">
        <w:rPr>
          <w:rStyle w:val="FootnoteReference"/>
          <w:rFonts w:asciiTheme="majorHAnsi" w:hAnsiTheme="majorHAnsi" w:cs="Arial-BoldMT"/>
          <w:bCs/>
        </w:rPr>
        <w:footnoteReference w:id="89"/>
      </w:r>
      <w:r w:rsidRPr="00065755">
        <w:rPr>
          <w:rFonts w:cs="Arial-BoldMT"/>
          <w:bCs/>
          <w:i/>
        </w:rPr>
        <w:t xml:space="preserve">. </w:t>
      </w:r>
    </w:p>
    <w:p w:rsidR="00065755" w:rsidRPr="00065755" w:rsidRDefault="00065755" w:rsidP="00CA7E5B"/>
    <w:p w:rsidR="00065755" w:rsidRPr="00E6534E" w:rsidRDefault="00065755" w:rsidP="00065755">
      <w:pPr>
        <w:jc w:val="both"/>
        <w:rPr>
          <w:rFonts w:cs="Arial-BoldMT"/>
          <w:bCs/>
        </w:rPr>
      </w:pPr>
      <w:r w:rsidRPr="00065755">
        <w:rPr>
          <w:rFonts w:cs="Arial-BoldMT"/>
          <w:bCs/>
        </w:rPr>
        <w:t xml:space="preserve">A lack of content and coverage in regards to animal welfare legislation is illustrated in Table </w:t>
      </w:r>
      <w:r w:rsidR="00C42ACA">
        <w:rPr>
          <w:rFonts w:cs="Arial-BoldMT"/>
          <w:bCs/>
        </w:rPr>
        <w:t>8,</w:t>
      </w:r>
      <w:r w:rsidRPr="00065755">
        <w:rPr>
          <w:rFonts w:cs="Arial-BoldMT"/>
          <w:bCs/>
        </w:rPr>
        <w:t xml:space="preserve"> </w:t>
      </w:r>
      <w:r w:rsidR="000753D5">
        <w:rPr>
          <w:rFonts w:cs="Arial-BoldMT"/>
          <w:bCs/>
        </w:rPr>
        <w:t xml:space="preserve">while </w:t>
      </w:r>
      <w:r w:rsidR="00C42ACA">
        <w:rPr>
          <w:rFonts w:cs="Arial-BoldMT"/>
          <w:bCs/>
        </w:rPr>
        <w:t>S</w:t>
      </w:r>
      <w:r w:rsidR="00F07714">
        <w:rPr>
          <w:rFonts w:cs="Arial-BoldMT"/>
          <w:bCs/>
        </w:rPr>
        <w:t>ections 1.2.1 to 1.2.</w:t>
      </w:r>
      <w:r w:rsidR="00C42ACA">
        <w:rPr>
          <w:rFonts w:cs="Arial-BoldMT"/>
          <w:bCs/>
        </w:rPr>
        <w:t>7</w:t>
      </w:r>
      <w:r w:rsidRPr="00065755">
        <w:rPr>
          <w:rFonts w:cs="Arial-BoldMT"/>
          <w:bCs/>
        </w:rPr>
        <w:t xml:space="preserve"> highlight </w:t>
      </w:r>
      <w:r w:rsidR="00F07714">
        <w:rPr>
          <w:rFonts w:cs="Arial-BoldMT"/>
          <w:bCs/>
        </w:rPr>
        <w:t xml:space="preserve">the </w:t>
      </w:r>
      <w:r w:rsidRPr="00065755">
        <w:rPr>
          <w:rFonts w:cs="Arial-BoldMT"/>
          <w:bCs/>
        </w:rPr>
        <w:t xml:space="preserve">key stages in the life of a greyhound where the animal is particularly at risk of being affected by poor welfare. Inadequate reporting and veterinary care and management through the whole life cycle have resulted in younger dogs having inadequate vaccinations or general health checks leading to long term disease or ill health. </w:t>
      </w:r>
      <w:r w:rsidR="00AC6AED">
        <w:rPr>
          <w:rFonts w:cs="Arial-BoldMT"/>
          <w:bCs/>
        </w:rPr>
        <w:t>Furthermore, the McHugh report concluded that ‘the appropriate course [to protect the welfare of greyhounds] is to embed appropriate standards in a statutory, and enforceable, Code of Practice that reflects the welfare needs of greyhounds who are purpose bred to race</w:t>
      </w:r>
      <w:r w:rsidR="00AC6AED" w:rsidRPr="004B0055">
        <w:rPr>
          <w:rStyle w:val="FootnoteReference"/>
        </w:rPr>
        <w:footnoteReference w:id="90"/>
      </w:r>
      <w:r w:rsidR="00AC6AED" w:rsidRPr="00D3271C">
        <w:rPr>
          <w:i/>
        </w:rPr>
        <w:t>.</w:t>
      </w:r>
    </w:p>
    <w:p w:rsidR="00673E43" w:rsidRPr="00A44D43" w:rsidRDefault="00673E43" w:rsidP="00CA7E5B"/>
    <w:p w:rsidR="00A53D75" w:rsidRPr="00065755" w:rsidRDefault="00A53D75" w:rsidP="004B0055">
      <w:pPr>
        <w:jc w:val="both"/>
        <w:rPr>
          <w:lang w:val="en-US"/>
        </w:rPr>
      </w:pPr>
      <w:r w:rsidRPr="00065755">
        <w:rPr>
          <w:lang w:val="en-US"/>
        </w:rPr>
        <w:t xml:space="preserve">As </w:t>
      </w:r>
      <w:r w:rsidRPr="004B0055">
        <w:rPr>
          <w:lang w:val="en-US"/>
        </w:rPr>
        <w:t xml:space="preserve">discussed in </w:t>
      </w:r>
      <w:r w:rsidR="008E0AE6" w:rsidRPr="004B0055">
        <w:rPr>
          <w:lang w:val="en-US"/>
        </w:rPr>
        <w:t>Section</w:t>
      </w:r>
      <w:r w:rsidR="00C86602" w:rsidRPr="004B0055">
        <w:rPr>
          <w:lang w:val="en-US"/>
        </w:rPr>
        <w:t xml:space="preserve"> </w:t>
      </w:r>
      <w:r w:rsidR="00065755" w:rsidRPr="004B0055">
        <w:rPr>
          <w:lang w:val="en-US"/>
        </w:rPr>
        <w:t>1.4.</w:t>
      </w:r>
      <w:r w:rsidR="00C86602" w:rsidRPr="004B0055">
        <w:rPr>
          <w:lang w:val="en-US"/>
        </w:rPr>
        <w:t xml:space="preserve">6, </w:t>
      </w:r>
      <w:r w:rsidR="00F2723E">
        <w:rPr>
          <w:lang w:val="en-US"/>
        </w:rPr>
        <w:t xml:space="preserve">for </w:t>
      </w:r>
      <w:r w:rsidR="00496A17">
        <w:rPr>
          <w:lang w:val="en-US"/>
        </w:rPr>
        <w:t xml:space="preserve">those </w:t>
      </w:r>
      <w:r w:rsidR="00C86602" w:rsidRPr="004B0055">
        <w:rPr>
          <w:lang w:val="en-US"/>
        </w:rPr>
        <w:t>participant</w:t>
      </w:r>
      <w:r w:rsidR="007A4C94">
        <w:rPr>
          <w:lang w:val="en-US"/>
        </w:rPr>
        <w:t>s</w:t>
      </w:r>
      <w:r w:rsidRPr="004B0055">
        <w:rPr>
          <w:lang w:val="en-US"/>
        </w:rPr>
        <w:t xml:space="preserve"> in</w:t>
      </w:r>
      <w:r w:rsidRPr="00065755">
        <w:rPr>
          <w:lang w:val="en-US"/>
        </w:rPr>
        <w:t xml:space="preserve"> the industry </w:t>
      </w:r>
      <w:r w:rsidR="00F2723E">
        <w:rPr>
          <w:lang w:val="en-US"/>
        </w:rPr>
        <w:t xml:space="preserve">who </w:t>
      </w:r>
      <w:r w:rsidR="007C7EA8">
        <w:rPr>
          <w:lang w:val="en-US"/>
        </w:rPr>
        <w:t xml:space="preserve">regard greyhounds as a </w:t>
      </w:r>
      <w:r w:rsidRPr="00065755">
        <w:rPr>
          <w:lang w:val="en-US"/>
        </w:rPr>
        <w:t>commodity</w:t>
      </w:r>
      <w:r w:rsidR="00F2723E">
        <w:rPr>
          <w:lang w:val="en-US"/>
        </w:rPr>
        <w:t>,</w:t>
      </w:r>
      <w:r w:rsidR="007C7EA8">
        <w:rPr>
          <w:lang w:val="en-US"/>
        </w:rPr>
        <w:t xml:space="preserve"> the </w:t>
      </w:r>
      <w:r w:rsidRPr="00065755">
        <w:rPr>
          <w:lang w:val="en-US"/>
        </w:rPr>
        <w:t xml:space="preserve">implication </w:t>
      </w:r>
      <w:r w:rsidR="00F2723E">
        <w:rPr>
          <w:lang w:val="en-US"/>
        </w:rPr>
        <w:t xml:space="preserve">is </w:t>
      </w:r>
      <w:r w:rsidR="007C7EA8">
        <w:rPr>
          <w:lang w:val="en-US"/>
        </w:rPr>
        <w:t xml:space="preserve">a </w:t>
      </w:r>
      <w:r w:rsidR="00F2723E">
        <w:rPr>
          <w:lang w:val="en-US"/>
        </w:rPr>
        <w:t xml:space="preserve">risk of </w:t>
      </w:r>
      <w:r w:rsidRPr="00065755">
        <w:rPr>
          <w:lang w:val="en-US"/>
        </w:rPr>
        <w:t xml:space="preserve">serious and detrimental effect on </w:t>
      </w:r>
      <w:r w:rsidR="007C7EA8">
        <w:rPr>
          <w:lang w:val="en-US"/>
        </w:rPr>
        <w:t xml:space="preserve">their </w:t>
      </w:r>
      <w:r w:rsidR="000753D5">
        <w:rPr>
          <w:lang w:val="en-US"/>
        </w:rPr>
        <w:t>quality of life and welfare</w:t>
      </w:r>
      <w:r w:rsidRPr="00065755">
        <w:rPr>
          <w:lang w:val="en-US"/>
        </w:rPr>
        <w:t>.</w:t>
      </w:r>
      <w:r w:rsidR="007B521C">
        <w:t xml:space="preserve"> </w:t>
      </w:r>
      <w:r w:rsidR="00DA7E15">
        <w:t>D</w:t>
      </w:r>
      <w:r w:rsidR="007C7EA8">
        <w:t xml:space="preserve">etailed examples </w:t>
      </w:r>
      <w:r w:rsidRPr="00065755">
        <w:t>of the lack of care</w:t>
      </w:r>
      <w:r w:rsidR="00F2723E">
        <w:t xml:space="preserve"> which were the subject of immediate GRV action to ensure the welfare of animals concerned and action against the participants,</w:t>
      </w:r>
      <w:r w:rsidRPr="00065755">
        <w:t xml:space="preserve"> is provided in the case studies (1 to 3).</w:t>
      </w:r>
      <w:r w:rsidR="007B521C">
        <w:t xml:space="preserve"> </w:t>
      </w:r>
    </w:p>
    <w:p w:rsidR="00A53D75" w:rsidRDefault="00A53D75" w:rsidP="00A53D75">
      <w:pPr>
        <w:pStyle w:val="NoSpacing"/>
        <w:rPr>
          <w:rFonts w:asciiTheme="majorHAnsi" w:hAnsiTheme="majorHAnsi"/>
          <w:lang w:val="en-US"/>
        </w:rPr>
      </w:pPr>
    </w:p>
    <w:tbl>
      <w:tblPr>
        <w:tblpPr w:leftFromText="180" w:rightFromText="180" w:vertAnchor="text" w:horzAnchor="margin" w:tblpY="84"/>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8212"/>
      </w:tblGrid>
      <w:tr w:rsidR="00B81627" w:rsidTr="00B81627">
        <w:tc>
          <w:tcPr>
            <w:tcW w:w="8212" w:type="dxa"/>
            <w:shd w:val="clear" w:color="auto" w:fill="DBE5F1" w:themeFill="accent1" w:themeFillTint="33"/>
          </w:tcPr>
          <w:p w:rsidR="00B81627" w:rsidRPr="00CA7E5B" w:rsidRDefault="00B81627" w:rsidP="00B81627">
            <w:pPr>
              <w:pStyle w:val="NoSpacing"/>
              <w:rPr>
                <w:rFonts w:asciiTheme="majorHAnsi" w:hAnsiTheme="majorHAnsi"/>
                <w:color w:val="53565A"/>
                <w:lang w:val="en-US"/>
              </w:rPr>
            </w:pPr>
            <w:r w:rsidRPr="00CA7E5B">
              <w:rPr>
                <w:rFonts w:asciiTheme="majorHAnsi" w:hAnsiTheme="majorHAnsi"/>
                <w:b/>
                <w:color w:val="53565A"/>
                <w:sz w:val="20"/>
                <w:lang w:val="en-US"/>
              </w:rPr>
              <w:t>Case Study 1:</w:t>
            </w:r>
            <w:r w:rsidRPr="00CA7E5B">
              <w:rPr>
                <w:rFonts w:asciiTheme="majorHAnsi" w:hAnsiTheme="majorHAnsi"/>
                <w:color w:val="53565A"/>
                <w:sz w:val="20"/>
                <w:lang w:val="en-US"/>
              </w:rPr>
              <w:t xml:space="preserve"> </w:t>
            </w:r>
            <w:r w:rsidR="0032357A" w:rsidRPr="00CA7E5B">
              <w:rPr>
                <w:rFonts w:asciiTheme="majorHAnsi" w:hAnsiTheme="majorHAnsi"/>
                <w:color w:val="53565A"/>
                <w:sz w:val="20"/>
                <w:lang w:val="en-US"/>
              </w:rPr>
              <w:t>Greyhounds housed with barking muzzles applied</w:t>
            </w:r>
            <w:r w:rsidR="00B22988" w:rsidRPr="00CA7E5B">
              <w:rPr>
                <w:rFonts w:asciiTheme="majorHAnsi" w:hAnsiTheme="majorHAnsi"/>
                <w:color w:val="53565A"/>
                <w:sz w:val="20"/>
                <w:lang w:val="en-US"/>
              </w:rPr>
              <w:t xml:space="preserve"> </w:t>
            </w:r>
          </w:p>
          <w:p w:rsidR="00B81627" w:rsidRPr="00CA7E5B" w:rsidRDefault="00B81627" w:rsidP="00B81627">
            <w:pPr>
              <w:pStyle w:val="NoSpacing"/>
              <w:rPr>
                <w:rFonts w:asciiTheme="majorHAnsi" w:hAnsiTheme="majorHAnsi"/>
                <w:color w:val="53565A"/>
                <w:sz w:val="20"/>
                <w:lang w:val="en-US"/>
              </w:rPr>
            </w:pPr>
          </w:p>
          <w:p w:rsidR="0032357A" w:rsidRPr="00CA7E5B" w:rsidRDefault="0032357A" w:rsidP="0083588F">
            <w:pPr>
              <w:pStyle w:val="NoSpacing"/>
              <w:jc w:val="both"/>
              <w:rPr>
                <w:rFonts w:ascii="Calibri" w:hAnsi="Calibri"/>
                <w:color w:val="53565A"/>
                <w:sz w:val="20"/>
                <w:szCs w:val="20"/>
              </w:rPr>
            </w:pPr>
            <w:r w:rsidRPr="00CA7E5B">
              <w:rPr>
                <w:rFonts w:ascii="Calibri" w:hAnsi="Calibri"/>
                <w:color w:val="53565A"/>
                <w:sz w:val="20"/>
                <w:szCs w:val="20"/>
              </w:rPr>
              <w:t>GRV received a barking complaint from a local council regarding a greyhound property. Two GRV Welfare Inspectors attended the property and in the kennel block found a number of greyhounds with barking muzzles on. The dogs were standing in kennels with a build</w:t>
            </w:r>
            <w:r w:rsidR="00CB7A70" w:rsidRPr="00CA7E5B">
              <w:rPr>
                <w:rFonts w:ascii="Calibri" w:hAnsi="Calibri"/>
                <w:color w:val="53565A"/>
                <w:sz w:val="20"/>
                <w:szCs w:val="20"/>
              </w:rPr>
              <w:t>-</w:t>
            </w:r>
            <w:r w:rsidRPr="00CA7E5B">
              <w:rPr>
                <w:rFonts w:ascii="Calibri" w:hAnsi="Calibri"/>
                <w:color w:val="53565A"/>
                <w:sz w:val="20"/>
                <w:szCs w:val="20"/>
              </w:rPr>
              <w:t>up of faeces, with no bedding provided, and generally poor hygiene. Some of the barking muzzles were in a poor state and had gaffer tape applied to strengthen them. The barking muzzles were applied correctly but by their nature they did not allow the dogs to eat, drink or bark, and as such their welfare was significantly at risk. The owner demonstrated a poor understanding of greyhound husbandry and general care, and did not understand that their welfare was at risk. Outcome: The Welfare Inspectors immediately issued an official order to the owner to refrain from using barking muzzles completely, and using any muzzles on housed greyhounds. Further directions regarding hygiene and husbandry were issued to the owner. The barking muzzles found were also seized. Subsequently the property has been visited three times and the order and directions have been fully complied with. The welfare of the greyhounds and the general conditions of the property are significantly improved.</w:t>
            </w:r>
          </w:p>
          <w:p w:rsidR="00B81627" w:rsidRDefault="00B81627" w:rsidP="00B81627">
            <w:pPr>
              <w:pStyle w:val="NoSpacing"/>
              <w:jc w:val="both"/>
              <w:rPr>
                <w:rFonts w:asciiTheme="majorHAnsi" w:hAnsiTheme="majorHAnsi"/>
                <w:lang w:val="en-US"/>
              </w:rPr>
            </w:pPr>
          </w:p>
        </w:tc>
      </w:tr>
    </w:tbl>
    <w:p w:rsidR="00B81627" w:rsidRDefault="00B81627" w:rsidP="00A53D75">
      <w:pPr>
        <w:pStyle w:val="NoSpacing"/>
        <w:rPr>
          <w:rFonts w:asciiTheme="majorHAnsi" w:hAnsiTheme="majorHAnsi"/>
          <w:lang w:val="en-US"/>
        </w:rPr>
      </w:pPr>
    </w:p>
    <w:p w:rsidR="00DA7E15" w:rsidRDefault="00DA7E15" w:rsidP="00A53D75">
      <w:pPr>
        <w:pStyle w:val="NoSpacing"/>
        <w:rPr>
          <w:rFonts w:asciiTheme="majorHAnsi" w:hAnsiTheme="majorHAnsi"/>
          <w:lang w:val="en-US"/>
        </w:rPr>
      </w:pPr>
    </w:p>
    <w:p w:rsidR="00DA7E15" w:rsidRPr="00CA7E5B" w:rsidRDefault="0083588F" w:rsidP="00CA7E5B">
      <w:pPr>
        <w:rPr>
          <w:rFonts w:asciiTheme="majorHAnsi" w:eastAsiaTheme="minorHAnsi" w:hAnsiTheme="majorHAnsi" w:cstheme="minorBidi"/>
          <w:color w:val="auto"/>
          <w:lang w:val="en-US"/>
        </w:rPr>
      </w:pPr>
      <w:r>
        <w:rPr>
          <w:rFonts w:asciiTheme="majorHAnsi" w:hAnsiTheme="majorHAnsi"/>
          <w:lang w:val="en-US"/>
        </w:rPr>
        <w:br w:type="page"/>
      </w:r>
    </w:p>
    <w:tbl>
      <w:tblPr>
        <w:tblpPr w:leftFromText="180" w:rightFromText="180" w:vertAnchor="text" w:horzAnchor="margin" w:tblpY="84"/>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8212"/>
      </w:tblGrid>
      <w:tr w:rsidR="00B81627" w:rsidTr="00AC76F7">
        <w:tc>
          <w:tcPr>
            <w:tcW w:w="8212" w:type="dxa"/>
            <w:shd w:val="clear" w:color="auto" w:fill="DBE5F1" w:themeFill="accent1" w:themeFillTint="33"/>
          </w:tcPr>
          <w:p w:rsidR="00B81627" w:rsidRPr="00CA7E5B" w:rsidRDefault="00B81627" w:rsidP="00B81627">
            <w:pPr>
              <w:pStyle w:val="NoSpacing"/>
              <w:jc w:val="both"/>
              <w:rPr>
                <w:rFonts w:asciiTheme="majorHAnsi" w:hAnsiTheme="majorHAnsi"/>
                <w:color w:val="53565A"/>
                <w:sz w:val="20"/>
                <w:lang w:val="en-US"/>
              </w:rPr>
            </w:pPr>
            <w:r w:rsidRPr="00CA7E5B">
              <w:rPr>
                <w:rFonts w:asciiTheme="majorHAnsi" w:hAnsiTheme="majorHAnsi"/>
                <w:b/>
                <w:color w:val="53565A"/>
                <w:sz w:val="20"/>
                <w:lang w:val="en-US"/>
              </w:rPr>
              <w:lastRenderedPageBreak/>
              <w:t>Case study 2:</w:t>
            </w:r>
            <w:r w:rsidRPr="00CA7E5B">
              <w:rPr>
                <w:rFonts w:asciiTheme="majorHAnsi" w:hAnsiTheme="majorHAnsi"/>
                <w:color w:val="53565A"/>
                <w:sz w:val="20"/>
                <w:lang w:val="en-US"/>
              </w:rPr>
              <w:t xml:space="preserve"> </w:t>
            </w:r>
            <w:r w:rsidR="0032357A" w:rsidRPr="00CA7E5B">
              <w:rPr>
                <w:rFonts w:asciiTheme="majorHAnsi" w:hAnsiTheme="majorHAnsi"/>
                <w:color w:val="53565A"/>
                <w:sz w:val="20"/>
                <w:lang w:val="en-US"/>
              </w:rPr>
              <w:t>Greyhounds housed in a trailer</w:t>
            </w:r>
          </w:p>
          <w:p w:rsidR="00B81627" w:rsidRPr="00CA7E5B" w:rsidRDefault="007B521C" w:rsidP="00B81627">
            <w:pPr>
              <w:pStyle w:val="NoSpacing"/>
              <w:jc w:val="both"/>
              <w:rPr>
                <w:rFonts w:asciiTheme="majorHAnsi" w:hAnsiTheme="majorHAnsi"/>
                <w:color w:val="53565A"/>
                <w:sz w:val="20"/>
                <w:lang w:val="en-US"/>
              </w:rPr>
            </w:pPr>
            <w:r>
              <w:rPr>
                <w:rFonts w:asciiTheme="majorHAnsi" w:hAnsiTheme="majorHAnsi"/>
                <w:color w:val="53565A"/>
                <w:sz w:val="20"/>
                <w:lang w:val="en-US"/>
              </w:rPr>
              <w:t xml:space="preserve"> </w:t>
            </w:r>
          </w:p>
          <w:p w:rsidR="00B81627" w:rsidRPr="00CA7E5B" w:rsidRDefault="0032357A" w:rsidP="00B81627">
            <w:pPr>
              <w:pStyle w:val="NoSpacing"/>
              <w:jc w:val="both"/>
              <w:rPr>
                <w:rFonts w:asciiTheme="majorHAnsi" w:hAnsiTheme="majorHAnsi"/>
                <w:color w:val="53565A"/>
                <w:sz w:val="20"/>
                <w:lang w:val="en-US"/>
              </w:rPr>
            </w:pPr>
            <w:r w:rsidRPr="00CA7E5B">
              <w:rPr>
                <w:rFonts w:asciiTheme="majorHAnsi" w:hAnsiTheme="majorHAnsi"/>
                <w:color w:val="53565A"/>
                <w:sz w:val="20"/>
                <w:lang w:val="en-US"/>
              </w:rPr>
              <w:t>A GRV Welfare Inspector attended a greyhound property and found two non-functional greyhound transport trailers that were being used to house greyhounds. Due to the poor condition of the trail</w:t>
            </w:r>
            <w:r w:rsidR="002B41F8" w:rsidRPr="00CA7E5B">
              <w:rPr>
                <w:rFonts w:asciiTheme="majorHAnsi" w:hAnsiTheme="majorHAnsi"/>
                <w:color w:val="53565A"/>
                <w:sz w:val="20"/>
                <w:lang w:val="en-US"/>
              </w:rPr>
              <w:t>ers, and the lack of visible tyre</w:t>
            </w:r>
            <w:r w:rsidRPr="00CA7E5B">
              <w:rPr>
                <w:rFonts w:asciiTheme="majorHAnsi" w:hAnsiTheme="majorHAnsi"/>
                <w:color w:val="53565A"/>
                <w:sz w:val="20"/>
                <w:lang w:val="en-US"/>
              </w:rPr>
              <w:t xml:space="preserve"> tracks around the trailers, the Inspector was of the opinion that the two trailers had not been moved from where they were parked for a significant period of time and were not in operational use for transporting dogs. Upon closer inspection, the Inspector observed that each of the two trailers housed 4 greyhounds, ie 8 dogs in total. While the interior compartments of the trailers were a typical size for transporting greyhounds (approximately 1000mm by 900mm), the dogs were unable to freely move about in them. In addition, there was no fresh water supplied to the dogs in the trailers, and there was only very limited bedding. Outcome: The Welfare Inspector immediately ordered the owner to remove the greyhounds from the trailers and arrange appropriate housing arrangements for them. The owner was also directed to place kennels in the exercise and empty out yard areas, in addition to non-spillable water containers, and that this direction was to be complied with immediately. Subsequently the trailers were removed from the property, and the property has been visited six times, with a significant improvement in general conditions, and full compliance with the order and directions. The owner was prosecuted by the Racing Appeals and Disciplinary Board (RADB) and disqualified from the industry for 4 months.</w:t>
            </w:r>
          </w:p>
          <w:p w:rsidR="0083588F" w:rsidRDefault="0083588F" w:rsidP="00B81627">
            <w:pPr>
              <w:pStyle w:val="NoSpacing"/>
              <w:jc w:val="both"/>
              <w:rPr>
                <w:rFonts w:asciiTheme="majorHAnsi" w:hAnsiTheme="majorHAnsi"/>
                <w:lang w:val="en-US"/>
              </w:rPr>
            </w:pPr>
          </w:p>
        </w:tc>
      </w:tr>
    </w:tbl>
    <w:p w:rsidR="00B81627" w:rsidRDefault="00B81627" w:rsidP="00A53D75">
      <w:pPr>
        <w:pStyle w:val="NoSpacing"/>
        <w:rPr>
          <w:rFonts w:asciiTheme="majorHAnsi" w:hAnsiTheme="majorHAnsi"/>
          <w:lang w:val="en-US"/>
        </w:rPr>
      </w:pPr>
    </w:p>
    <w:tbl>
      <w:tblPr>
        <w:tblpPr w:leftFromText="180" w:rightFromText="180" w:vertAnchor="text" w:horzAnchor="margin" w:tblpY="84"/>
        <w:tblW w:w="0" w:type="auto"/>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8212"/>
      </w:tblGrid>
      <w:tr w:rsidR="00B81627" w:rsidTr="00DA7E15">
        <w:trPr>
          <w:trHeight w:val="5357"/>
        </w:trPr>
        <w:tc>
          <w:tcPr>
            <w:tcW w:w="8212" w:type="dxa"/>
            <w:shd w:val="clear" w:color="auto" w:fill="DBE5F1" w:themeFill="accent1" w:themeFillTint="33"/>
          </w:tcPr>
          <w:p w:rsidR="00B81627" w:rsidRPr="00CA7E5B" w:rsidRDefault="00B81627" w:rsidP="00B81627">
            <w:pPr>
              <w:pStyle w:val="NoSpacing"/>
              <w:jc w:val="both"/>
              <w:rPr>
                <w:rFonts w:asciiTheme="majorHAnsi" w:hAnsiTheme="majorHAnsi"/>
                <w:color w:val="53565A"/>
                <w:sz w:val="20"/>
                <w:szCs w:val="20"/>
                <w:lang w:val="en-US"/>
              </w:rPr>
            </w:pPr>
            <w:r w:rsidRPr="00CA7E5B">
              <w:rPr>
                <w:rFonts w:asciiTheme="majorHAnsi" w:hAnsiTheme="majorHAnsi"/>
                <w:b/>
                <w:color w:val="53565A"/>
                <w:sz w:val="20"/>
                <w:szCs w:val="20"/>
                <w:lang w:val="en-US"/>
              </w:rPr>
              <w:t>Case 3:</w:t>
            </w:r>
            <w:r w:rsidRPr="00CA7E5B">
              <w:rPr>
                <w:rFonts w:asciiTheme="majorHAnsi" w:hAnsiTheme="majorHAnsi"/>
                <w:color w:val="53565A"/>
                <w:sz w:val="20"/>
                <w:szCs w:val="20"/>
                <w:lang w:val="en-US"/>
              </w:rPr>
              <w:t xml:space="preserve"> </w:t>
            </w:r>
            <w:r w:rsidR="0032357A" w:rsidRPr="00CA7E5B">
              <w:rPr>
                <w:rFonts w:asciiTheme="majorHAnsi" w:hAnsiTheme="majorHAnsi"/>
                <w:color w:val="53565A"/>
                <w:sz w:val="20"/>
                <w:szCs w:val="20"/>
                <w:lang w:val="en-US"/>
              </w:rPr>
              <w:t>Greyhounds in unsuitable living conditions</w:t>
            </w:r>
            <w:r w:rsidRPr="00CA7E5B">
              <w:rPr>
                <w:rFonts w:asciiTheme="majorHAnsi" w:hAnsiTheme="majorHAnsi"/>
                <w:color w:val="53565A"/>
                <w:sz w:val="20"/>
                <w:szCs w:val="20"/>
                <w:lang w:val="en-US"/>
              </w:rPr>
              <w:t xml:space="preserve"> </w:t>
            </w:r>
          </w:p>
          <w:p w:rsidR="00B81627" w:rsidRPr="00CA7E5B" w:rsidRDefault="007B521C" w:rsidP="00B81627">
            <w:pPr>
              <w:pStyle w:val="NoSpacing"/>
              <w:jc w:val="both"/>
              <w:rPr>
                <w:rFonts w:asciiTheme="majorHAnsi" w:hAnsiTheme="majorHAnsi"/>
                <w:color w:val="53565A"/>
                <w:sz w:val="20"/>
                <w:szCs w:val="20"/>
                <w:lang w:val="en-US"/>
              </w:rPr>
            </w:pPr>
            <w:r>
              <w:rPr>
                <w:rFonts w:asciiTheme="majorHAnsi" w:hAnsiTheme="majorHAnsi"/>
                <w:color w:val="53565A"/>
                <w:sz w:val="20"/>
                <w:szCs w:val="20"/>
                <w:lang w:val="en-US"/>
              </w:rPr>
              <w:t xml:space="preserve"> </w:t>
            </w:r>
          </w:p>
          <w:p w:rsidR="00B81627" w:rsidRPr="00CA7E5B" w:rsidRDefault="0032357A" w:rsidP="00B81627">
            <w:pPr>
              <w:pStyle w:val="NoSpacing"/>
              <w:jc w:val="both"/>
              <w:rPr>
                <w:rFonts w:asciiTheme="majorHAnsi" w:hAnsiTheme="majorHAnsi"/>
                <w:color w:val="53565A"/>
                <w:sz w:val="20"/>
                <w:szCs w:val="20"/>
                <w:lang w:val="en-US"/>
              </w:rPr>
            </w:pPr>
            <w:r w:rsidRPr="00CA7E5B">
              <w:rPr>
                <w:rFonts w:asciiTheme="majorHAnsi" w:hAnsiTheme="majorHAnsi"/>
                <w:color w:val="53565A"/>
                <w:sz w:val="20"/>
                <w:szCs w:val="20"/>
                <w:lang w:val="en-US"/>
              </w:rPr>
              <w:t>A GRV Welfare Inspector attended a greyhound property and noted that greyhounds were being housed in substandard conditions.</w:t>
            </w:r>
            <w:r w:rsidR="007B521C">
              <w:rPr>
                <w:rFonts w:asciiTheme="majorHAnsi" w:hAnsiTheme="majorHAnsi"/>
                <w:color w:val="53565A"/>
                <w:sz w:val="20"/>
                <w:szCs w:val="20"/>
                <w:lang w:val="en-US"/>
              </w:rPr>
              <w:t xml:space="preserve"> </w:t>
            </w:r>
            <w:r w:rsidRPr="00CA7E5B">
              <w:rPr>
                <w:rFonts w:asciiTheme="majorHAnsi" w:hAnsiTheme="majorHAnsi"/>
                <w:color w:val="53565A"/>
                <w:sz w:val="20"/>
                <w:szCs w:val="20"/>
                <w:lang w:val="en-US"/>
              </w:rPr>
              <w:t>It was evident that there were too many greyhounds housed at the facility relative to the area available. There were numerous housing areas with no appropriate kennels, and some greyhounds were housed in a transport trailer. Kennels were constructed with dirt floors, with a buildup of debris that was not able to be cleaned properly. In a kennel area supplied to puppies, there were no sides and only a roof. In addition, there were outside areas where there was inadequate shade for the greyhounds. The race kennels internally and externally did not have compliant wire mesh which meant that greyhounds were able to access each other through the wire and, as a result compromised the welfare of every greyhound housed at the facility. The water containers had not been cleaned out for a period of time and the available water was dirty. Food on the ground was decaying and had not been placed in appropriate containers. Overall the general state of the facility was completely unacceptable. Two greyhounds required veterinary attention for wounds, once of which was considered potentially serious and urgent. Outcome: Because the owner had failed to provide appropriate veterinary care, the Inspector ordered the owner to take the two greyhounds to a veterinarian immediately. This order was complied with and a veterinary report supplied to GRV.</w:t>
            </w:r>
            <w:r w:rsidR="007B521C">
              <w:rPr>
                <w:rFonts w:asciiTheme="majorHAnsi" w:hAnsiTheme="majorHAnsi"/>
                <w:color w:val="53565A"/>
                <w:sz w:val="20"/>
                <w:szCs w:val="20"/>
                <w:lang w:val="en-US"/>
              </w:rPr>
              <w:t xml:space="preserve"> </w:t>
            </w:r>
            <w:r w:rsidRPr="00CA7E5B">
              <w:rPr>
                <w:rFonts w:asciiTheme="majorHAnsi" w:hAnsiTheme="majorHAnsi"/>
                <w:color w:val="53565A"/>
                <w:sz w:val="20"/>
                <w:szCs w:val="20"/>
                <w:lang w:val="en-US"/>
              </w:rPr>
              <w:t>Subsequently the property has been visited four times, with a significant improvement in general conditions, and</w:t>
            </w:r>
            <w:r w:rsidR="007B521C">
              <w:rPr>
                <w:rFonts w:asciiTheme="majorHAnsi" w:hAnsiTheme="majorHAnsi"/>
                <w:color w:val="53565A"/>
                <w:sz w:val="20"/>
                <w:szCs w:val="20"/>
                <w:lang w:val="en-US"/>
              </w:rPr>
              <w:t xml:space="preserve"> </w:t>
            </w:r>
            <w:r w:rsidRPr="00CA7E5B">
              <w:rPr>
                <w:rFonts w:asciiTheme="majorHAnsi" w:hAnsiTheme="majorHAnsi"/>
                <w:color w:val="53565A"/>
                <w:sz w:val="20"/>
                <w:szCs w:val="20"/>
                <w:lang w:val="en-US"/>
              </w:rPr>
              <w:t>full compliance with the order and directions. The responsible individual was prosecuted by the Racing Appeals and Disciplinary Board (RADB) and disqualified from the industry for 9 months.</w:t>
            </w:r>
          </w:p>
        </w:tc>
      </w:tr>
    </w:tbl>
    <w:p w:rsidR="00B81627" w:rsidRDefault="00B81627" w:rsidP="00A53D75">
      <w:pPr>
        <w:pStyle w:val="NoSpacing"/>
        <w:rPr>
          <w:rFonts w:asciiTheme="majorHAnsi" w:hAnsiTheme="majorHAnsi"/>
          <w:lang w:val="en-US"/>
        </w:rPr>
      </w:pPr>
    </w:p>
    <w:p w:rsidR="007A4C94" w:rsidRDefault="007A4C94" w:rsidP="00984171">
      <w:pPr>
        <w:jc w:val="both"/>
      </w:pPr>
      <w:r>
        <w:t>The proposed code will allow for more rigorous en</w:t>
      </w:r>
      <w:r w:rsidR="00033C72">
        <w:t>forcement of</w:t>
      </w:r>
      <w:r>
        <w:t xml:space="preserve"> the issues identified in the case studies above. GRV will be able to take action against participants in a criminal jurisdiction with </w:t>
      </w:r>
      <w:r w:rsidR="00033C72">
        <w:t>heavy financial penalties able to be imposed by the Magistrates Court.</w:t>
      </w:r>
    </w:p>
    <w:p w:rsidR="007A4C94" w:rsidRDefault="007A4C94" w:rsidP="00984171">
      <w:pPr>
        <w:jc w:val="both"/>
      </w:pPr>
    </w:p>
    <w:p w:rsidR="00984171" w:rsidRDefault="008464B3" w:rsidP="00984171">
      <w:pPr>
        <w:jc w:val="both"/>
      </w:pPr>
      <w:r w:rsidRPr="008464B3">
        <w:t xml:space="preserve">Based on </w:t>
      </w:r>
      <w:r w:rsidR="00114B0E">
        <w:t xml:space="preserve">estimated </w:t>
      </w:r>
      <w:r w:rsidRPr="008464B3">
        <w:t>compliance data provid</w:t>
      </w:r>
      <w:r w:rsidR="00BB046E">
        <w:t>ed by GRV and DEDJTR in Table 11</w:t>
      </w:r>
      <w:r w:rsidRPr="008464B3">
        <w:t xml:space="preserve"> of</w:t>
      </w:r>
      <w:r w:rsidR="001D3F4C">
        <w:t xml:space="preserve"> this RIS, it is assumed that 32</w:t>
      </w:r>
      <w:r w:rsidRPr="008464B3">
        <w:t xml:space="preserve">% of operators, with 6 to 30 dogs, do not comply because of cultural </w:t>
      </w:r>
      <w:r w:rsidR="001D3F4C">
        <w:t>or age factors. An additional 64</w:t>
      </w:r>
      <w:r w:rsidRPr="008464B3">
        <w:t xml:space="preserve">% of small participants across the industry do not comply with current legislation because they lack the financial means and capability or are ill-informed </w:t>
      </w:r>
      <w:r w:rsidRPr="008464B3">
        <w:lastRenderedPageBreak/>
        <w:t>or lack sufficient knowledge.</w:t>
      </w:r>
      <w:r w:rsidR="007B521C">
        <w:t xml:space="preserve"> </w:t>
      </w:r>
      <w:r w:rsidR="00FC35D7">
        <w:t>Consequently, a</w:t>
      </w:r>
      <w:r w:rsidR="00630887">
        <w:t>s shown in Table 12</w:t>
      </w:r>
      <w:r w:rsidR="00FC35D7" w:rsidRPr="008464B3">
        <w:t xml:space="preserve">, </w:t>
      </w:r>
      <w:r w:rsidR="00114B0E">
        <w:t xml:space="preserve">for the purpose of this statement </w:t>
      </w:r>
      <w:r w:rsidR="00FC35D7">
        <w:t xml:space="preserve">an estimated </w:t>
      </w:r>
      <w:r w:rsidR="001D3F4C">
        <w:t>67.69</w:t>
      </w:r>
      <w:r w:rsidR="00FC35D7" w:rsidRPr="008464B3">
        <w:t xml:space="preserve">% of 2,247 ‘unique’ </w:t>
      </w:r>
      <w:r w:rsidR="00FC35D7">
        <w:t xml:space="preserve">registered participants are </w:t>
      </w:r>
      <w:r w:rsidR="001D3F4C">
        <w:t xml:space="preserve">estimated </w:t>
      </w:r>
      <w:r w:rsidR="00FC35D7">
        <w:t xml:space="preserve">to be </w:t>
      </w:r>
      <w:r w:rsidR="00E60C87">
        <w:t xml:space="preserve">effectively </w:t>
      </w:r>
      <w:r w:rsidR="00FC35D7">
        <w:t>non-compliant</w:t>
      </w:r>
      <w:r w:rsidR="00984171">
        <w:t>.</w:t>
      </w:r>
      <w:r w:rsidR="00FC35D7">
        <w:t xml:space="preserve"> </w:t>
      </w:r>
      <w:r w:rsidR="00984171" w:rsidRPr="008464B3">
        <w:t xml:space="preserve">Based on these assumptions, it is determined that </w:t>
      </w:r>
      <w:r w:rsidR="00984171">
        <w:t>around 1,521</w:t>
      </w:r>
      <w:r w:rsidR="00984171" w:rsidRPr="008464B3">
        <w:t xml:space="preserve"> ‘unique’ registered participants are associated with inadequate care an</w:t>
      </w:r>
      <w:r w:rsidR="00984171">
        <w:t>d monitoring, as shown in Table 12</w:t>
      </w:r>
      <w:r w:rsidR="00984171" w:rsidRPr="008464B3">
        <w:t>.</w:t>
      </w:r>
      <w:r w:rsidR="00984171" w:rsidRPr="00984171">
        <w:t xml:space="preserve"> </w:t>
      </w:r>
    </w:p>
    <w:p w:rsidR="002A23BE" w:rsidRDefault="002A23BE" w:rsidP="002A23BE">
      <w:pPr>
        <w:jc w:val="center"/>
        <w:rPr>
          <w:b/>
          <w:sz w:val="20"/>
          <w:szCs w:val="20"/>
        </w:rPr>
      </w:pPr>
    </w:p>
    <w:p w:rsidR="002A23BE" w:rsidRPr="008464B3" w:rsidRDefault="002A23BE" w:rsidP="002A23BE">
      <w:pPr>
        <w:jc w:val="center"/>
        <w:rPr>
          <w:b/>
          <w:sz w:val="20"/>
          <w:szCs w:val="20"/>
        </w:rPr>
      </w:pPr>
      <w:r>
        <w:rPr>
          <w:b/>
          <w:sz w:val="20"/>
          <w:szCs w:val="20"/>
        </w:rPr>
        <w:t xml:space="preserve">Table 12: Estimated No. </w:t>
      </w:r>
      <w:r w:rsidRPr="008464B3">
        <w:rPr>
          <w:b/>
          <w:sz w:val="20"/>
          <w:szCs w:val="20"/>
        </w:rPr>
        <w:t>registered</w:t>
      </w:r>
      <w:r>
        <w:rPr>
          <w:b/>
          <w:sz w:val="20"/>
          <w:szCs w:val="20"/>
        </w:rPr>
        <w:t xml:space="preserve"> unique</w:t>
      </w:r>
      <w:r w:rsidRPr="008464B3">
        <w:rPr>
          <w:b/>
          <w:sz w:val="20"/>
          <w:szCs w:val="20"/>
        </w:rPr>
        <w:t xml:space="preserve"> participants asso</w:t>
      </w:r>
      <w:r>
        <w:rPr>
          <w:b/>
          <w:sz w:val="20"/>
          <w:szCs w:val="20"/>
        </w:rPr>
        <w:t xml:space="preserve">ciated with greyhounds </w:t>
      </w:r>
      <w:r w:rsidRPr="008464B3">
        <w:rPr>
          <w:b/>
          <w:sz w:val="20"/>
          <w:szCs w:val="20"/>
        </w:rPr>
        <w:t xml:space="preserve">at </w:t>
      </w:r>
      <w:r>
        <w:rPr>
          <w:b/>
          <w:sz w:val="20"/>
          <w:szCs w:val="20"/>
        </w:rPr>
        <w:t xml:space="preserve">potential welfare </w:t>
      </w:r>
      <w:r w:rsidRPr="008464B3">
        <w:rPr>
          <w:b/>
          <w:sz w:val="20"/>
          <w:szCs w:val="20"/>
        </w:rPr>
        <w:t>risk due to inadequate care and monitoring 2015-16</w:t>
      </w:r>
      <w:r>
        <w:rPr>
          <w:rStyle w:val="FootnoteReference"/>
          <w:b/>
          <w:sz w:val="20"/>
          <w:szCs w:val="20"/>
        </w:rPr>
        <w:footnoteReference w:id="91"/>
      </w:r>
    </w:p>
    <w:p w:rsidR="002A23BE" w:rsidRPr="008464B3" w:rsidRDefault="002A23BE" w:rsidP="002A23BE">
      <w:pPr>
        <w:jc w:val="center"/>
        <w:rPr>
          <w:b/>
          <w:sz w:val="20"/>
          <w:szCs w:val="20"/>
        </w:rPr>
      </w:pPr>
    </w:p>
    <w:tbl>
      <w:tblPr>
        <w:tblW w:w="8111" w:type="dxa"/>
        <w:tblLook w:val="04A0" w:firstRow="1" w:lastRow="0" w:firstColumn="1" w:lastColumn="0" w:noHBand="0" w:noVBand="1"/>
      </w:tblPr>
      <w:tblGrid>
        <w:gridCol w:w="1560"/>
        <w:gridCol w:w="1417"/>
        <w:gridCol w:w="1710"/>
        <w:gridCol w:w="1051"/>
        <w:gridCol w:w="1207"/>
        <w:gridCol w:w="1166"/>
      </w:tblGrid>
      <w:tr w:rsidR="002A23BE" w:rsidRPr="00CA7E5B" w:rsidTr="008C776B">
        <w:trPr>
          <w:trHeight w:val="556"/>
          <w:tblHeader/>
        </w:trPr>
        <w:tc>
          <w:tcPr>
            <w:tcW w:w="1560" w:type="dxa"/>
            <w:tcBorders>
              <w:top w:val="single" w:sz="4" w:space="0" w:color="1F4E78"/>
              <w:left w:val="nil"/>
              <w:bottom w:val="double" w:sz="6" w:space="0" w:color="1F4E78"/>
              <w:right w:val="nil"/>
            </w:tcBorders>
            <w:shd w:val="clear" w:color="000000" w:fill="FFFFFF"/>
            <w:noWrap/>
            <w:vAlign w:val="center"/>
            <w:hideMark/>
          </w:tcPr>
          <w:p w:rsidR="002A23BE" w:rsidRPr="00CA7E5B" w:rsidRDefault="002A23BE" w:rsidP="008C776B">
            <w:pPr>
              <w:rPr>
                <w:rFonts w:eastAsia="Times New Roman" w:cs="Calibri"/>
                <w:b/>
                <w:bCs/>
                <w:color w:val="53565A"/>
                <w:sz w:val="20"/>
                <w:szCs w:val="20"/>
                <w:lang w:eastAsia="en-AU"/>
              </w:rPr>
            </w:pPr>
            <w:r w:rsidRPr="00CA7E5B">
              <w:rPr>
                <w:rFonts w:eastAsia="Times New Roman" w:cs="Calibri"/>
                <w:b/>
                <w:bCs/>
                <w:color w:val="53565A"/>
                <w:sz w:val="20"/>
                <w:szCs w:val="20"/>
                <w:lang w:eastAsia="en-AU"/>
              </w:rPr>
              <w:t>Category of participants</w:t>
            </w:r>
          </w:p>
        </w:tc>
        <w:tc>
          <w:tcPr>
            <w:tcW w:w="1417" w:type="dxa"/>
            <w:tcBorders>
              <w:top w:val="single" w:sz="4" w:space="0" w:color="1F4E78"/>
              <w:left w:val="nil"/>
              <w:bottom w:val="double" w:sz="6" w:space="0" w:color="1F4E78"/>
              <w:right w:val="nil"/>
            </w:tcBorders>
            <w:shd w:val="clear" w:color="000000" w:fill="FFFFFF"/>
            <w:noWrap/>
            <w:vAlign w:val="center"/>
            <w:hideMark/>
          </w:tcPr>
          <w:p w:rsidR="002A23BE" w:rsidRPr="00CA7E5B" w:rsidRDefault="002A23BE" w:rsidP="008C776B">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32% of participants with 6 to 30 dogs (culture)</w:t>
            </w:r>
          </w:p>
        </w:tc>
        <w:tc>
          <w:tcPr>
            <w:tcW w:w="1710" w:type="dxa"/>
            <w:tcBorders>
              <w:top w:val="single" w:sz="4" w:space="0" w:color="1F4E78"/>
              <w:left w:val="nil"/>
              <w:bottom w:val="double" w:sz="6" w:space="0" w:color="1F4E78"/>
              <w:right w:val="nil"/>
            </w:tcBorders>
            <w:shd w:val="clear" w:color="000000" w:fill="FFFFFF"/>
            <w:vAlign w:val="center"/>
            <w:hideMark/>
          </w:tcPr>
          <w:p w:rsidR="002A23BE" w:rsidRPr="00CA7E5B" w:rsidRDefault="002A23BE" w:rsidP="008C776B">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64% of all small participants (lack of finance or knowledge)</w:t>
            </w:r>
          </w:p>
        </w:tc>
        <w:tc>
          <w:tcPr>
            <w:tcW w:w="1051" w:type="dxa"/>
            <w:tcBorders>
              <w:top w:val="single" w:sz="4" w:space="0" w:color="1F4E78"/>
              <w:left w:val="nil"/>
              <w:bottom w:val="double" w:sz="6" w:space="0" w:color="1F4E78"/>
              <w:right w:val="nil"/>
            </w:tcBorders>
            <w:shd w:val="clear" w:color="000000" w:fill="FFFFFF"/>
            <w:noWrap/>
            <w:vAlign w:val="center"/>
            <w:hideMark/>
          </w:tcPr>
          <w:p w:rsidR="002A23BE" w:rsidRPr="00CA7E5B" w:rsidRDefault="002A23BE" w:rsidP="008C776B">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Total non-compliant</w:t>
            </w:r>
          </w:p>
        </w:tc>
        <w:tc>
          <w:tcPr>
            <w:tcW w:w="1207" w:type="dxa"/>
            <w:tcBorders>
              <w:top w:val="single" w:sz="4" w:space="0" w:color="1F4E78"/>
              <w:left w:val="nil"/>
              <w:bottom w:val="double" w:sz="6" w:space="0" w:color="1F4E78"/>
              <w:right w:val="nil"/>
            </w:tcBorders>
            <w:shd w:val="clear" w:color="000000" w:fill="FFFFFF"/>
            <w:vAlign w:val="center"/>
            <w:hideMark/>
          </w:tcPr>
          <w:p w:rsidR="002A23BE" w:rsidRPr="00CA7E5B" w:rsidRDefault="002A23BE" w:rsidP="008C776B">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Avg. No. participants</w:t>
            </w:r>
          </w:p>
        </w:tc>
        <w:tc>
          <w:tcPr>
            <w:tcW w:w="1166" w:type="dxa"/>
            <w:tcBorders>
              <w:top w:val="single" w:sz="4" w:space="0" w:color="1F4E78"/>
              <w:left w:val="nil"/>
              <w:bottom w:val="double" w:sz="6" w:space="0" w:color="1F4E78"/>
              <w:right w:val="nil"/>
            </w:tcBorders>
            <w:shd w:val="clear" w:color="000000" w:fill="FFFFFF"/>
            <w:vAlign w:val="center"/>
            <w:hideMark/>
          </w:tcPr>
          <w:p w:rsidR="002A23BE" w:rsidRPr="00CA7E5B" w:rsidRDefault="002A23BE" w:rsidP="008C776B">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 of non-compliance</w:t>
            </w:r>
          </w:p>
        </w:tc>
      </w:tr>
      <w:tr w:rsidR="002A23BE" w:rsidRPr="008464B3" w:rsidTr="008C776B">
        <w:trPr>
          <w:trHeight w:val="25"/>
        </w:trPr>
        <w:tc>
          <w:tcPr>
            <w:tcW w:w="1560" w:type="dxa"/>
            <w:tcBorders>
              <w:top w:val="nil"/>
              <w:left w:val="nil"/>
              <w:bottom w:val="nil"/>
              <w:right w:val="nil"/>
            </w:tcBorders>
            <w:shd w:val="clear" w:color="000000" w:fill="FFFFFF"/>
            <w:noWrap/>
            <w:vAlign w:val="bottom"/>
            <w:hideMark/>
          </w:tcPr>
          <w:p w:rsidR="002A23BE" w:rsidRPr="008464B3" w:rsidRDefault="002A23BE" w:rsidP="008C776B">
            <w:pPr>
              <w:rPr>
                <w:rFonts w:eastAsia="Times New Roman" w:cs="Calibri"/>
                <w:sz w:val="20"/>
                <w:szCs w:val="20"/>
                <w:lang w:eastAsia="en-AU"/>
              </w:rPr>
            </w:pPr>
            <w:r w:rsidRPr="008464B3">
              <w:rPr>
                <w:rFonts w:eastAsia="Times New Roman" w:cs="Calibri"/>
                <w:sz w:val="20"/>
                <w:szCs w:val="20"/>
                <w:lang w:eastAsia="en-AU"/>
              </w:rPr>
              <w:t>Large breeders</w:t>
            </w:r>
          </w:p>
        </w:tc>
        <w:tc>
          <w:tcPr>
            <w:tcW w:w="1417"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19</w:t>
            </w:r>
          </w:p>
        </w:tc>
        <w:tc>
          <w:tcPr>
            <w:tcW w:w="1710"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0</w:t>
            </w:r>
          </w:p>
        </w:tc>
        <w:tc>
          <w:tcPr>
            <w:tcW w:w="1051"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19</w:t>
            </w:r>
          </w:p>
        </w:tc>
        <w:tc>
          <w:tcPr>
            <w:tcW w:w="1207" w:type="dxa"/>
            <w:tcBorders>
              <w:top w:val="nil"/>
              <w:left w:val="nil"/>
              <w:bottom w:val="nil"/>
              <w:right w:val="nil"/>
            </w:tcBorders>
            <w:shd w:val="clear" w:color="000000" w:fill="FFFFFF"/>
            <w:vAlign w:val="bottom"/>
            <w:hideMark/>
          </w:tcPr>
          <w:p w:rsidR="002A23BE" w:rsidRPr="008464B3" w:rsidRDefault="002A23BE" w:rsidP="008C776B">
            <w:pPr>
              <w:jc w:val="center"/>
              <w:rPr>
                <w:rFonts w:eastAsia="Times New Roman" w:cs="Calibri"/>
                <w:sz w:val="20"/>
                <w:szCs w:val="20"/>
                <w:lang w:eastAsia="en-AU"/>
              </w:rPr>
            </w:pPr>
            <w:r w:rsidRPr="008464B3">
              <w:rPr>
                <w:rFonts w:eastAsia="Times New Roman" w:cs="Calibri"/>
                <w:sz w:val="20"/>
                <w:szCs w:val="20"/>
                <w:lang w:eastAsia="en-AU"/>
              </w:rPr>
              <w:t>58</w:t>
            </w:r>
          </w:p>
        </w:tc>
        <w:tc>
          <w:tcPr>
            <w:tcW w:w="1166"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32.00%</w:t>
            </w:r>
          </w:p>
        </w:tc>
      </w:tr>
      <w:tr w:rsidR="002A23BE" w:rsidRPr="008464B3" w:rsidTr="008C776B">
        <w:trPr>
          <w:trHeight w:val="60"/>
        </w:trPr>
        <w:tc>
          <w:tcPr>
            <w:tcW w:w="1560" w:type="dxa"/>
            <w:tcBorders>
              <w:top w:val="nil"/>
              <w:left w:val="nil"/>
              <w:bottom w:val="nil"/>
              <w:right w:val="nil"/>
            </w:tcBorders>
            <w:shd w:val="clear" w:color="000000" w:fill="FFFFFF"/>
            <w:noWrap/>
            <w:vAlign w:val="bottom"/>
            <w:hideMark/>
          </w:tcPr>
          <w:p w:rsidR="002A23BE" w:rsidRPr="008464B3" w:rsidRDefault="002A23BE" w:rsidP="008C776B">
            <w:pPr>
              <w:rPr>
                <w:rFonts w:eastAsia="Times New Roman" w:cs="Calibri"/>
                <w:sz w:val="20"/>
                <w:szCs w:val="20"/>
                <w:lang w:eastAsia="en-AU"/>
              </w:rPr>
            </w:pPr>
            <w:r w:rsidRPr="008464B3">
              <w:rPr>
                <w:rFonts w:eastAsia="Times New Roman" w:cs="Calibri"/>
                <w:sz w:val="20"/>
                <w:szCs w:val="20"/>
                <w:lang w:eastAsia="en-AU"/>
              </w:rPr>
              <w:t>Small breeders</w:t>
            </w:r>
          </w:p>
        </w:tc>
        <w:tc>
          <w:tcPr>
            <w:tcW w:w="1417"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62</w:t>
            </w:r>
          </w:p>
        </w:tc>
        <w:tc>
          <w:tcPr>
            <w:tcW w:w="1710"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310</w:t>
            </w:r>
          </w:p>
        </w:tc>
        <w:tc>
          <w:tcPr>
            <w:tcW w:w="1051"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372</w:t>
            </w:r>
          </w:p>
        </w:tc>
        <w:tc>
          <w:tcPr>
            <w:tcW w:w="1207" w:type="dxa"/>
            <w:tcBorders>
              <w:top w:val="nil"/>
              <w:left w:val="nil"/>
              <w:bottom w:val="nil"/>
              <w:right w:val="nil"/>
            </w:tcBorders>
            <w:shd w:val="clear" w:color="000000" w:fill="FFFFFF"/>
            <w:vAlign w:val="bottom"/>
            <w:hideMark/>
          </w:tcPr>
          <w:p w:rsidR="002A23BE" w:rsidRPr="008464B3" w:rsidRDefault="002A23BE" w:rsidP="008C776B">
            <w:pPr>
              <w:jc w:val="center"/>
              <w:rPr>
                <w:rFonts w:eastAsia="Times New Roman" w:cs="Calibri"/>
                <w:sz w:val="20"/>
                <w:szCs w:val="20"/>
                <w:lang w:eastAsia="en-AU"/>
              </w:rPr>
            </w:pPr>
            <w:r w:rsidRPr="008464B3">
              <w:rPr>
                <w:rFonts w:eastAsia="Times New Roman" w:cs="Calibri"/>
                <w:sz w:val="20"/>
                <w:szCs w:val="20"/>
                <w:lang w:eastAsia="en-AU"/>
              </w:rPr>
              <w:t>484</w:t>
            </w:r>
          </w:p>
        </w:tc>
        <w:tc>
          <w:tcPr>
            <w:tcW w:w="1166"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76.79%</w:t>
            </w:r>
          </w:p>
        </w:tc>
      </w:tr>
      <w:tr w:rsidR="002A23BE" w:rsidRPr="008464B3" w:rsidTr="008C776B">
        <w:trPr>
          <w:trHeight w:val="60"/>
        </w:trPr>
        <w:tc>
          <w:tcPr>
            <w:tcW w:w="1560" w:type="dxa"/>
            <w:tcBorders>
              <w:top w:val="nil"/>
              <w:left w:val="nil"/>
              <w:bottom w:val="nil"/>
              <w:right w:val="nil"/>
            </w:tcBorders>
            <w:shd w:val="clear" w:color="000000" w:fill="FFFFFF"/>
            <w:noWrap/>
            <w:vAlign w:val="bottom"/>
            <w:hideMark/>
          </w:tcPr>
          <w:p w:rsidR="002A23BE" w:rsidRPr="008464B3" w:rsidRDefault="002A23BE" w:rsidP="008C776B">
            <w:pPr>
              <w:rPr>
                <w:rFonts w:eastAsia="Times New Roman" w:cs="Calibri"/>
                <w:sz w:val="20"/>
                <w:szCs w:val="20"/>
                <w:lang w:eastAsia="en-AU"/>
              </w:rPr>
            </w:pPr>
            <w:r w:rsidRPr="008464B3">
              <w:rPr>
                <w:rFonts w:eastAsia="Times New Roman" w:cs="Calibri"/>
                <w:sz w:val="20"/>
                <w:szCs w:val="20"/>
                <w:lang w:eastAsia="en-AU"/>
              </w:rPr>
              <w:t>Large trainers</w:t>
            </w:r>
          </w:p>
        </w:tc>
        <w:tc>
          <w:tcPr>
            <w:tcW w:w="1417"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82</w:t>
            </w:r>
          </w:p>
        </w:tc>
        <w:tc>
          <w:tcPr>
            <w:tcW w:w="1710"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0</w:t>
            </w:r>
          </w:p>
        </w:tc>
        <w:tc>
          <w:tcPr>
            <w:tcW w:w="1051"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82</w:t>
            </w:r>
          </w:p>
        </w:tc>
        <w:tc>
          <w:tcPr>
            <w:tcW w:w="1207" w:type="dxa"/>
            <w:tcBorders>
              <w:top w:val="nil"/>
              <w:left w:val="nil"/>
              <w:bottom w:val="nil"/>
              <w:right w:val="nil"/>
            </w:tcBorders>
            <w:shd w:val="clear" w:color="000000" w:fill="FFFFFF"/>
            <w:vAlign w:val="bottom"/>
            <w:hideMark/>
          </w:tcPr>
          <w:p w:rsidR="002A23BE" w:rsidRPr="008464B3" w:rsidRDefault="002A23BE" w:rsidP="008C776B">
            <w:pPr>
              <w:jc w:val="center"/>
              <w:rPr>
                <w:rFonts w:eastAsia="Times New Roman" w:cs="Calibri"/>
                <w:sz w:val="20"/>
                <w:szCs w:val="20"/>
                <w:lang w:eastAsia="en-AU"/>
              </w:rPr>
            </w:pPr>
            <w:r w:rsidRPr="008464B3">
              <w:rPr>
                <w:rFonts w:eastAsia="Times New Roman" w:cs="Calibri"/>
                <w:sz w:val="20"/>
                <w:szCs w:val="20"/>
                <w:lang w:eastAsia="en-AU"/>
              </w:rPr>
              <w:t>255</w:t>
            </w:r>
          </w:p>
        </w:tc>
        <w:tc>
          <w:tcPr>
            <w:tcW w:w="1166" w:type="dxa"/>
            <w:tcBorders>
              <w:top w:val="nil"/>
              <w:left w:val="nil"/>
              <w:bottom w:val="nil"/>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32.00%</w:t>
            </w:r>
          </w:p>
        </w:tc>
      </w:tr>
      <w:tr w:rsidR="002A23BE" w:rsidRPr="008464B3" w:rsidTr="008C776B">
        <w:trPr>
          <w:trHeight w:val="60"/>
        </w:trPr>
        <w:tc>
          <w:tcPr>
            <w:tcW w:w="1560" w:type="dxa"/>
            <w:tcBorders>
              <w:top w:val="nil"/>
              <w:left w:val="nil"/>
              <w:bottom w:val="single" w:sz="4" w:space="0" w:color="1F4E78"/>
              <w:right w:val="nil"/>
            </w:tcBorders>
            <w:shd w:val="clear" w:color="000000" w:fill="FFFFFF"/>
            <w:noWrap/>
            <w:vAlign w:val="bottom"/>
            <w:hideMark/>
          </w:tcPr>
          <w:p w:rsidR="002A23BE" w:rsidRPr="008464B3" w:rsidRDefault="002A23BE" w:rsidP="008C776B">
            <w:pPr>
              <w:rPr>
                <w:rFonts w:eastAsia="Times New Roman" w:cs="Calibri"/>
                <w:sz w:val="20"/>
                <w:szCs w:val="20"/>
                <w:lang w:eastAsia="en-AU"/>
              </w:rPr>
            </w:pPr>
            <w:r w:rsidRPr="008464B3">
              <w:rPr>
                <w:rFonts w:eastAsia="Times New Roman" w:cs="Calibri"/>
                <w:sz w:val="20"/>
                <w:szCs w:val="20"/>
                <w:lang w:eastAsia="en-AU"/>
              </w:rPr>
              <w:t>Small trainers</w:t>
            </w:r>
          </w:p>
        </w:tc>
        <w:tc>
          <w:tcPr>
            <w:tcW w:w="1417" w:type="dxa"/>
            <w:tcBorders>
              <w:top w:val="nil"/>
              <w:left w:val="nil"/>
              <w:bottom w:val="single" w:sz="4" w:space="0" w:color="1F4E78"/>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121</w:t>
            </w:r>
          </w:p>
        </w:tc>
        <w:tc>
          <w:tcPr>
            <w:tcW w:w="1710" w:type="dxa"/>
            <w:tcBorders>
              <w:top w:val="nil"/>
              <w:left w:val="nil"/>
              <w:bottom w:val="single" w:sz="4" w:space="0" w:color="1F4E78"/>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928</w:t>
            </w:r>
          </w:p>
        </w:tc>
        <w:tc>
          <w:tcPr>
            <w:tcW w:w="1051" w:type="dxa"/>
            <w:tcBorders>
              <w:top w:val="nil"/>
              <w:left w:val="nil"/>
              <w:bottom w:val="single" w:sz="4" w:space="0" w:color="1F4E78"/>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1,049</w:t>
            </w:r>
          </w:p>
        </w:tc>
        <w:tc>
          <w:tcPr>
            <w:tcW w:w="1207" w:type="dxa"/>
            <w:tcBorders>
              <w:top w:val="nil"/>
              <w:left w:val="nil"/>
              <w:bottom w:val="single" w:sz="4" w:space="0" w:color="1F4E78"/>
              <w:right w:val="nil"/>
            </w:tcBorders>
            <w:shd w:val="clear" w:color="000000" w:fill="FFFFFF"/>
            <w:vAlign w:val="bottom"/>
            <w:hideMark/>
          </w:tcPr>
          <w:p w:rsidR="002A23BE" w:rsidRPr="008464B3" w:rsidRDefault="002A23BE" w:rsidP="008C776B">
            <w:pPr>
              <w:jc w:val="center"/>
              <w:rPr>
                <w:rFonts w:eastAsia="Times New Roman" w:cs="Calibri"/>
                <w:sz w:val="20"/>
                <w:szCs w:val="20"/>
                <w:lang w:eastAsia="en-AU"/>
              </w:rPr>
            </w:pPr>
            <w:r w:rsidRPr="008464B3">
              <w:rPr>
                <w:rFonts w:eastAsia="Times New Roman" w:cs="Calibri"/>
                <w:sz w:val="20"/>
                <w:szCs w:val="20"/>
                <w:lang w:eastAsia="en-AU"/>
              </w:rPr>
              <w:t>1,449</w:t>
            </w:r>
          </w:p>
        </w:tc>
        <w:tc>
          <w:tcPr>
            <w:tcW w:w="1166" w:type="dxa"/>
            <w:tcBorders>
              <w:top w:val="nil"/>
              <w:left w:val="nil"/>
              <w:bottom w:val="single" w:sz="4" w:space="0" w:color="1F4E78"/>
              <w:right w:val="nil"/>
            </w:tcBorders>
            <w:shd w:val="clear" w:color="000000" w:fill="FFFFFF"/>
            <w:noWrap/>
            <w:vAlign w:val="bottom"/>
            <w:hideMark/>
          </w:tcPr>
          <w:p w:rsidR="002A23BE" w:rsidRPr="008464B3" w:rsidRDefault="002A23BE" w:rsidP="008C776B">
            <w:pPr>
              <w:jc w:val="center"/>
              <w:rPr>
                <w:rFonts w:eastAsia="Times New Roman" w:cs="Calibri"/>
                <w:sz w:val="20"/>
                <w:szCs w:val="20"/>
                <w:lang w:eastAsia="en-AU"/>
              </w:rPr>
            </w:pPr>
            <w:r>
              <w:rPr>
                <w:rFonts w:cs="Calibri"/>
                <w:sz w:val="20"/>
                <w:szCs w:val="20"/>
              </w:rPr>
              <w:t>72.36%</w:t>
            </w:r>
          </w:p>
        </w:tc>
      </w:tr>
      <w:tr w:rsidR="002A23BE" w:rsidRPr="008464B3" w:rsidTr="008C776B">
        <w:trPr>
          <w:trHeight w:val="50"/>
        </w:trPr>
        <w:tc>
          <w:tcPr>
            <w:tcW w:w="1560" w:type="dxa"/>
            <w:tcBorders>
              <w:top w:val="single" w:sz="4" w:space="0" w:color="1F4E78"/>
              <w:left w:val="nil"/>
              <w:bottom w:val="single" w:sz="4" w:space="0" w:color="1F497D" w:themeColor="text2"/>
              <w:right w:val="nil"/>
            </w:tcBorders>
            <w:shd w:val="clear" w:color="000000" w:fill="FFFFFF"/>
            <w:noWrap/>
            <w:vAlign w:val="bottom"/>
            <w:hideMark/>
          </w:tcPr>
          <w:p w:rsidR="002A23BE" w:rsidRPr="008464B3" w:rsidRDefault="002A23BE" w:rsidP="008C776B">
            <w:pPr>
              <w:rPr>
                <w:rFonts w:eastAsia="Times New Roman" w:cs="Calibri"/>
                <w:b/>
                <w:bCs/>
                <w:i/>
                <w:iCs/>
                <w:sz w:val="20"/>
                <w:szCs w:val="20"/>
                <w:lang w:eastAsia="en-AU"/>
              </w:rPr>
            </w:pPr>
            <w:r w:rsidRPr="008464B3">
              <w:rPr>
                <w:rFonts w:eastAsia="Times New Roman" w:cs="Calibri"/>
                <w:b/>
                <w:bCs/>
                <w:i/>
                <w:iCs/>
                <w:sz w:val="20"/>
                <w:szCs w:val="20"/>
                <w:lang w:eastAsia="en-AU"/>
              </w:rPr>
              <w:t>Total</w:t>
            </w:r>
          </w:p>
        </w:tc>
        <w:tc>
          <w:tcPr>
            <w:tcW w:w="1417" w:type="dxa"/>
            <w:tcBorders>
              <w:top w:val="single" w:sz="4" w:space="0" w:color="1F4E78"/>
              <w:left w:val="nil"/>
              <w:bottom w:val="single" w:sz="4" w:space="0" w:color="1F497D" w:themeColor="text2"/>
              <w:right w:val="nil"/>
            </w:tcBorders>
            <w:shd w:val="clear" w:color="000000" w:fill="FFFFFF"/>
            <w:noWrap/>
            <w:vAlign w:val="bottom"/>
            <w:hideMark/>
          </w:tcPr>
          <w:p w:rsidR="002A23BE" w:rsidRPr="008464B3" w:rsidRDefault="002A23BE" w:rsidP="008C776B">
            <w:pPr>
              <w:jc w:val="center"/>
              <w:rPr>
                <w:rFonts w:eastAsia="Times New Roman" w:cs="Calibri"/>
                <w:b/>
                <w:bCs/>
                <w:i/>
                <w:iCs/>
                <w:sz w:val="20"/>
                <w:szCs w:val="20"/>
                <w:lang w:eastAsia="en-AU"/>
              </w:rPr>
            </w:pPr>
            <w:r>
              <w:rPr>
                <w:rFonts w:cs="Calibri"/>
                <w:b/>
                <w:bCs/>
                <w:i/>
                <w:iCs/>
                <w:sz w:val="20"/>
                <w:szCs w:val="20"/>
              </w:rPr>
              <w:t>283</w:t>
            </w:r>
          </w:p>
        </w:tc>
        <w:tc>
          <w:tcPr>
            <w:tcW w:w="1710" w:type="dxa"/>
            <w:tcBorders>
              <w:top w:val="single" w:sz="4" w:space="0" w:color="1F4E78"/>
              <w:left w:val="nil"/>
              <w:bottom w:val="single" w:sz="4" w:space="0" w:color="1F497D" w:themeColor="text2"/>
              <w:right w:val="nil"/>
            </w:tcBorders>
            <w:shd w:val="clear" w:color="000000" w:fill="FFFFFF"/>
            <w:noWrap/>
            <w:vAlign w:val="bottom"/>
            <w:hideMark/>
          </w:tcPr>
          <w:p w:rsidR="002A23BE" w:rsidRPr="008464B3" w:rsidRDefault="002A23BE" w:rsidP="008C776B">
            <w:pPr>
              <w:jc w:val="center"/>
              <w:rPr>
                <w:rFonts w:eastAsia="Times New Roman" w:cs="Calibri"/>
                <w:b/>
                <w:bCs/>
                <w:i/>
                <w:iCs/>
                <w:sz w:val="20"/>
                <w:szCs w:val="20"/>
                <w:lang w:eastAsia="en-AU"/>
              </w:rPr>
            </w:pPr>
            <w:r>
              <w:rPr>
                <w:rFonts w:cs="Calibri"/>
                <w:b/>
                <w:bCs/>
                <w:i/>
                <w:iCs/>
                <w:sz w:val="20"/>
                <w:szCs w:val="20"/>
              </w:rPr>
              <w:t>1,238</w:t>
            </w:r>
          </w:p>
        </w:tc>
        <w:tc>
          <w:tcPr>
            <w:tcW w:w="1051" w:type="dxa"/>
            <w:tcBorders>
              <w:top w:val="single" w:sz="4" w:space="0" w:color="1F4E78"/>
              <w:left w:val="nil"/>
              <w:bottom w:val="single" w:sz="4" w:space="0" w:color="1F497D" w:themeColor="text2"/>
              <w:right w:val="nil"/>
            </w:tcBorders>
            <w:shd w:val="clear" w:color="000000" w:fill="FFFFFF"/>
            <w:noWrap/>
            <w:vAlign w:val="bottom"/>
            <w:hideMark/>
          </w:tcPr>
          <w:p w:rsidR="002A23BE" w:rsidRPr="008464B3" w:rsidRDefault="002A23BE" w:rsidP="008C776B">
            <w:pPr>
              <w:jc w:val="center"/>
              <w:rPr>
                <w:rFonts w:eastAsia="Times New Roman" w:cs="Calibri"/>
                <w:b/>
                <w:bCs/>
                <w:i/>
                <w:iCs/>
                <w:sz w:val="20"/>
                <w:szCs w:val="20"/>
                <w:lang w:eastAsia="en-AU"/>
              </w:rPr>
            </w:pPr>
            <w:r>
              <w:rPr>
                <w:rFonts w:cs="Calibri"/>
                <w:b/>
                <w:bCs/>
                <w:i/>
                <w:iCs/>
                <w:sz w:val="20"/>
                <w:szCs w:val="20"/>
              </w:rPr>
              <w:t>1,521</w:t>
            </w:r>
          </w:p>
        </w:tc>
        <w:tc>
          <w:tcPr>
            <w:tcW w:w="1207" w:type="dxa"/>
            <w:tcBorders>
              <w:top w:val="single" w:sz="4" w:space="0" w:color="1F4E78"/>
              <w:left w:val="nil"/>
              <w:bottom w:val="single" w:sz="4" w:space="0" w:color="1F497D" w:themeColor="text2"/>
              <w:right w:val="nil"/>
            </w:tcBorders>
            <w:shd w:val="clear" w:color="000000" w:fill="FFFFFF"/>
            <w:vAlign w:val="bottom"/>
            <w:hideMark/>
          </w:tcPr>
          <w:p w:rsidR="002A23BE" w:rsidRPr="008464B3" w:rsidRDefault="002A23BE" w:rsidP="008C776B">
            <w:pPr>
              <w:jc w:val="center"/>
              <w:rPr>
                <w:rFonts w:eastAsia="Times New Roman" w:cs="Calibri"/>
                <w:b/>
                <w:bCs/>
                <w:i/>
                <w:iCs/>
                <w:sz w:val="20"/>
                <w:szCs w:val="20"/>
                <w:lang w:eastAsia="en-AU"/>
              </w:rPr>
            </w:pPr>
            <w:r w:rsidRPr="008464B3">
              <w:rPr>
                <w:rFonts w:eastAsia="Times New Roman" w:cs="Calibri"/>
                <w:b/>
                <w:bCs/>
                <w:i/>
                <w:iCs/>
                <w:sz w:val="20"/>
                <w:szCs w:val="20"/>
                <w:lang w:eastAsia="en-AU"/>
              </w:rPr>
              <w:t>2,247</w:t>
            </w:r>
          </w:p>
        </w:tc>
        <w:tc>
          <w:tcPr>
            <w:tcW w:w="1166" w:type="dxa"/>
            <w:tcBorders>
              <w:top w:val="single" w:sz="4" w:space="0" w:color="1F4E78"/>
              <w:left w:val="nil"/>
              <w:bottom w:val="single" w:sz="4" w:space="0" w:color="1F497D" w:themeColor="text2"/>
              <w:right w:val="nil"/>
            </w:tcBorders>
            <w:shd w:val="clear" w:color="000000" w:fill="FFFFFF"/>
            <w:noWrap/>
            <w:vAlign w:val="bottom"/>
            <w:hideMark/>
          </w:tcPr>
          <w:p w:rsidR="002A23BE" w:rsidRPr="008464B3" w:rsidRDefault="002A23BE" w:rsidP="008C776B">
            <w:pPr>
              <w:jc w:val="center"/>
              <w:rPr>
                <w:rFonts w:eastAsia="Times New Roman" w:cs="Calibri"/>
                <w:b/>
                <w:bCs/>
                <w:i/>
                <w:iCs/>
                <w:sz w:val="20"/>
                <w:szCs w:val="20"/>
                <w:lang w:eastAsia="en-AU"/>
              </w:rPr>
            </w:pPr>
            <w:r>
              <w:rPr>
                <w:rFonts w:cs="Calibri"/>
                <w:b/>
                <w:bCs/>
                <w:i/>
                <w:iCs/>
                <w:sz w:val="20"/>
                <w:szCs w:val="20"/>
              </w:rPr>
              <w:t>67.69%</w:t>
            </w:r>
          </w:p>
        </w:tc>
      </w:tr>
    </w:tbl>
    <w:p w:rsidR="00984171" w:rsidRDefault="00984171" w:rsidP="00984171">
      <w:pPr>
        <w:jc w:val="both"/>
      </w:pPr>
    </w:p>
    <w:p w:rsidR="00B6608D" w:rsidRPr="004B0055" w:rsidRDefault="00984171" w:rsidP="00984171">
      <w:pPr>
        <w:jc w:val="both"/>
        <w:rPr>
          <w:szCs w:val="20"/>
        </w:rPr>
      </w:pPr>
      <w:r>
        <w:t xml:space="preserve">The Code deals with a range of direct </w:t>
      </w:r>
      <w:r w:rsidR="008A33B2">
        <w:t>dog management</w:t>
      </w:r>
      <w:r>
        <w:t xml:space="preserve"> matters, as well as structural</w:t>
      </w:r>
      <w:r>
        <w:rPr>
          <w:rStyle w:val="FootnoteReference"/>
        </w:rPr>
        <w:footnoteReference w:id="92"/>
      </w:r>
      <w:r>
        <w:t xml:space="preserve"> and administrative activities</w:t>
      </w:r>
      <w:r>
        <w:rPr>
          <w:rStyle w:val="FootnoteReference"/>
        </w:rPr>
        <w:footnoteReference w:id="93"/>
      </w:r>
      <w:r>
        <w:t xml:space="preserve"> which have indirect impacts on greyhound welfare.</w:t>
      </w:r>
      <w:r w:rsidR="007B521C">
        <w:t xml:space="preserve"> </w:t>
      </w:r>
      <w:r>
        <w:t>These matters were identified based on the existing Code, recommendations from the Chief Veterinarian, GRV, and with industry. Each matter has the potential to affect a different population of animals, because of their stage in the racing life cycle, the characteristics of their owners, their gender (e.g. breeding females) and existing compliance rates. The estimated number of dogs affected by each matter is summarised in Table 13.</w:t>
      </w:r>
      <w:r w:rsidR="007B521C">
        <w:t xml:space="preserve"> </w:t>
      </w:r>
      <w:r w:rsidR="008A33B2">
        <w:t xml:space="preserve">The Code sets minimum standards for best practice greyhound management to promote a positive quality of life. </w:t>
      </w:r>
      <w:r>
        <w:rPr>
          <w:szCs w:val="20"/>
        </w:rPr>
        <w:t>T</w:t>
      </w:r>
      <w:r w:rsidR="00B25912">
        <w:rPr>
          <w:szCs w:val="20"/>
        </w:rPr>
        <w:t xml:space="preserve">he number of greyhounds </w:t>
      </w:r>
      <w:r w:rsidR="00114B0E">
        <w:rPr>
          <w:szCs w:val="20"/>
        </w:rPr>
        <w:t xml:space="preserve">which may be </w:t>
      </w:r>
      <w:r w:rsidR="00B25912">
        <w:rPr>
          <w:szCs w:val="20"/>
        </w:rPr>
        <w:t>exposed to residual welfare risks in the industry varies from as little as 35 greyhounds in the case of lack of independent observations/care where a greyhound owner themselves is a Veterinarian – to as much as 14,185 estimated greyhounds in the case of inadequate health management plans or health checks.</w:t>
      </w:r>
      <w:r w:rsidR="00B6608D">
        <w:rPr>
          <w:szCs w:val="20"/>
        </w:rPr>
        <w:t xml:space="preserve"> Whilst non-compliance with each of the welfare risk drivers individually may not directly result in poor welfare for an individual animal, cumulatively they are management practices that </w:t>
      </w:r>
      <w:r w:rsidR="00114B0E">
        <w:rPr>
          <w:szCs w:val="20"/>
        </w:rPr>
        <w:t xml:space="preserve">may </w:t>
      </w:r>
      <w:r w:rsidR="00B6608D">
        <w:rPr>
          <w:szCs w:val="20"/>
        </w:rPr>
        <w:t>prevent poor welfare and potential cruelty and extend the possibility of an animal being able to be re-homed at the end of its racing life.</w:t>
      </w:r>
    </w:p>
    <w:p w:rsidR="008464B3" w:rsidRPr="008464B3" w:rsidRDefault="008464B3" w:rsidP="00054CD3">
      <w:pPr>
        <w:jc w:val="both"/>
        <w:rPr>
          <w:b/>
          <w:sz w:val="20"/>
          <w:szCs w:val="20"/>
        </w:rPr>
      </w:pPr>
    </w:p>
    <w:p w:rsidR="00C02451" w:rsidRDefault="00C02451">
      <w:pPr>
        <w:rPr>
          <w:b/>
          <w:sz w:val="20"/>
          <w:szCs w:val="20"/>
        </w:rPr>
      </w:pPr>
      <w:r>
        <w:rPr>
          <w:b/>
          <w:sz w:val="20"/>
          <w:szCs w:val="20"/>
        </w:rPr>
        <w:br w:type="page"/>
      </w:r>
    </w:p>
    <w:p w:rsidR="00E6534E" w:rsidRDefault="001D151D" w:rsidP="001D151D">
      <w:pPr>
        <w:jc w:val="center"/>
        <w:rPr>
          <w:b/>
          <w:sz w:val="20"/>
          <w:szCs w:val="20"/>
        </w:rPr>
      </w:pPr>
      <w:r>
        <w:rPr>
          <w:b/>
          <w:sz w:val="20"/>
          <w:szCs w:val="20"/>
        </w:rPr>
        <w:lastRenderedPageBreak/>
        <w:t>Table 13: Estimated No. greyhounds affected by individual welfare risks</w:t>
      </w:r>
      <w:r>
        <w:rPr>
          <w:rStyle w:val="FootnoteReference"/>
          <w:b/>
          <w:sz w:val="20"/>
          <w:szCs w:val="20"/>
        </w:rPr>
        <w:footnoteReference w:id="94"/>
      </w:r>
    </w:p>
    <w:p w:rsidR="001D151D" w:rsidRDefault="001D151D" w:rsidP="001D151D">
      <w:pPr>
        <w:jc w:val="center"/>
        <w:rPr>
          <w:b/>
          <w:sz w:val="20"/>
          <w:szCs w:val="20"/>
        </w:rPr>
      </w:pPr>
    </w:p>
    <w:tbl>
      <w:tblPr>
        <w:tblW w:w="8222" w:type="dxa"/>
        <w:tblLook w:val="04A0" w:firstRow="1" w:lastRow="0" w:firstColumn="1" w:lastColumn="0" w:noHBand="0" w:noVBand="1"/>
      </w:tblPr>
      <w:tblGrid>
        <w:gridCol w:w="6237"/>
        <w:gridCol w:w="1985"/>
      </w:tblGrid>
      <w:tr w:rsidR="001D151D" w:rsidRPr="00CA7E5B" w:rsidTr="004B0055">
        <w:trPr>
          <w:trHeight w:val="285"/>
        </w:trPr>
        <w:tc>
          <w:tcPr>
            <w:tcW w:w="6237" w:type="dxa"/>
            <w:tcBorders>
              <w:top w:val="single" w:sz="4" w:space="0" w:color="1F4E78"/>
              <w:left w:val="nil"/>
              <w:bottom w:val="double" w:sz="6" w:space="0" w:color="1F4E78"/>
              <w:right w:val="nil"/>
            </w:tcBorders>
            <w:shd w:val="clear" w:color="000000" w:fill="FFFFFF"/>
            <w:noWrap/>
            <w:vAlign w:val="bottom"/>
            <w:hideMark/>
          </w:tcPr>
          <w:p w:rsidR="001D151D" w:rsidRPr="00CA7E5B" w:rsidRDefault="001D151D" w:rsidP="001D151D">
            <w:pPr>
              <w:rPr>
                <w:rFonts w:eastAsia="Times New Roman" w:cs="Calibri"/>
                <w:bCs/>
                <w:color w:val="1F4E78"/>
                <w:sz w:val="20"/>
                <w:szCs w:val="20"/>
                <w:lang w:eastAsia="en-AU"/>
              </w:rPr>
            </w:pPr>
            <w:r w:rsidRPr="00CA7E5B">
              <w:rPr>
                <w:rFonts w:eastAsia="Times New Roman" w:cs="Calibri"/>
                <w:bCs/>
                <w:color w:val="1F4E78"/>
                <w:sz w:val="20"/>
                <w:szCs w:val="20"/>
                <w:lang w:eastAsia="en-AU"/>
              </w:rPr>
              <w:t xml:space="preserve">Category of </w:t>
            </w:r>
            <w:r w:rsidR="00114B0E" w:rsidRPr="00CA7E5B">
              <w:rPr>
                <w:rFonts w:eastAsia="Times New Roman" w:cs="Calibri"/>
                <w:bCs/>
                <w:color w:val="1F4E78"/>
                <w:sz w:val="20"/>
                <w:szCs w:val="20"/>
                <w:lang w:eastAsia="en-AU"/>
              </w:rPr>
              <w:t xml:space="preserve">potential </w:t>
            </w:r>
            <w:r w:rsidRPr="00CA7E5B">
              <w:rPr>
                <w:rFonts w:eastAsia="Times New Roman" w:cs="Calibri"/>
                <w:bCs/>
                <w:color w:val="1F4E78"/>
                <w:sz w:val="20"/>
                <w:szCs w:val="20"/>
                <w:lang w:eastAsia="en-AU"/>
              </w:rPr>
              <w:t>welfare risk</w:t>
            </w:r>
            <w:r w:rsidR="00ED3E83" w:rsidRPr="00CA7E5B">
              <w:rPr>
                <w:rFonts w:eastAsia="Times New Roman" w:cs="Calibri"/>
                <w:bCs/>
                <w:color w:val="1F4E78"/>
                <w:sz w:val="20"/>
                <w:szCs w:val="20"/>
                <w:lang w:eastAsia="en-AU"/>
              </w:rPr>
              <w:t xml:space="preserve"> drivers</w:t>
            </w:r>
          </w:p>
        </w:tc>
        <w:tc>
          <w:tcPr>
            <w:tcW w:w="1985" w:type="dxa"/>
            <w:tcBorders>
              <w:top w:val="single" w:sz="4" w:space="0" w:color="1F4E78"/>
              <w:left w:val="nil"/>
              <w:bottom w:val="double" w:sz="6" w:space="0" w:color="1F4E78"/>
              <w:right w:val="nil"/>
            </w:tcBorders>
            <w:shd w:val="clear" w:color="000000" w:fill="FFFFFF"/>
            <w:vAlign w:val="bottom"/>
            <w:hideMark/>
          </w:tcPr>
          <w:p w:rsidR="001D151D" w:rsidRPr="00CA7E5B" w:rsidRDefault="009F4FD8" w:rsidP="005409FD">
            <w:pPr>
              <w:jc w:val="center"/>
              <w:rPr>
                <w:rFonts w:eastAsia="Times New Roman" w:cs="Calibri"/>
                <w:bCs/>
                <w:color w:val="1F4E78"/>
                <w:sz w:val="20"/>
                <w:szCs w:val="20"/>
                <w:lang w:eastAsia="en-AU"/>
              </w:rPr>
            </w:pPr>
            <w:r w:rsidRPr="00CA7E5B">
              <w:rPr>
                <w:rFonts w:eastAsia="Times New Roman" w:cs="Calibri"/>
                <w:bCs/>
                <w:color w:val="1F4E78"/>
                <w:sz w:val="20"/>
                <w:szCs w:val="20"/>
                <w:lang w:eastAsia="en-AU"/>
              </w:rPr>
              <w:t>Estimated</w:t>
            </w:r>
            <w:r w:rsidR="001D151D" w:rsidRPr="00CA7E5B">
              <w:rPr>
                <w:rFonts w:eastAsia="Times New Roman" w:cs="Calibri"/>
                <w:bCs/>
                <w:color w:val="1F4E78"/>
                <w:sz w:val="20"/>
                <w:szCs w:val="20"/>
                <w:lang w:eastAsia="en-AU"/>
              </w:rPr>
              <w:t xml:space="preserve"> </w:t>
            </w:r>
            <w:r w:rsidR="005409FD" w:rsidRPr="00CA7E5B">
              <w:rPr>
                <w:rFonts w:eastAsia="Times New Roman" w:cs="Calibri"/>
                <w:bCs/>
                <w:color w:val="1F4E78"/>
                <w:sz w:val="20"/>
                <w:szCs w:val="20"/>
                <w:lang w:eastAsia="en-AU"/>
              </w:rPr>
              <w:t>population of dogs affected</w:t>
            </w:r>
            <w:r w:rsidR="00114B0E" w:rsidRPr="00CA7E5B">
              <w:rPr>
                <w:rFonts w:eastAsia="Times New Roman" w:cs="Calibri"/>
                <w:bCs/>
                <w:color w:val="1F4E78"/>
                <w:sz w:val="20"/>
                <w:szCs w:val="20"/>
                <w:lang w:eastAsia="en-AU"/>
              </w:rPr>
              <w:t xml:space="preserve"> by risk</w:t>
            </w:r>
          </w:p>
        </w:tc>
      </w:tr>
      <w:tr w:rsidR="00ED3E83" w:rsidRPr="001D151D" w:rsidTr="004B0055">
        <w:trPr>
          <w:trHeight w:val="21"/>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Low staff to greyhound ratios in large facilities</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353</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971A1E">
            <w:pPr>
              <w:rPr>
                <w:rFonts w:eastAsia="Times New Roman" w:cs="Calibri"/>
                <w:sz w:val="20"/>
                <w:szCs w:val="20"/>
                <w:lang w:eastAsia="en-AU"/>
              </w:rPr>
            </w:pPr>
            <w:r w:rsidRPr="001D151D">
              <w:rPr>
                <w:rFonts w:eastAsia="Times New Roman" w:cs="Calibri"/>
                <w:sz w:val="20"/>
                <w:szCs w:val="20"/>
                <w:lang w:eastAsia="en-AU"/>
              </w:rPr>
              <w:t xml:space="preserve">Lack of independent </w:t>
            </w:r>
            <w:r w:rsidR="00971A1E">
              <w:rPr>
                <w:rFonts w:eastAsia="Times New Roman" w:cs="Calibri"/>
                <w:sz w:val="20"/>
                <w:szCs w:val="20"/>
                <w:lang w:eastAsia="en-AU"/>
              </w:rPr>
              <w:t>Vet</w:t>
            </w:r>
          </w:p>
        </w:tc>
        <w:tc>
          <w:tcPr>
            <w:tcW w:w="1985" w:type="dxa"/>
            <w:tcBorders>
              <w:top w:val="nil"/>
              <w:left w:val="nil"/>
              <w:bottom w:val="nil"/>
              <w:right w:val="nil"/>
            </w:tcBorders>
            <w:shd w:val="clear" w:color="000000" w:fill="FFFFFF"/>
            <w:noWrap/>
            <w:hideMark/>
          </w:tcPr>
          <w:p w:rsidR="00ED3E83" w:rsidRPr="00ED3E83" w:rsidRDefault="008F46A0" w:rsidP="00ED3E83">
            <w:pPr>
              <w:jc w:val="right"/>
              <w:rPr>
                <w:rFonts w:eastAsia="Times New Roman" w:cs="Calibri"/>
                <w:sz w:val="20"/>
                <w:szCs w:val="20"/>
                <w:lang w:eastAsia="en-AU"/>
              </w:rPr>
            </w:pPr>
            <w:r>
              <w:rPr>
                <w:sz w:val="20"/>
              </w:rPr>
              <w:t>23</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management plans</w:t>
            </w:r>
            <w:r>
              <w:rPr>
                <w:rFonts w:eastAsia="Times New Roman" w:cs="Calibri"/>
                <w:sz w:val="20"/>
                <w:szCs w:val="20"/>
                <w:lang w:eastAsia="en-AU"/>
              </w:rPr>
              <w:t xml:space="preserve"> at each stage of life</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14,185</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Lack of record keeping</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14,185</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Lack of records of health &amp; transfer</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14,185</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Insufficient food receptacles and hygiene</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5,747</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food storage</w:t>
            </w:r>
          </w:p>
        </w:tc>
        <w:tc>
          <w:tcPr>
            <w:tcW w:w="1985" w:type="dxa"/>
            <w:tcBorders>
              <w:top w:val="nil"/>
              <w:left w:val="nil"/>
              <w:bottom w:val="nil"/>
              <w:right w:val="nil"/>
            </w:tcBorders>
            <w:shd w:val="clear" w:color="000000" w:fill="FFFFFF"/>
            <w:noWrap/>
            <w:hideMark/>
          </w:tcPr>
          <w:p w:rsidR="00ED3E83" w:rsidRPr="00ED3E83" w:rsidRDefault="008661FA" w:rsidP="00ED3E83">
            <w:pPr>
              <w:jc w:val="right"/>
              <w:rPr>
                <w:rFonts w:eastAsia="Times New Roman" w:cs="Calibri"/>
                <w:sz w:val="20"/>
                <w:szCs w:val="20"/>
                <w:lang w:eastAsia="en-AU"/>
              </w:rPr>
            </w:pPr>
            <w:r>
              <w:rPr>
                <w:sz w:val="20"/>
              </w:rPr>
              <w:t>320</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checks for breeding females</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451</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 xml:space="preserve">Inadequate </w:t>
            </w:r>
            <w:r w:rsidRPr="001D151D">
              <w:rPr>
                <w:rFonts w:eastAsia="Times New Roman" w:cs="Calibri"/>
                <w:sz w:val="20"/>
                <w:szCs w:val="20"/>
                <w:lang w:eastAsia="en-AU"/>
              </w:rPr>
              <w:t>health checks for all greyhounds</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14,185</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Lack of sufficient bedding for greyhounds 8 to 16 weeks</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2,818</w:t>
            </w:r>
          </w:p>
        </w:tc>
      </w:tr>
      <w:tr w:rsidR="00ED3E83" w:rsidRPr="001D151D" w:rsidTr="004B0055">
        <w:trPr>
          <w:trHeight w:val="57"/>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Insufficient rearing activities for greyhounds 16 weeks to 18 months</w:t>
            </w:r>
          </w:p>
        </w:tc>
        <w:tc>
          <w:tcPr>
            <w:tcW w:w="1985" w:type="dxa"/>
            <w:tcBorders>
              <w:top w:val="nil"/>
              <w:left w:val="nil"/>
              <w:bottom w:val="nil"/>
              <w:right w:val="nil"/>
            </w:tcBorders>
            <w:shd w:val="clear" w:color="000000" w:fill="FFFFFF"/>
            <w:noWrap/>
            <w:hideMark/>
          </w:tcPr>
          <w:p w:rsidR="00ED3E83" w:rsidRPr="00ED3E83" w:rsidRDefault="008F46A0" w:rsidP="00ED3E83">
            <w:pPr>
              <w:jc w:val="right"/>
              <w:rPr>
                <w:rFonts w:eastAsia="Times New Roman" w:cs="Calibri"/>
                <w:sz w:val="20"/>
                <w:szCs w:val="20"/>
                <w:lang w:eastAsia="en-AU"/>
              </w:rPr>
            </w:pPr>
            <w:r>
              <w:rPr>
                <w:sz w:val="20"/>
              </w:rPr>
              <w:t>5</w:t>
            </w:r>
            <w:r w:rsidR="00ED3E83" w:rsidRPr="00ED3E83">
              <w:rPr>
                <w:sz w:val="20"/>
              </w:rPr>
              <w:t>,</w:t>
            </w:r>
            <w:r>
              <w:rPr>
                <w:sz w:val="20"/>
              </w:rPr>
              <w:t>413</w:t>
            </w:r>
          </w:p>
        </w:tc>
      </w:tr>
      <w:tr w:rsidR="00ED3E83" w:rsidRPr="001D151D" w:rsidTr="004B0055">
        <w:trPr>
          <w:trHeight w:val="255"/>
        </w:trPr>
        <w:tc>
          <w:tcPr>
            <w:tcW w:w="6237" w:type="dxa"/>
            <w:tcBorders>
              <w:top w:val="nil"/>
              <w:left w:val="nil"/>
              <w:bottom w:val="nil"/>
              <w:right w:val="nil"/>
            </w:tcBorders>
            <w:shd w:val="clear" w:color="000000" w:fill="FFFFFF"/>
            <w:noWrap/>
            <w:vAlign w:val="bottom"/>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Insufficient perimeter fencing</w:t>
            </w:r>
          </w:p>
        </w:tc>
        <w:tc>
          <w:tcPr>
            <w:tcW w:w="1985" w:type="dxa"/>
            <w:tcBorders>
              <w:top w:val="nil"/>
              <w:left w:val="nil"/>
              <w:bottom w:val="nil"/>
              <w:right w:val="nil"/>
            </w:tcBorders>
            <w:shd w:val="clear" w:color="000000" w:fill="FFFFFF"/>
            <w:noWrap/>
          </w:tcPr>
          <w:p w:rsidR="00ED3E83" w:rsidRPr="00ED3E83" w:rsidRDefault="00ED3E83" w:rsidP="00ED3E83">
            <w:pPr>
              <w:jc w:val="right"/>
              <w:rPr>
                <w:sz w:val="20"/>
              </w:rPr>
            </w:pPr>
            <w:r w:rsidRPr="00ED3E83">
              <w:rPr>
                <w:sz w:val="20"/>
              </w:rPr>
              <w:t>14,185</w:t>
            </w:r>
          </w:p>
        </w:tc>
      </w:tr>
      <w:tr w:rsidR="00ED3E83" w:rsidRPr="001D151D" w:rsidTr="004B0055">
        <w:trPr>
          <w:trHeight w:val="255"/>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Insufficient outdoor housing</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2,706</w:t>
            </w:r>
          </w:p>
        </w:tc>
      </w:tr>
      <w:tr w:rsidR="00ED3E83" w:rsidRPr="001D151D" w:rsidTr="004B0055">
        <w:trPr>
          <w:trHeight w:val="255"/>
        </w:trPr>
        <w:tc>
          <w:tcPr>
            <w:tcW w:w="6237" w:type="dxa"/>
            <w:tcBorders>
              <w:top w:val="nil"/>
              <w:left w:val="nil"/>
              <w:bottom w:val="nil"/>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sidRPr="001D151D">
              <w:rPr>
                <w:rFonts w:eastAsia="Times New Roman" w:cs="Calibri"/>
                <w:sz w:val="20"/>
                <w:szCs w:val="20"/>
                <w:lang w:eastAsia="en-AU"/>
              </w:rPr>
              <w:t>Insufficient indoor housing</w:t>
            </w:r>
          </w:p>
        </w:tc>
        <w:tc>
          <w:tcPr>
            <w:tcW w:w="1985" w:type="dxa"/>
            <w:tcBorders>
              <w:top w:val="nil"/>
              <w:left w:val="nil"/>
              <w:bottom w:val="nil"/>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3,374</w:t>
            </w:r>
          </w:p>
        </w:tc>
      </w:tr>
      <w:tr w:rsidR="00ED3E83" w:rsidRPr="001D151D" w:rsidTr="000A52A8">
        <w:trPr>
          <w:trHeight w:val="255"/>
        </w:trPr>
        <w:tc>
          <w:tcPr>
            <w:tcW w:w="6237" w:type="dxa"/>
            <w:tcBorders>
              <w:top w:val="nil"/>
              <w:left w:val="nil"/>
              <w:bottom w:val="single" w:sz="4" w:space="0" w:color="1F4E78"/>
              <w:right w:val="nil"/>
            </w:tcBorders>
            <w:shd w:val="clear" w:color="000000" w:fill="FFFFFF"/>
            <w:noWrap/>
            <w:vAlign w:val="bottom"/>
            <w:hideMark/>
          </w:tcPr>
          <w:p w:rsidR="00ED3E83" w:rsidRPr="001D151D" w:rsidRDefault="00ED3E83" w:rsidP="00ED3E83">
            <w:pPr>
              <w:rPr>
                <w:rFonts w:eastAsia="Times New Roman" w:cs="Calibri"/>
                <w:sz w:val="20"/>
                <w:szCs w:val="20"/>
                <w:lang w:eastAsia="en-AU"/>
              </w:rPr>
            </w:pPr>
            <w:r>
              <w:rPr>
                <w:rFonts w:eastAsia="Times New Roman" w:cs="Calibri"/>
                <w:sz w:val="20"/>
                <w:szCs w:val="20"/>
                <w:lang w:eastAsia="en-AU"/>
              </w:rPr>
              <w:t>Failure to notify GRV of s</w:t>
            </w:r>
            <w:r w:rsidRPr="001D151D">
              <w:rPr>
                <w:rFonts w:eastAsia="Times New Roman" w:cs="Calibri"/>
                <w:sz w:val="20"/>
                <w:szCs w:val="20"/>
                <w:lang w:eastAsia="en-AU"/>
              </w:rPr>
              <w:t xml:space="preserve">ale and transfer </w:t>
            </w:r>
            <w:r>
              <w:rPr>
                <w:rFonts w:eastAsia="Times New Roman" w:cs="Calibri"/>
                <w:sz w:val="20"/>
                <w:szCs w:val="20"/>
                <w:lang w:eastAsia="en-AU"/>
              </w:rPr>
              <w:t xml:space="preserve">of greyhound </w:t>
            </w:r>
            <w:r w:rsidRPr="001D151D">
              <w:rPr>
                <w:rFonts w:eastAsia="Times New Roman" w:cs="Calibri"/>
                <w:sz w:val="20"/>
                <w:szCs w:val="20"/>
                <w:lang w:eastAsia="en-AU"/>
              </w:rPr>
              <w:t>out of the industry</w:t>
            </w:r>
          </w:p>
        </w:tc>
        <w:tc>
          <w:tcPr>
            <w:tcW w:w="1985" w:type="dxa"/>
            <w:tcBorders>
              <w:top w:val="nil"/>
              <w:left w:val="nil"/>
              <w:bottom w:val="single" w:sz="4" w:space="0" w:color="1F4E78"/>
              <w:right w:val="nil"/>
            </w:tcBorders>
            <w:shd w:val="clear" w:color="000000" w:fill="FFFFFF"/>
            <w:noWrap/>
            <w:hideMark/>
          </w:tcPr>
          <w:p w:rsidR="00ED3E83" w:rsidRPr="00ED3E83" w:rsidRDefault="00ED3E83" w:rsidP="00ED3E83">
            <w:pPr>
              <w:jc w:val="right"/>
              <w:rPr>
                <w:rFonts w:eastAsia="Times New Roman" w:cs="Calibri"/>
                <w:sz w:val="20"/>
                <w:szCs w:val="20"/>
                <w:lang w:eastAsia="en-AU"/>
              </w:rPr>
            </w:pPr>
            <w:r w:rsidRPr="00ED3E83">
              <w:rPr>
                <w:sz w:val="20"/>
              </w:rPr>
              <w:t>3,667</w:t>
            </w:r>
          </w:p>
        </w:tc>
      </w:tr>
    </w:tbl>
    <w:p w:rsidR="001D151D" w:rsidRDefault="001D151D" w:rsidP="008464B3">
      <w:pPr>
        <w:jc w:val="center"/>
        <w:rPr>
          <w:b/>
          <w:sz w:val="20"/>
          <w:szCs w:val="20"/>
        </w:rPr>
      </w:pPr>
    </w:p>
    <w:p w:rsidR="00CA6877" w:rsidRPr="005F3BA9" w:rsidRDefault="00CA6877" w:rsidP="00CA7E5B">
      <w:pPr>
        <w:pStyle w:val="H13pt"/>
      </w:pPr>
      <w:bookmarkStart w:id="80" w:name="_Toc469529156"/>
      <w:bookmarkStart w:id="81" w:name="_Toc477190172"/>
      <w:r w:rsidRPr="005F3BA9">
        <w:t>2.</w:t>
      </w:r>
      <w:r w:rsidR="00BE709A" w:rsidRPr="005F3BA9">
        <w:t>2</w:t>
      </w:r>
      <w:r w:rsidRPr="005F3BA9">
        <w:t xml:space="preserve"> Residual problem –Inadequate rehoming potential</w:t>
      </w:r>
      <w:bookmarkEnd w:id="80"/>
      <w:bookmarkEnd w:id="81"/>
    </w:p>
    <w:p w:rsidR="000941FB" w:rsidRDefault="000941FB" w:rsidP="000941FB">
      <w:pPr>
        <w:jc w:val="both"/>
        <w:rPr>
          <w:lang w:val="en-US"/>
        </w:rPr>
      </w:pPr>
      <w:r w:rsidRPr="00EF7E3B">
        <w:t>At every stage in the lifecycle of a greyhound (</w:t>
      </w:r>
      <w:r>
        <w:t xml:space="preserve">see </w:t>
      </w:r>
      <w:r w:rsidRPr="00EF7E3B">
        <w:t xml:space="preserve">Chart 1) there are potential exit points for dogs to be </w:t>
      </w:r>
      <w:r w:rsidR="00D816F0">
        <w:t xml:space="preserve">retired </w:t>
      </w:r>
      <w:r w:rsidRPr="00EF7E3B">
        <w:t xml:space="preserve">if they fail to make (or maintain) a racing career. </w:t>
      </w:r>
      <w:r w:rsidRPr="00EF7E3B">
        <w:rPr>
          <w:lang w:val="en-US"/>
        </w:rPr>
        <w:t xml:space="preserve">Given the large number of dogs that need to be bred to maintain the racing industry (currently at a ratio of </w:t>
      </w:r>
      <w:r>
        <w:rPr>
          <w:lang w:val="en-US"/>
        </w:rPr>
        <w:t>1.67</w:t>
      </w:r>
      <w:r w:rsidRPr="00EF7E3B">
        <w:rPr>
          <w:lang w:val="en-US"/>
        </w:rPr>
        <w:t>:1) greater pressure is placed on the need to euthanase dogs that are unfit for rehoming.</w:t>
      </w:r>
      <w:r w:rsidR="007B521C">
        <w:rPr>
          <w:lang w:val="en-US"/>
        </w:rPr>
        <w:t xml:space="preserve"> </w:t>
      </w:r>
      <w:r w:rsidR="0073799C" w:rsidRPr="00EF7E3B">
        <w:rPr>
          <w:lang w:val="en-US"/>
        </w:rPr>
        <w:t xml:space="preserve">The </w:t>
      </w:r>
      <w:r w:rsidR="0073799C" w:rsidRPr="00EF7E3B">
        <w:t xml:space="preserve">RSPCA claim many </w:t>
      </w:r>
      <w:r w:rsidR="0073799C" w:rsidRPr="00EF7E3B">
        <w:rPr>
          <w:i/>
        </w:rPr>
        <w:t>‘unwanted greyhounds will be euthanased despite being otherwise healthy and rehomable’</w:t>
      </w:r>
      <w:r w:rsidR="0073799C" w:rsidRPr="00C2340D">
        <w:rPr>
          <w:rStyle w:val="FootnoteReference"/>
        </w:rPr>
        <w:footnoteReference w:id="95"/>
      </w:r>
      <w:r w:rsidR="0073799C" w:rsidRPr="00EF7E3B">
        <w:rPr>
          <w:i/>
        </w:rPr>
        <w:t>.</w:t>
      </w:r>
      <w:r w:rsidR="0073799C" w:rsidRPr="00EF7E3B">
        <w:t xml:space="preserve"> </w:t>
      </w:r>
    </w:p>
    <w:p w:rsidR="009E5D6A" w:rsidRPr="00EF7E3B" w:rsidRDefault="009E5D6A" w:rsidP="00F461C9">
      <w:pPr>
        <w:jc w:val="both"/>
        <w:rPr>
          <w:lang w:val="en-US"/>
        </w:rPr>
      </w:pPr>
    </w:p>
    <w:p w:rsidR="00425C45" w:rsidRDefault="00F461C9" w:rsidP="00425C45">
      <w:pPr>
        <w:jc w:val="both"/>
        <w:rPr>
          <w:lang w:val="en-US"/>
        </w:rPr>
      </w:pPr>
      <w:r w:rsidRPr="00EF7E3B">
        <w:t xml:space="preserve">To </w:t>
      </w:r>
      <w:r w:rsidR="00E52923">
        <w:t>retire</w:t>
      </w:r>
      <w:r w:rsidR="00E52923" w:rsidRPr="00EF7E3B">
        <w:t xml:space="preserve"> </w:t>
      </w:r>
      <w:r w:rsidRPr="00EF7E3B">
        <w:t xml:space="preserve">dogs from the industry, owners </w:t>
      </w:r>
      <w:r w:rsidR="00114B0E">
        <w:t xml:space="preserve">may export the dog, </w:t>
      </w:r>
      <w:r w:rsidR="00E52923">
        <w:t>keep</w:t>
      </w:r>
      <w:r w:rsidR="00114B0E">
        <w:t xml:space="preserve"> the dog </w:t>
      </w:r>
      <w:r w:rsidR="00E52923">
        <w:t xml:space="preserve">themselves as a pet, rehome </w:t>
      </w:r>
      <w:r w:rsidR="00114B0E">
        <w:t xml:space="preserve">through their own networks of family and friends, contact the Greyhound Adoption Agency or another rehoming </w:t>
      </w:r>
      <w:r w:rsidR="000D3D4D">
        <w:t>organisation</w:t>
      </w:r>
      <w:r w:rsidR="00114B0E">
        <w:t xml:space="preserve"> or, if unable to rehome, </w:t>
      </w:r>
      <w:r w:rsidRPr="00EF7E3B">
        <w:t>euthanas</w:t>
      </w:r>
      <w:r w:rsidR="00114B0E">
        <w:t>e the dog</w:t>
      </w:r>
      <w:r w:rsidRPr="00EF7E3B">
        <w:t xml:space="preserve">. </w:t>
      </w:r>
      <w:r w:rsidR="0073799C" w:rsidRPr="00EF7E3B">
        <w:rPr>
          <w:lang w:val="en-US"/>
        </w:rPr>
        <w:t>GRV report 847 adoptions for the 2014/15 financial year</w:t>
      </w:r>
      <w:r w:rsidR="0073799C">
        <w:rPr>
          <w:rStyle w:val="FootnoteReference"/>
          <w:lang w:val="en-US"/>
        </w:rPr>
        <w:footnoteReference w:id="96"/>
      </w:r>
      <w:r w:rsidR="0073799C" w:rsidRPr="00EF7E3B">
        <w:rPr>
          <w:lang w:val="en-US"/>
        </w:rPr>
        <w:t>,</w:t>
      </w:r>
      <w:r w:rsidR="007B521C">
        <w:rPr>
          <w:lang w:val="en-US"/>
        </w:rPr>
        <w:t xml:space="preserve"> </w:t>
      </w:r>
      <w:r w:rsidR="0073799C">
        <w:rPr>
          <w:lang w:val="en-US"/>
        </w:rPr>
        <w:t xml:space="preserve">with a </w:t>
      </w:r>
      <w:r w:rsidR="0073799C" w:rsidRPr="00EF7E3B">
        <w:rPr>
          <w:lang w:val="en-US"/>
        </w:rPr>
        <w:t>wait list for dogs entering and exiting the program.</w:t>
      </w:r>
      <w:r w:rsidR="007B521C">
        <w:rPr>
          <w:lang w:val="en-US"/>
        </w:rPr>
        <w:t xml:space="preserve"> </w:t>
      </w:r>
      <w:r w:rsidRPr="00EF7E3B">
        <w:t xml:space="preserve">Currently, </w:t>
      </w:r>
      <w:r w:rsidR="000D3D4D">
        <w:t xml:space="preserve">following contact with GAP, </w:t>
      </w:r>
      <w:r w:rsidRPr="00EF7E3B">
        <w:t xml:space="preserve">there </w:t>
      </w:r>
      <w:r w:rsidR="0073799C">
        <w:t xml:space="preserve">is </w:t>
      </w:r>
      <w:r w:rsidRPr="00EF7E3B">
        <w:t xml:space="preserve">a </w:t>
      </w:r>
      <w:r w:rsidR="000D3D4D">
        <w:t>one to three month wait</w:t>
      </w:r>
      <w:r w:rsidRPr="00EF7E3B">
        <w:t xml:space="preserve"> to get a dog into </w:t>
      </w:r>
      <w:r w:rsidR="0073799C">
        <w:t xml:space="preserve">GAP with an </w:t>
      </w:r>
      <w:r w:rsidRPr="00EF7E3B">
        <w:t>average stay</w:t>
      </w:r>
      <w:r w:rsidR="000D3D4D">
        <w:t xml:space="preserve"> in the program</w:t>
      </w:r>
      <w:r w:rsidRPr="00EF7E3B">
        <w:t xml:space="preserve"> of around 42 days</w:t>
      </w:r>
      <w:r w:rsidR="00DC62FD">
        <w:t xml:space="preserve"> for each dog</w:t>
      </w:r>
      <w:r w:rsidRPr="00EF7E3B">
        <w:t xml:space="preserve">. </w:t>
      </w:r>
      <w:r w:rsidR="00425C45" w:rsidRPr="00ED4EB2">
        <w:t xml:space="preserve">Where necessary, </w:t>
      </w:r>
      <w:r w:rsidR="00425C45" w:rsidRPr="00ED4EB2">
        <w:rPr>
          <w:lang w:val="en-US"/>
        </w:rPr>
        <w:t>re</w:t>
      </w:r>
      <w:r w:rsidR="00E37182">
        <w:rPr>
          <w:lang w:val="en-US"/>
        </w:rPr>
        <w:t>-</w:t>
      </w:r>
      <w:r w:rsidR="00425C45" w:rsidRPr="00ED4EB2">
        <w:rPr>
          <w:lang w:val="en-US"/>
        </w:rPr>
        <w:t xml:space="preserve">socialisation/re-training </w:t>
      </w:r>
      <w:r w:rsidR="00425C45">
        <w:rPr>
          <w:lang w:val="en-US"/>
        </w:rPr>
        <w:t xml:space="preserve">of </w:t>
      </w:r>
      <w:r w:rsidR="00425C45" w:rsidRPr="00ED4EB2">
        <w:rPr>
          <w:lang w:val="en-US"/>
        </w:rPr>
        <w:t xml:space="preserve">the dogs to adapt to a domestic environment </w:t>
      </w:r>
      <w:r w:rsidR="00425C45" w:rsidRPr="00E5159C">
        <w:rPr>
          <w:lang w:val="en-US"/>
        </w:rPr>
        <w:t>increases their</w:t>
      </w:r>
      <w:r w:rsidR="00425C45" w:rsidRPr="00ED4EB2">
        <w:rPr>
          <w:lang w:val="en-US"/>
        </w:rPr>
        <w:t xml:space="preserve"> chance</w:t>
      </w:r>
      <w:r w:rsidR="00425C45" w:rsidRPr="00E5159C">
        <w:rPr>
          <w:lang w:val="en-US"/>
        </w:rPr>
        <w:t>s</w:t>
      </w:r>
      <w:r w:rsidR="00425C45" w:rsidRPr="00ED4EB2">
        <w:rPr>
          <w:lang w:val="en-US"/>
        </w:rPr>
        <w:t xml:space="preserve"> of being rehomed as a pet.</w:t>
      </w:r>
    </w:p>
    <w:p w:rsidR="009E5D6A" w:rsidRPr="00EF7E3B" w:rsidRDefault="009E5D6A" w:rsidP="00F461C9">
      <w:pPr>
        <w:jc w:val="both"/>
        <w:rPr>
          <w:lang w:val="en-US"/>
        </w:rPr>
      </w:pPr>
    </w:p>
    <w:p w:rsidR="00F461C9" w:rsidRDefault="00F461C9" w:rsidP="00F461C9">
      <w:pPr>
        <w:jc w:val="both"/>
        <w:rPr>
          <w:rFonts w:cs="Arial-BoldMT"/>
          <w:bCs/>
        </w:rPr>
      </w:pPr>
      <w:r w:rsidRPr="00EF7E3B">
        <w:t>Genera</w:t>
      </w:r>
      <w:r w:rsidR="009E5D6A">
        <w:t>lly, greyhounds are</w:t>
      </w:r>
      <w:r w:rsidRPr="00EF7E3B">
        <w:t xml:space="preserve"> ‘raised to race’ </w:t>
      </w:r>
      <w:r w:rsidR="00D816F0">
        <w:t xml:space="preserve">and </w:t>
      </w:r>
      <w:r w:rsidR="004F6995">
        <w:t xml:space="preserve">potentially there is insufficient attention given to rehoming and </w:t>
      </w:r>
      <w:r w:rsidR="00114B0E">
        <w:t xml:space="preserve">formal </w:t>
      </w:r>
      <w:r w:rsidRPr="00EF7E3B">
        <w:t xml:space="preserve">consideration for their potential life post racing. </w:t>
      </w:r>
      <w:r w:rsidR="004F6995">
        <w:t xml:space="preserve">Some participants are of the view that rehoming skills can be taught after the greyhound finishes racing. </w:t>
      </w:r>
      <w:r w:rsidR="005E1990">
        <w:t>However, the proposed code greatly increases rehoming potential by providing a process for preparing greyhounds for retirement and rehoming at any stage of their lifecycle.</w:t>
      </w:r>
      <w:r w:rsidR="004F6995">
        <w:t xml:space="preserve"> </w:t>
      </w:r>
      <w:r w:rsidR="005E1990">
        <w:t>In addition, there are</w:t>
      </w:r>
      <w:r w:rsidR="00114B0E">
        <w:t xml:space="preserve"> a number of GRV initiatives which are aimed at ensuring rehoming is considered at all stages of a greyhounds lifecycle.</w:t>
      </w:r>
      <w:r w:rsidR="007B521C">
        <w:t xml:space="preserve"> </w:t>
      </w:r>
      <w:r w:rsidR="00114B0E">
        <w:t>However, a</w:t>
      </w:r>
      <w:r w:rsidRPr="00EF7E3B">
        <w:t xml:space="preserve">s a result, </w:t>
      </w:r>
      <w:r w:rsidR="00114B0E">
        <w:t xml:space="preserve">currently </w:t>
      </w:r>
      <w:r w:rsidRPr="00EF7E3B">
        <w:t>many greyhounds</w:t>
      </w:r>
      <w:r w:rsidRPr="00EF7E3B">
        <w:rPr>
          <w:i/>
        </w:rPr>
        <w:t xml:space="preserve"> ‘are not suitable for re-homing due to injury, disease or </w:t>
      </w:r>
      <w:r w:rsidRPr="00EF7E3B">
        <w:rPr>
          <w:i/>
        </w:rPr>
        <w:lastRenderedPageBreak/>
        <w:t>temperament issues’</w:t>
      </w:r>
      <w:r w:rsidRPr="004B0055">
        <w:rPr>
          <w:rStyle w:val="FootnoteReference"/>
        </w:rPr>
        <w:footnoteReference w:id="97"/>
      </w:r>
      <w:r w:rsidRPr="00EF7E3B">
        <w:rPr>
          <w:i/>
        </w:rPr>
        <w:t>.</w:t>
      </w:r>
      <w:r w:rsidR="007B521C">
        <w:t xml:space="preserve"> </w:t>
      </w:r>
      <w:r w:rsidRPr="00EF7E3B">
        <w:rPr>
          <w:rFonts w:cs="Arial-BoldMT"/>
          <w:bCs/>
        </w:rPr>
        <w:t xml:space="preserve">Lack of adequate socialisation may also make </w:t>
      </w:r>
      <w:r w:rsidR="00D94271">
        <w:rPr>
          <w:rFonts w:cs="Arial-BoldMT"/>
          <w:bCs/>
        </w:rPr>
        <w:t xml:space="preserve">dogs less suitable for </w:t>
      </w:r>
      <w:r w:rsidRPr="00EF7E3B">
        <w:rPr>
          <w:rFonts w:cs="Arial-BoldMT"/>
          <w:bCs/>
        </w:rPr>
        <w:t>rehom</w:t>
      </w:r>
      <w:r w:rsidR="00D94271">
        <w:rPr>
          <w:rFonts w:cs="Arial-BoldMT"/>
          <w:bCs/>
        </w:rPr>
        <w:t>ing once</w:t>
      </w:r>
      <w:r w:rsidRPr="00EF7E3B">
        <w:rPr>
          <w:rFonts w:cs="Arial-BoldMT"/>
          <w:bCs/>
        </w:rPr>
        <w:t xml:space="preserve"> retired or unwanted</w:t>
      </w:r>
      <w:r w:rsidR="00D94271">
        <w:rPr>
          <w:rFonts w:cs="Arial-BoldMT"/>
          <w:bCs/>
        </w:rPr>
        <w:t xml:space="preserve"> for racing purposes.</w:t>
      </w:r>
      <w:r w:rsidRPr="00EF7E3B">
        <w:rPr>
          <w:rFonts w:cs="Arial-BoldMT"/>
          <w:bCs/>
        </w:rPr>
        <w:t xml:space="preserve"> </w:t>
      </w:r>
      <w:r w:rsidR="000941FB">
        <w:rPr>
          <w:lang w:val="en-US"/>
        </w:rPr>
        <w:t>The NSW investigation identified that poor sociali</w:t>
      </w:r>
      <w:r w:rsidR="00425C45">
        <w:rPr>
          <w:lang w:val="en-US"/>
        </w:rPr>
        <w:t>s</w:t>
      </w:r>
      <w:r w:rsidR="000941FB">
        <w:rPr>
          <w:lang w:val="en-US"/>
        </w:rPr>
        <w:t xml:space="preserve">ation and habituation not only affect a greyhound’s prospects of being rehomed, but can also affect </w:t>
      </w:r>
      <w:r w:rsidR="003576C9">
        <w:rPr>
          <w:lang w:val="en-US"/>
        </w:rPr>
        <w:t>its</w:t>
      </w:r>
      <w:r w:rsidR="000941FB">
        <w:rPr>
          <w:lang w:val="en-US"/>
        </w:rPr>
        <w:t xml:space="preserve"> performance</w:t>
      </w:r>
      <w:r w:rsidR="000941FB" w:rsidRPr="004B0055">
        <w:rPr>
          <w:rStyle w:val="FootnoteReference"/>
        </w:rPr>
        <w:footnoteReference w:id="98"/>
      </w:r>
      <w:r w:rsidR="000941FB">
        <w:rPr>
          <w:lang w:val="en-US"/>
        </w:rPr>
        <w:t>.</w:t>
      </w:r>
    </w:p>
    <w:p w:rsidR="00D94271" w:rsidRDefault="00D94271" w:rsidP="00F461C9">
      <w:pPr>
        <w:jc w:val="both"/>
        <w:rPr>
          <w:rFonts w:cs="Arial-BoldMT"/>
          <w:bCs/>
        </w:rPr>
      </w:pPr>
    </w:p>
    <w:p w:rsidR="00D94271" w:rsidRPr="00EF7E3B" w:rsidRDefault="00D94271" w:rsidP="002A739B">
      <w:pPr>
        <w:jc w:val="both"/>
        <w:rPr>
          <w:rFonts w:cs="Arial-BoldMT"/>
          <w:bCs/>
        </w:rPr>
      </w:pPr>
      <w:r>
        <w:t xml:space="preserve">The current risk is that whenever they leave </w:t>
      </w:r>
      <w:r w:rsidR="00114B0E">
        <w:t xml:space="preserve">the industry </w:t>
      </w:r>
      <w:r>
        <w:t>during the lifecycle</w:t>
      </w:r>
      <w:r w:rsidR="001B3DB8">
        <w:t>,</w:t>
      </w:r>
      <w:r>
        <w:t xml:space="preserve"> dogs do not currently have the maximum potential for rehoming in that </w:t>
      </w:r>
      <w:r w:rsidR="00425C45">
        <w:t xml:space="preserve">some </w:t>
      </w:r>
      <w:r>
        <w:t>dogs are not versatile.</w:t>
      </w:r>
      <w:r w:rsidR="007B521C">
        <w:t xml:space="preserve"> </w:t>
      </w:r>
      <w:r>
        <w:t xml:space="preserve">The concern is not to increase the number rehomed but rather to look at whether greyhounds, wherever they are in the lifecycle, are suitable for </w:t>
      </w:r>
      <w:r w:rsidR="00425C45">
        <w:t>rehoming</w:t>
      </w:r>
      <w:r>
        <w:t>.</w:t>
      </w:r>
      <w:r w:rsidR="007B521C">
        <w:t xml:space="preserve"> </w:t>
      </w:r>
      <w:r w:rsidR="00DC5675">
        <w:t>Of the 5,353 reported greyhounds being retired per annum</w:t>
      </w:r>
      <w:r w:rsidR="0036540C">
        <w:t xml:space="preserve"> on average between 2013-14 and 2015-16</w:t>
      </w:r>
      <w:r w:rsidR="00DC5675">
        <w:t xml:space="preserve"> (see Table 7), it is estimated that around </w:t>
      </w:r>
      <w:r w:rsidR="00DC5675" w:rsidRPr="004B0055">
        <w:rPr>
          <w:i/>
        </w:rPr>
        <w:t>4,189 dogs</w:t>
      </w:r>
      <w:r w:rsidR="00DC5675">
        <w:t xml:space="preserve"> are affected by poor rehoming potential each year</w:t>
      </w:r>
      <w:r w:rsidR="00DC5675">
        <w:rPr>
          <w:rStyle w:val="FootnoteReference"/>
        </w:rPr>
        <w:footnoteReference w:id="99"/>
      </w:r>
      <w:r w:rsidR="00DC5675">
        <w:t>.</w:t>
      </w:r>
      <w:r w:rsidR="004306C0">
        <w:t xml:space="preserve"> </w:t>
      </w:r>
    </w:p>
    <w:p w:rsidR="00993505" w:rsidRPr="00F803A8" w:rsidRDefault="00993505" w:rsidP="00CA6877">
      <w:pPr>
        <w:rPr>
          <w:lang w:val="en-US"/>
        </w:rPr>
      </w:pPr>
    </w:p>
    <w:p w:rsidR="00E15FFD" w:rsidRPr="005F3BA9" w:rsidRDefault="009E5D6A" w:rsidP="00CA7E5B">
      <w:pPr>
        <w:pStyle w:val="H13pt"/>
      </w:pPr>
      <w:bookmarkStart w:id="82" w:name="_Toc456126059"/>
      <w:bookmarkStart w:id="83" w:name="_Toc469529157"/>
      <w:bookmarkStart w:id="84" w:name="_Toc477190173"/>
      <w:bookmarkStart w:id="85" w:name="_Toc456126046"/>
      <w:r w:rsidRPr="005F3BA9">
        <w:t>2.</w:t>
      </w:r>
      <w:r w:rsidR="003E3924" w:rsidRPr="005F3BA9">
        <w:t>3</w:t>
      </w:r>
      <w:r w:rsidR="00E15FFD" w:rsidRPr="005F3BA9">
        <w:t xml:space="preserve"> Risk Assessment</w:t>
      </w:r>
      <w:bookmarkEnd w:id="82"/>
      <w:bookmarkEnd w:id="83"/>
      <w:bookmarkEnd w:id="84"/>
      <w:r w:rsidR="00E15FFD" w:rsidRPr="005F3BA9">
        <w:t xml:space="preserve"> </w:t>
      </w:r>
    </w:p>
    <w:p w:rsidR="00E15FFD" w:rsidRPr="00E910C7" w:rsidRDefault="00E15FFD" w:rsidP="00E15FFD">
      <w:pPr>
        <w:jc w:val="both"/>
        <w:rPr>
          <w:color w:val="000000" w:themeColor="text1"/>
        </w:rPr>
      </w:pPr>
      <w:r w:rsidRPr="00E910C7">
        <w:rPr>
          <w:color w:val="000000" w:themeColor="text1"/>
        </w:rPr>
        <w:t xml:space="preserve">Assessing the level of risk measures the likelihood of an adverse event occurring and </w:t>
      </w:r>
      <w:r w:rsidR="00CA7E5B">
        <w:rPr>
          <w:color w:val="000000" w:themeColor="text1"/>
        </w:rPr>
        <w:br/>
      </w:r>
      <w:r w:rsidRPr="00E910C7">
        <w:rPr>
          <w:color w:val="000000" w:themeColor="text1"/>
        </w:rPr>
        <w:t>the severity of the consequences if it does occur</w:t>
      </w:r>
      <w:r>
        <w:rPr>
          <w:color w:val="000000" w:themeColor="text1"/>
        </w:rPr>
        <w:t>;</w:t>
      </w:r>
      <w:r w:rsidRPr="00E910C7">
        <w:rPr>
          <w:color w:val="000000" w:themeColor="text1"/>
        </w:rPr>
        <w:t xml:space="preserve"> as illustrated in </w:t>
      </w:r>
      <w:r>
        <w:rPr>
          <w:color w:val="000000" w:themeColor="text1"/>
        </w:rPr>
        <w:t xml:space="preserve">the following matrix in </w:t>
      </w:r>
      <w:r w:rsidR="00062EB0">
        <w:rPr>
          <w:color w:val="000000" w:themeColor="text1"/>
        </w:rPr>
        <w:t>Chart 5</w:t>
      </w:r>
      <w:r w:rsidRPr="00E910C7">
        <w:rPr>
          <w:color w:val="000000" w:themeColor="text1"/>
        </w:rPr>
        <w:t>.</w:t>
      </w:r>
    </w:p>
    <w:p w:rsidR="00E01F8B" w:rsidRDefault="00E01F8B" w:rsidP="00E15FFD"/>
    <w:p w:rsidR="00E15FFD" w:rsidRPr="004D060C" w:rsidRDefault="00062EB0" w:rsidP="007046FB">
      <w:pPr>
        <w:jc w:val="center"/>
        <w:rPr>
          <w:b/>
          <w:sz w:val="20"/>
        </w:rPr>
      </w:pPr>
      <w:r>
        <w:rPr>
          <w:b/>
          <w:sz w:val="20"/>
        </w:rPr>
        <w:t>Chart 5</w:t>
      </w:r>
      <w:r w:rsidR="00E15FFD" w:rsidRPr="004D060C">
        <w:rPr>
          <w:b/>
          <w:sz w:val="20"/>
        </w:rPr>
        <w:t>: Risk matrix</w:t>
      </w:r>
    </w:p>
    <w:p w:rsidR="00E15FFD" w:rsidRPr="001E3AB2" w:rsidRDefault="00E15FFD" w:rsidP="00E15FFD"/>
    <w:tbl>
      <w:tblPr>
        <w:tblW w:w="0" w:type="auto"/>
        <w:tblInd w:w="108" w:type="dxa"/>
        <w:tblLook w:val="04A0" w:firstRow="1" w:lastRow="0" w:firstColumn="1" w:lastColumn="0" w:noHBand="0" w:noVBand="1"/>
      </w:tblPr>
      <w:tblGrid>
        <w:gridCol w:w="634"/>
        <w:gridCol w:w="1461"/>
        <w:gridCol w:w="2081"/>
        <w:gridCol w:w="2237"/>
        <w:gridCol w:w="1809"/>
      </w:tblGrid>
      <w:tr w:rsidR="00E15FFD" w:rsidTr="00467942">
        <w:trPr>
          <w:trHeight w:val="309"/>
        </w:trPr>
        <w:tc>
          <w:tcPr>
            <w:tcW w:w="634" w:type="dxa"/>
            <w:vMerge w:val="restart"/>
            <w:textDirection w:val="btLr"/>
          </w:tcPr>
          <w:p w:rsidR="00E15FFD" w:rsidRPr="001E3AB2" w:rsidRDefault="00E15FFD" w:rsidP="00467942">
            <w:pPr>
              <w:ind w:left="113" w:right="113"/>
              <w:jc w:val="right"/>
              <w:rPr>
                <w:b/>
              </w:rPr>
            </w:pPr>
            <w:r w:rsidRPr="00CA7E5B">
              <w:rPr>
                <w:b/>
                <w:color w:val="53565A"/>
                <w:sz w:val="20"/>
              </w:rPr>
              <w:t>Likelihood</w:t>
            </w:r>
          </w:p>
        </w:tc>
        <w:tc>
          <w:tcPr>
            <w:tcW w:w="1461" w:type="dxa"/>
            <w:tcBorders>
              <w:right w:val="single" w:sz="4" w:space="0" w:color="1F497D" w:themeColor="text2"/>
            </w:tcBorders>
          </w:tcPr>
          <w:p w:rsidR="00E15FFD" w:rsidRPr="004B0055" w:rsidRDefault="00E15FFD" w:rsidP="00467942">
            <w:pPr>
              <w:rPr>
                <w:b/>
                <w:sz w:val="18"/>
              </w:rPr>
            </w:pPr>
            <w:r w:rsidRPr="004B0055">
              <w:rPr>
                <w:b/>
                <w:sz w:val="18"/>
              </w:rPr>
              <w:t>High</w:t>
            </w:r>
          </w:p>
        </w:tc>
        <w:tc>
          <w:tcPr>
            <w:tcW w:w="208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5B3D7" w:themeFill="accent1" w:themeFillTint="99"/>
          </w:tcPr>
          <w:p w:rsidR="00E15FFD" w:rsidRPr="004B0055" w:rsidRDefault="00E15FFD" w:rsidP="00467942">
            <w:pPr>
              <w:jc w:val="center"/>
              <w:rPr>
                <w:sz w:val="20"/>
              </w:rPr>
            </w:pPr>
            <w:r w:rsidRPr="004B0055">
              <w:rPr>
                <w:sz w:val="20"/>
              </w:rPr>
              <w:t>Medium risk</w:t>
            </w:r>
          </w:p>
        </w:tc>
        <w:tc>
          <w:tcPr>
            <w:tcW w:w="22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365F91" w:themeFill="accent1" w:themeFillShade="BF"/>
          </w:tcPr>
          <w:p w:rsidR="00E15FFD" w:rsidRPr="004B0055" w:rsidRDefault="00E15FFD" w:rsidP="00467942">
            <w:pPr>
              <w:jc w:val="center"/>
              <w:rPr>
                <w:color w:val="FFFFFF" w:themeColor="background1"/>
                <w:sz w:val="20"/>
              </w:rPr>
            </w:pPr>
            <w:r w:rsidRPr="004B0055">
              <w:rPr>
                <w:color w:val="FFFFFF" w:themeColor="background1"/>
                <w:sz w:val="20"/>
              </w:rPr>
              <w:t>High risk</w:t>
            </w:r>
          </w:p>
        </w:tc>
        <w:tc>
          <w:tcPr>
            <w:tcW w:w="18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365F91" w:themeFill="accent1" w:themeFillShade="BF"/>
          </w:tcPr>
          <w:p w:rsidR="00E15FFD" w:rsidRPr="004B0055" w:rsidRDefault="00E15FFD" w:rsidP="00467942">
            <w:pPr>
              <w:jc w:val="center"/>
              <w:rPr>
                <w:color w:val="FFFFFF" w:themeColor="background1"/>
                <w:sz w:val="20"/>
              </w:rPr>
            </w:pPr>
            <w:r w:rsidRPr="004B0055">
              <w:rPr>
                <w:color w:val="FFFFFF" w:themeColor="background1"/>
                <w:sz w:val="20"/>
              </w:rPr>
              <w:t>High risk</w:t>
            </w:r>
          </w:p>
        </w:tc>
      </w:tr>
      <w:tr w:rsidR="00E15FFD" w:rsidTr="00467942">
        <w:trPr>
          <w:trHeight w:val="79"/>
        </w:trPr>
        <w:tc>
          <w:tcPr>
            <w:tcW w:w="634" w:type="dxa"/>
            <w:vMerge/>
          </w:tcPr>
          <w:p w:rsidR="00E15FFD" w:rsidRDefault="00E15FFD" w:rsidP="00467942"/>
        </w:tc>
        <w:tc>
          <w:tcPr>
            <w:tcW w:w="1461" w:type="dxa"/>
            <w:tcBorders>
              <w:right w:val="single" w:sz="4" w:space="0" w:color="1F497D" w:themeColor="text2"/>
            </w:tcBorders>
          </w:tcPr>
          <w:p w:rsidR="00E15FFD" w:rsidRPr="004B0055" w:rsidRDefault="00E15FFD" w:rsidP="00467942">
            <w:pPr>
              <w:rPr>
                <w:b/>
                <w:sz w:val="18"/>
              </w:rPr>
            </w:pPr>
            <w:r w:rsidRPr="004B0055">
              <w:rPr>
                <w:b/>
                <w:sz w:val="18"/>
              </w:rPr>
              <w:t>Moderate</w:t>
            </w:r>
          </w:p>
        </w:tc>
        <w:tc>
          <w:tcPr>
            <w:tcW w:w="208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hemeFill="accent1" w:themeFillTint="33"/>
          </w:tcPr>
          <w:p w:rsidR="00E15FFD" w:rsidRPr="004B0055" w:rsidRDefault="00E15FFD" w:rsidP="00467942">
            <w:pPr>
              <w:jc w:val="center"/>
              <w:rPr>
                <w:sz w:val="20"/>
              </w:rPr>
            </w:pPr>
            <w:r w:rsidRPr="004B0055">
              <w:rPr>
                <w:sz w:val="20"/>
              </w:rPr>
              <w:t>Low risk</w:t>
            </w:r>
          </w:p>
        </w:tc>
        <w:tc>
          <w:tcPr>
            <w:tcW w:w="22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5B3D7" w:themeFill="accent1" w:themeFillTint="99"/>
          </w:tcPr>
          <w:p w:rsidR="00E15FFD" w:rsidRPr="004B0055" w:rsidRDefault="00E15FFD" w:rsidP="00467942">
            <w:pPr>
              <w:jc w:val="center"/>
              <w:rPr>
                <w:sz w:val="20"/>
              </w:rPr>
            </w:pPr>
            <w:r w:rsidRPr="004B0055">
              <w:rPr>
                <w:sz w:val="20"/>
              </w:rPr>
              <w:t>Medium risk</w:t>
            </w:r>
          </w:p>
        </w:tc>
        <w:tc>
          <w:tcPr>
            <w:tcW w:w="18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365F91" w:themeFill="accent1" w:themeFillShade="BF"/>
          </w:tcPr>
          <w:p w:rsidR="00E15FFD" w:rsidRPr="004B0055" w:rsidRDefault="00E15FFD" w:rsidP="00467942">
            <w:pPr>
              <w:jc w:val="center"/>
              <w:rPr>
                <w:sz w:val="20"/>
              </w:rPr>
            </w:pPr>
            <w:r w:rsidRPr="004B0055">
              <w:rPr>
                <w:color w:val="FFFFFF" w:themeColor="background1"/>
                <w:sz w:val="20"/>
              </w:rPr>
              <w:t>High risk</w:t>
            </w:r>
          </w:p>
        </w:tc>
      </w:tr>
      <w:tr w:rsidR="00E15FFD" w:rsidTr="00753110">
        <w:tc>
          <w:tcPr>
            <w:tcW w:w="634" w:type="dxa"/>
            <w:vMerge/>
          </w:tcPr>
          <w:p w:rsidR="00E15FFD" w:rsidRDefault="00E15FFD" w:rsidP="00467942"/>
        </w:tc>
        <w:tc>
          <w:tcPr>
            <w:tcW w:w="1461" w:type="dxa"/>
            <w:tcBorders>
              <w:right w:val="single" w:sz="4" w:space="0" w:color="1F497D" w:themeColor="text2"/>
            </w:tcBorders>
          </w:tcPr>
          <w:p w:rsidR="00E15FFD" w:rsidRPr="004B0055" w:rsidRDefault="00E15FFD" w:rsidP="00467942">
            <w:pPr>
              <w:rPr>
                <w:b/>
                <w:sz w:val="18"/>
              </w:rPr>
            </w:pPr>
            <w:r w:rsidRPr="004B0055">
              <w:rPr>
                <w:b/>
                <w:sz w:val="18"/>
              </w:rPr>
              <w:t>Low</w:t>
            </w:r>
          </w:p>
        </w:tc>
        <w:tc>
          <w:tcPr>
            <w:tcW w:w="2081"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cPr>
          <w:p w:rsidR="00E15FFD" w:rsidRPr="004B0055" w:rsidRDefault="00E15FFD" w:rsidP="00467942">
            <w:pPr>
              <w:jc w:val="center"/>
              <w:rPr>
                <w:sz w:val="20"/>
              </w:rPr>
            </w:pPr>
            <w:r w:rsidRPr="004B0055">
              <w:rPr>
                <w:sz w:val="20"/>
              </w:rPr>
              <w:t>Low risk</w:t>
            </w:r>
          </w:p>
        </w:tc>
        <w:tc>
          <w:tcPr>
            <w:tcW w:w="2237"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DBE5F1"/>
          </w:tcPr>
          <w:p w:rsidR="00E15FFD" w:rsidRPr="004B0055" w:rsidRDefault="00E15FFD" w:rsidP="00467942">
            <w:pPr>
              <w:jc w:val="center"/>
              <w:rPr>
                <w:sz w:val="20"/>
              </w:rPr>
            </w:pPr>
            <w:r w:rsidRPr="004B0055">
              <w:rPr>
                <w:sz w:val="20"/>
              </w:rPr>
              <w:t>Low risk</w:t>
            </w:r>
          </w:p>
        </w:tc>
        <w:tc>
          <w:tcPr>
            <w:tcW w:w="1809" w:type="dxa"/>
            <w:tcBorders>
              <w:top w:val="single" w:sz="4" w:space="0" w:color="1F497D" w:themeColor="text2"/>
              <w:left w:val="single" w:sz="4" w:space="0" w:color="1F497D" w:themeColor="text2"/>
              <w:bottom w:val="single" w:sz="4" w:space="0" w:color="1F497D" w:themeColor="text2"/>
              <w:right w:val="single" w:sz="4" w:space="0" w:color="1F497D" w:themeColor="text2"/>
            </w:tcBorders>
            <w:shd w:val="clear" w:color="auto" w:fill="95B3D7" w:themeFill="accent1" w:themeFillTint="99"/>
          </w:tcPr>
          <w:p w:rsidR="00E15FFD" w:rsidRPr="004B0055" w:rsidRDefault="00E15FFD" w:rsidP="00467942">
            <w:pPr>
              <w:jc w:val="center"/>
              <w:rPr>
                <w:sz w:val="20"/>
              </w:rPr>
            </w:pPr>
            <w:r w:rsidRPr="004B0055">
              <w:rPr>
                <w:sz w:val="20"/>
              </w:rPr>
              <w:t>Medium risk</w:t>
            </w:r>
          </w:p>
        </w:tc>
      </w:tr>
      <w:tr w:rsidR="00E15FFD" w:rsidTr="00467942">
        <w:tc>
          <w:tcPr>
            <w:tcW w:w="634" w:type="dxa"/>
            <w:vMerge/>
          </w:tcPr>
          <w:p w:rsidR="00E15FFD" w:rsidRDefault="00E15FFD" w:rsidP="00467942"/>
        </w:tc>
        <w:tc>
          <w:tcPr>
            <w:tcW w:w="1461" w:type="dxa"/>
          </w:tcPr>
          <w:p w:rsidR="00E15FFD" w:rsidRPr="00E87615" w:rsidRDefault="00E15FFD" w:rsidP="00467942"/>
        </w:tc>
        <w:tc>
          <w:tcPr>
            <w:tcW w:w="2081" w:type="dxa"/>
            <w:tcBorders>
              <w:top w:val="single" w:sz="4" w:space="0" w:color="1F497D" w:themeColor="text2"/>
            </w:tcBorders>
            <w:shd w:val="clear" w:color="auto" w:fill="FFFFFF" w:themeFill="background1"/>
          </w:tcPr>
          <w:p w:rsidR="00E15FFD" w:rsidRPr="004B0055" w:rsidRDefault="00E15FFD" w:rsidP="00467942">
            <w:pPr>
              <w:jc w:val="center"/>
              <w:rPr>
                <w:b/>
                <w:sz w:val="18"/>
              </w:rPr>
            </w:pPr>
            <w:r w:rsidRPr="004B0055">
              <w:rPr>
                <w:b/>
                <w:sz w:val="18"/>
              </w:rPr>
              <w:t>Low</w:t>
            </w:r>
          </w:p>
        </w:tc>
        <w:tc>
          <w:tcPr>
            <w:tcW w:w="2237" w:type="dxa"/>
            <w:tcBorders>
              <w:top w:val="single" w:sz="4" w:space="0" w:color="1F497D" w:themeColor="text2"/>
            </w:tcBorders>
            <w:shd w:val="clear" w:color="auto" w:fill="FFFFFF" w:themeFill="background1"/>
          </w:tcPr>
          <w:p w:rsidR="00E15FFD" w:rsidRPr="004B0055" w:rsidRDefault="00E15FFD" w:rsidP="00467942">
            <w:pPr>
              <w:jc w:val="center"/>
              <w:rPr>
                <w:b/>
                <w:sz w:val="18"/>
              </w:rPr>
            </w:pPr>
            <w:r w:rsidRPr="004B0055">
              <w:rPr>
                <w:b/>
                <w:sz w:val="18"/>
              </w:rPr>
              <w:t>Moderate</w:t>
            </w:r>
          </w:p>
        </w:tc>
        <w:tc>
          <w:tcPr>
            <w:tcW w:w="1809" w:type="dxa"/>
            <w:tcBorders>
              <w:top w:val="single" w:sz="4" w:space="0" w:color="1F497D" w:themeColor="text2"/>
            </w:tcBorders>
            <w:shd w:val="clear" w:color="auto" w:fill="FFFFFF" w:themeFill="background1"/>
          </w:tcPr>
          <w:p w:rsidR="00E15FFD" w:rsidRPr="004B0055" w:rsidRDefault="00E15FFD" w:rsidP="00467942">
            <w:pPr>
              <w:jc w:val="center"/>
              <w:rPr>
                <w:b/>
                <w:sz w:val="18"/>
              </w:rPr>
            </w:pPr>
            <w:r w:rsidRPr="004B0055">
              <w:rPr>
                <w:b/>
                <w:sz w:val="18"/>
              </w:rPr>
              <w:t>High</w:t>
            </w:r>
          </w:p>
        </w:tc>
      </w:tr>
      <w:tr w:rsidR="00E15FFD" w:rsidTr="00467942">
        <w:trPr>
          <w:trHeight w:val="263"/>
        </w:trPr>
        <w:tc>
          <w:tcPr>
            <w:tcW w:w="634" w:type="dxa"/>
            <w:vMerge/>
          </w:tcPr>
          <w:p w:rsidR="00E15FFD" w:rsidRDefault="00E15FFD" w:rsidP="00467942"/>
        </w:tc>
        <w:tc>
          <w:tcPr>
            <w:tcW w:w="7588" w:type="dxa"/>
            <w:gridSpan w:val="4"/>
          </w:tcPr>
          <w:p w:rsidR="00E15FFD" w:rsidRPr="001E3AB2" w:rsidRDefault="007B521C" w:rsidP="00467942">
            <w:pPr>
              <w:jc w:val="center"/>
              <w:rPr>
                <w:b/>
              </w:rPr>
            </w:pPr>
            <w:r>
              <w:rPr>
                <w:b/>
                <w:sz w:val="18"/>
              </w:rPr>
              <w:t xml:space="preserve">         </w:t>
            </w:r>
            <w:r w:rsidR="00E15FFD" w:rsidRPr="00CA7E5B">
              <w:rPr>
                <w:b/>
                <w:color w:val="53565A"/>
                <w:sz w:val="20"/>
              </w:rPr>
              <w:t>Consequences</w:t>
            </w:r>
          </w:p>
        </w:tc>
      </w:tr>
    </w:tbl>
    <w:p w:rsidR="00E15FFD" w:rsidRDefault="00E15FFD" w:rsidP="00E15FFD"/>
    <w:p w:rsidR="00E15FFD" w:rsidRDefault="00E15FFD" w:rsidP="00E15FFD">
      <w:pPr>
        <w:jc w:val="both"/>
      </w:pPr>
      <w:r>
        <w:t xml:space="preserve">The likelihood of poor welfare is difficult to quantify; while for a </w:t>
      </w:r>
      <w:r w:rsidR="0036540C">
        <w:t>prize-winning</w:t>
      </w:r>
      <w:r>
        <w:t xml:space="preserve"> dog is it likely to be very low, for a poorly performing dog it could be high. The consequences are also variable for the same reason; thus, the risk towards animal welfare will range from low risk to high risk depending on the value placed on the dog by the owner and at what stage of the lifecycle the dog is a</w:t>
      </w:r>
      <w:r w:rsidR="005D22C9">
        <w:t xml:space="preserve">t (see Chart </w:t>
      </w:r>
      <w:r w:rsidR="001B3DB8">
        <w:t>2</w:t>
      </w:r>
      <w:r>
        <w:t>). There is no doubt that not all dogs are winners and so there is a very real high risk to a proportion of lower performing dogs under the current code.</w:t>
      </w:r>
    </w:p>
    <w:p w:rsidR="00E653D4" w:rsidRDefault="00E653D4" w:rsidP="00E15FFD">
      <w:pPr>
        <w:jc w:val="both"/>
      </w:pPr>
    </w:p>
    <w:p w:rsidR="0001265C" w:rsidRDefault="00E653D4" w:rsidP="00E653D4">
      <w:pPr>
        <w:jc w:val="both"/>
      </w:pPr>
      <w:r>
        <w:t xml:space="preserve">The likelihood </w:t>
      </w:r>
      <w:r w:rsidR="00425C45">
        <w:t xml:space="preserve">of a </w:t>
      </w:r>
      <w:r>
        <w:t>greyhound ‘reaching racing status</w:t>
      </w:r>
      <w:r w:rsidR="00C93186">
        <w:t>’</w:t>
      </w:r>
      <w:r>
        <w:t xml:space="preserve"> is currently 1:</w:t>
      </w:r>
      <w:r w:rsidR="009712FB">
        <w:t>1.67</w:t>
      </w:r>
      <w:r w:rsidR="00E2479C">
        <w:t xml:space="preserve">, meaning a </w:t>
      </w:r>
      <w:r>
        <w:t xml:space="preserve">moderate </w:t>
      </w:r>
      <w:r w:rsidR="009712FB">
        <w:t xml:space="preserve">to high </w:t>
      </w:r>
      <w:r>
        <w:t xml:space="preserve">likelihood (depending on the carers) </w:t>
      </w:r>
      <w:r w:rsidR="009712FB">
        <w:t>that</w:t>
      </w:r>
      <w:r w:rsidR="00E2479C">
        <w:t xml:space="preserve"> greyhounds</w:t>
      </w:r>
      <w:r w:rsidR="009712FB">
        <w:t xml:space="preserve"> </w:t>
      </w:r>
      <w:r>
        <w:t>will exit the industry and not reach racing status.</w:t>
      </w:r>
      <w:r w:rsidR="007B521C">
        <w:t xml:space="preserve"> </w:t>
      </w:r>
      <w:r w:rsidR="00E2479C">
        <w:t>Once greyhounds</w:t>
      </w:r>
      <w:r w:rsidR="009712FB">
        <w:t xml:space="preserve"> do exit the industry</w:t>
      </w:r>
      <w:r w:rsidR="00E2479C">
        <w:t>,</w:t>
      </w:r>
      <w:r w:rsidR="009712FB">
        <w:t xml:space="preserve"> the concern is whether or not a dog will be suitably euthanased or suitable for rehoming.</w:t>
      </w:r>
    </w:p>
    <w:p w:rsidR="0001265C" w:rsidRDefault="0001265C" w:rsidP="00E653D4">
      <w:pPr>
        <w:jc w:val="both"/>
      </w:pPr>
    </w:p>
    <w:tbl>
      <w:tblPr>
        <w:tblW w:w="0" w:type="auto"/>
        <w:tblLook w:val="04A0" w:firstRow="1" w:lastRow="0" w:firstColumn="1" w:lastColumn="0" w:noHBand="0" w:noVBand="1"/>
      </w:tblPr>
      <w:tblGrid>
        <w:gridCol w:w="8437"/>
      </w:tblGrid>
      <w:tr w:rsidR="0083588F" w:rsidTr="0083588F">
        <w:tc>
          <w:tcPr>
            <w:tcW w:w="8437" w:type="dxa"/>
            <w:shd w:val="clear" w:color="auto" w:fill="D9D9D9" w:themeFill="background1" w:themeFillShade="D9"/>
          </w:tcPr>
          <w:p w:rsidR="0083588F" w:rsidRDefault="0083588F" w:rsidP="0083588F">
            <w:pPr>
              <w:rPr>
                <w:b/>
              </w:rPr>
            </w:pPr>
            <w:r>
              <w:rPr>
                <w:b/>
              </w:rPr>
              <w:t>Comment by GRV</w:t>
            </w:r>
            <w:r w:rsidRPr="00457D62">
              <w:rPr>
                <w:b/>
              </w:rPr>
              <w:t>;</w:t>
            </w:r>
          </w:p>
          <w:p w:rsidR="0083588F" w:rsidRPr="0083588F" w:rsidRDefault="0083588F" w:rsidP="002A1729">
            <w:pPr>
              <w:rPr>
                <w:rFonts w:eastAsia="MS Mincho"/>
              </w:rPr>
            </w:pPr>
            <w:r w:rsidRPr="00470B05">
              <w:rPr>
                <w:rFonts w:eastAsia="MS Mincho"/>
              </w:rPr>
              <w:t>This issue is being monitored by GRV</w:t>
            </w:r>
            <w:r w:rsidR="002A1729">
              <w:rPr>
                <w:rFonts w:eastAsia="MS Mincho"/>
              </w:rPr>
              <w:t>. GRV are seeking to rehome and provide</w:t>
            </w:r>
            <w:r w:rsidRPr="00470B05">
              <w:rPr>
                <w:rFonts w:eastAsia="MS Mincho"/>
              </w:rPr>
              <w:t xml:space="preserve"> opport</w:t>
            </w:r>
            <w:r w:rsidR="002A1729">
              <w:rPr>
                <w:rFonts w:eastAsia="MS Mincho"/>
              </w:rPr>
              <w:t>unities to greyhounds through</w:t>
            </w:r>
            <w:r w:rsidRPr="00470B05">
              <w:rPr>
                <w:rFonts w:eastAsia="MS Mincho"/>
              </w:rPr>
              <w:t xml:space="preserve"> its rehoming programs and initiatives.</w:t>
            </w:r>
          </w:p>
        </w:tc>
      </w:tr>
    </w:tbl>
    <w:p w:rsidR="0001265C" w:rsidRDefault="0001265C" w:rsidP="00E653D4">
      <w:pPr>
        <w:jc w:val="both"/>
      </w:pPr>
    </w:p>
    <w:p w:rsidR="00CA7E5B" w:rsidRDefault="00CA7E5B">
      <w:pPr>
        <w:rPr>
          <w:rFonts w:eastAsia="Times New Roman" w:cs="Arial"/>
          <w:b/>
          <w:color w:val="53565A"/>
          <w:sz w:val="26"/>
          <w:szCs w:val="26"/>
        </w:rPr>
      </w:pPr>
      <w:bookmarkStart w:id="86" w:name="_Toc456126060"/>
      <w:bookmarkStart w:id="87" w:name="_Toc469529158"/>
      <w:bookmarkStart w:id="88" w:name="_Toc456126061"/>
      <w:bookmarkEnd w:id="85"/>
      <w:r>
        <w:br w:type="page"/>
      </w:r>
    </w:p>
    <w:p w:rsidR="00E15FFD" w:rsidRPr="005F3BA9" w:rsidRDefault="00E653D4" w:rsidP="00CA7E5B">
      <w:pPr>
        <w:pStyle w:val="H13pt"/>
      </w:pPr>
      <w:bookmarkStart w:id="89" w:name="_Toc477190174"/>
      <w:r w:rsidRPr="005F3BA9">
        <w:lastRenderedPageBreak/>
        <w:t>2.</w:t>
      </w:r>
      <w:r w:rsidR="003E3924" w:rsidRPr="005F3BA9">
        <w:t>4</w:t>
      </w:r>
      <w:r w:rsidR="00E15FFD" w:rsidRPr="005F3BA9">
        <w:t xml:space="preserve"> Consequence of the base case</w:t>
      </w:r>
      <w:bookmarkEnd w:id="86"/>
      <w:bookmarkEnd w:id="87"/>
      <w:bookmarkEnd w:id="89"/>
    </w:p>
    <w:p w:rsidR="00574E23" w:rsidRDefault="00E15FFD" w:rsidP="00574E23">
      <w:pPr>
        <w:jc w:val="both"/>
        <w:rPr>
          <w:color w:val="000000" w:themeColor="text1"/>
        </w:rPr>
      </w:pPr>
      <w:r>
        <w:t xml:space="preserve">The base case is defined as the situation that exists in the absence of the proposed code. </w:t>
      </w:r>
      <w:r w:rsidRPr="005A6A0A">
        <w:t xml:space="preserve">It is </w:t>
      </w:r>
      <w:r>
        <w:t xml:space="preserve">important to note that </w:t>
      </w:r>
      <w:r w:rsidR="00394108">
        <w:t xml:space="preserve">the discussion of risks does not arise </w:t>
      </w:r>
      <w:r>
        <w:t>from a zero base. As discusse</w:t>
      </w:r>
      <w:r w:rsidR="00E653D4">
        <w:t xml:space="preserve">d in </w:t>
      </w:r>
      <w:r w:rsidR="00E01F8B">
        <w:t xml:space="preserve">Section </w:t>
      </w:r>
      <w:r w:rsidR="00E653D4">
        <w:t>1.3</w:t>
      </w:r>
      <w:r>
        <w:t xml:space="preserve"> of this RIS, there is an existing code and numerous mandatory rules in place that are not sunsetting and that will remain in place as part of the base case.</w:t>
      </w:r>
      <w:r w:rsidR="007B521C">
        <w:t xml:space="preserve"> </w:t>
      </w:r>
      <w:r w:rsidR="002C026B">
        <w:rPr>
          <w:color w:val="000000" w:themeColor="text1"/>
        </w:rPr>
        <w:t>L</w:t>
      </w:r>
      <w:r w:rsidR="00574E23">
        <w:rPr>
          <w:color w:val="000000" w:themeColor="text1"/>
        </w:rPr>
        <w:t xml:space="preserve">ocal rules </w:t>
      </w:r>
      <w:r w:rsidR="00394108">
        <w:rPr>
          <w:color w:val="000000" w:themeColor="text1"/>
        </w:rPr>
        <w:t xml:space="preserve">and current code </w:t>
      </w:r>
      <w:r w:rsidR="00574E23">
        <w:rPr>
          <w:color w:val="000000" w:themeColor="text1"/>
        </w:rPr>
        <w:t>would continue to be enforced by GRV under the Racing A</w:t>
      </w:r>
      <w:r w:rsidR="00574E23" w:rsidRPr="00574E23">
        <w:rPr>
          <w:color w:val="000000" w:themeColor="text1"/>
        </w:rPr>
        <w:t>ct in a civil jurisdiction (VCAT)</w:t>
      </w:r>
      <w:r w:rsidR="00574E23">
        <w:rPr>
          <w:color w:val="000000" w:themeColor="text1"/>
        </w:rPr>
        <w:t>.</w:t>
      </w:r>
      <w:r w:rsidR="007B521C">
        <w:rPr>
          <w:color w:val="000000" w:themeColor="text1"/>
        </w:rPr>
        <w:t xml:space="preserve"> </w:t>
      </w:r>
      <w:r w:rsidR="00574E23">
        <w:rPr>
          <w:color w:val="000000" w:themeColor="text1"/>
        </w:rPr>
        <w:t xml:space="preserve">In addition, </w:t>
      </w:r>
      <w:r w:rsidR="00114B0E">
        <w:rPr>
          <w:color w:val="000000" w:themeColor="text1"/>
        </w:rPr>
        <w:t xml:space="preserve">Greyhound Racing </w:t>
      </w:r>
      <w:r w:rsidR="00574E23">
        <w:rPr>
          <w:color w:val="000000" w:themeColor="text1"/>
        </w:rPr>
        <w:t xml:space="preserve">rules, along with the </w:t>
      </w:r>
      <w:r w:rsidR="00574E23" w:rsidRPr="00574E23">
        <w:rPr>
          <w:color w:val="000000" w:themeColor="text1"/>
        </w:rPr>
        <w:t>c</w:t>
      </w:r>
      <w:r w:rsidR="00574E23">
        <w:rPr>
          <w:color w:val="000000" w:themeColor="text1"/>
        </w:rPr>
        <w:t xml:space="preserve">urrent code of practice would continue to operate as a </w:t>
      </w:r>
      <w:r w:rsidR="00574E23" w:rsidRPr="004B0055">
        <w:rPr>
          <w:i/>
          <w:color w:val="000000" w:themeColor="text1"/>
        </w:rPr>
        <w:t>defensive code only</w:t>
      </w:r>
      <w:r w:rsidR="00574E23">
        <w:rPr>
          <w:color w:val="000000" w:themeColor="text1"/>
        </w:rPr>
        <w:t xml:space="preserve"> under the Greyhound Australasia rules and would not be </w:t>
      </w:r>
      <w:r w:rsidR="00574E23" w:rsidRPr="00574E23">
        <w:rPr>
          <w:color w:val="000000" w:themeColor="text1"/>
        </w:rPr>
        <w:t>prosecutable under the DAA</w:t>
      </w:r>
      <w:r w:rsidR="00574E23">
        <w:rPr>
          <w:color w:val="000000" w:themeColor="text1"/>
        </w:rPr>
        <w:t>.</w:t>
      </w:r>
      <w:r w:rsidR="007B521C">
        <w:rPr>
          <w:color w:val="000000" w:themeColor="text1"/>
        </w:rPr>
        <w:t xml:space="preserve"> </w:t>
      </w:r>
      <w:r w:rsidR="00574E23">
        <w:rPr>
          <w:color w:val="000000" w:themeColor="text1"/>
        </w:rPr>
        <w:t>The process of identifying breaches under the base case would continue to operate as</w:t>
      </w:r>
      <w:r w:rsidR="00E50D30">
        <w:rPr>
          <w:color w:val="000000" w:themeColor="text1"/>
        </w:rPr>
        <w:t xml:space="preserve"> illustrated</w:t>
      </w:r>
      <w:r w:rsidR="00574E23">
        <w:rPr>
          <w:color w:val="000000" w:themeColor="text1"/>
        </w:rPr>
        <w:t xml:space="preserve"> </w:t>
      </w:r>
      <w:r w:rsidR="00E50D30">
        <w:rPr>
          <w:color w:val="000000" w:themeColor="text1"/>
        </w:rPr>
        <w:t xml:space="preserve">in </w:t>
      </w:r>
      <w:r w:rsidR="00574E23">
        <w:rPr>
          <w:color w:val="000000" w:themeColor="text1"/>
        </w:rPr>
        <w:t xml:space="preserve">Chart </w:t>
      </w:r>
      <w:r w:rsidR="00E50D30">
        <w:rPr>
          <w:color w:val="000000" w:themeColor="text1"/>
        </w:rPr>
        <w:t>6.</w:t>
      </w:r>
    </w:p>
    <w:p w:rsidR="00E50D30" w:rsidRDefault="00E50D30" w:rsidP="00574E23">
      <w:pPr>
        <w:jc w:val="both"/>
        <w:rPr>
          <w:color w:val="000000" w:themeColor="text1"/>
        </w:rPr>
      </w:pPr>
    </w:p>
    <w:p w:rsidR="00E50D30" w:rsidRPr="004B0055" w:rsidRDefault="00074AE4" w:rsidP="004B0055">
      <w:pPr>
        <w:jc w:val="center"/>
        <w:rPr>
          <w:b/>
          <w:color w:val="000000" w:themeColor="text1"/>
        </w:rPr>
      </w:pPr>
      <w:r w:rsidRPr="004B0055">
        <w:rPr>
          <w:b/>
          <w:color w:val="000000" w:themeColor="text1"/>
        </w:rPr>
        <w:t xml:space="preserve">Chart 6: Process of </w:t>
      </w:r>
      <w:r w:rsidR="002C026B">
        <w:rPr>
          <w:b/>
          <w:color w:val="000000" w:themeColor="text1"/>
        </w:rPr>
        <w:t xml:space="preserve">civil </w:t>
      </w:r>
      <w:r w:rsidRPr="004B0055">
        <w:rPr>
          <w:b/>
          <w:color w:val="000000" w:themeColor="text1"/>
        </w:rPr>
        <w:t>enforcement and legislative instruments under the base case</w:t>
      </w:r>
      <w:r w:rsidR="006C6D34">
        <w:rPr>
          <w:rStyle w:val="FootnoteReference"/>
          <w:b/>
          <w:color w:val="000000" w:themeColor="text1"/>
        </w:rPr>
        <w:footnoteReference w:id="100"/>
      </w:r>
    </w:p>
    <w:p w:rsidR="00074AE4" w:rsidRDefault="00074AE4" w:rsidP="004B0055">
      <w:pPr>
        <w:jc w:val="center"/>
        <w:rPr>
          <w:color w:val="000000" w:themeColor="text1"/>
        </w:rPr>
      </w:pPr>
    </w:p>
    <w:p w:rsidR="00574E23" w:rsidRDefault="0061221C" w:rsidP="00574E23">
      <w:pPr>
        <w:jc w:val="both"/>
        <w:rPr>
          <w:color w:val="000000" w:themeColor="text1"/>
        </w:rPr>
      </w:pPr>
      <w:r>
        <w:rPr>
          <w:noProof/>
          <w:color w:val="000000" w:themeColor="text1"/>
          <w:lang w:eastAsia="en-AU"/>
        </w:rPr>
        <w:drawing>
          <wp:inline distT="0" distB="0" distL="0" distR="0" wp14:anchorId="0C9426B2" wp14:editId="2A9D38B5">
            <wp:extent cx="5207316" cy="3261621"/>
            <wp:effectExtent l="0" t="0" r="0" b="0"/>
            <wp:docPr id="13" name="Picture 13" descr="Welfare breaches (non-criminal offences) are identified through the Local Rules:&#10;LR42 (Vic) Welfare of Greyhounds (amended 14/06/2016)&#10;• 42.1 It is a Serious Offence if a person keeps a greyhound in conditions which are dangerous or detrimental to the health and safety of a greyhound.&#10;• 42.2 A person shall not in the keeping of any greyhound cause or permit that greyhound to suffer in any manner on any premises owned or occupied by that person or permit any nuisance or other condition that is likely to be dangerous to the health or safety of that greyhound or which is otherwise offensive.&#10;• 42.6 When a gryhound is not suited to racing, the Owner must make every effort to find a suitable long term home for that greyhound in order to avoide the euthanasia of an otherwise fit and healthy greyound. (added 14/06/2016)&#10;• The current Code of Practice for the Operation of Greyhound Establishments is established as a minimum standard under the Local Rules&#10;If welfare breaches are not identified under Local Rules, GRV will seek to identify breaches through the Greyhound Australasia Rules;&#10;R106 Proper care (welfare) of greyhounds&#10;1. A registered person must ensure that greyhounds, which are in the person’s care or custody, are provided at all times with:&#10;a. proper and sufficient food, drink and protective apparel&#10;b. proper exercise&#10;c. kennels constructed and of a standard approved by the Controlling Body which are adequate in size and which are kept in a clean and sanitary condition; and&#10;d. veterinary attention when necessary.&#10;2. A registered person must exercise such reasonable care and supervision as may be necessary to prevent greyhounds pursuant to the person’s care or custody from being subjected to unnecessary pain of suffering.&#10;3. At any time after the notification of the result of service pursuant to R136, the last registered owner of the greyhound at the relevant time, shall, notify the Controlling Body by lodging the prescribed form:&#10;a. Within ten working days, if that greyhound has transferred ownership, been retired as a pet or a breeding greyhound, been transferred to an adoption program, exported, surrendered to another agency&#10;b. Within two working days if that greyhound has been humanely euthanased by a verterinary surgeon or deceased. (amended 01.12.2015)&#10;4. It shall be a requirement to include a veterinary certificate of euthanasia when lodging the appropriate form for any greyhound that has been euthanased by that veterinary surgeon.&#10;5. An owner or person responsible at the relevant time who fails to comply with any provision of this rule shall be guilty of an offence and liable to a penalty in accordance with Rule 95. (amended 01.01.11)&#10;GRV can impose a civil fine&#10;Civil matter may be contested in VCAT&#10;&#10;" title="PRocess of civil enforcement and legislative 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19133" cy="3269023"/>
                    </a:xfrm>
                    <a:prstGeom prst="rect">
                      <a:avLst/>
                    </a:prstGeom>
                    <a:noFill/>
                  </pic:spPr>
                </pic:pic>
              </a:graphicData>
            </a:graphic>
          </wp:inline>
        </w:drawing>
      </w:r>
    </w:p>
    <w:p w:rsidR="00574E23" w:rsidRDefault="00574E23" w:rsidP="00574E23">
      <w:pPr>
        <w:jc w:val="both"/>
        <w:rPr>
          <w:color w:val="000000" w:themeColor="text1"/>
        </w:rPr>
      </w:pPr>
    </w:p>
    <w:p w:rsidR="00E15FFD" w:rsidRPr="00CA7E5B" w:rsidRDefault="00BD0916" w:rsidP="00E15FFD">
      <w:pPr>
        <w:jc w:val="both"/>
      </w:pPr>
      <w:r>
        <w:t xml:space="preserve">Notwithstanding low rates of compliance and </w:t>
      </w:r>
      <w:r w:rsidR="007F0D5C">
        <w:t xml:space="preserve">the </w:t>
      </w:r>
      <w:r>
        <w:t>potential challenge of matters brought about by</w:t>
      </w:r>
      <w:r w:rsidR="007F0D5C">
        <w:t xml:space="preserve"> this</w:t>
      </w:r>
      <w:r>
        <w:t xml:space="preserve"> process of civil enforcement, the main root causes of the problems to be addressed in this RIS would continue to be linked </w:t>
      </w:r>
      <w:r w:rsidR="009703B5">
        <w:t>to inadequacies of the current C</w:t>
      </w:r>
      <w:r>
        <w:t>ode.</w:t>
      </w:r>
      <w:r w:rsidR="007B521C">
        <w:rPr>
          <w:color w:val="000000" w:themeColor="text1"/>
        </w:rPr>
        <w:t xml:space="preserve"> </w:t>
      </w:r>
      <w:r w:rsidR="00E15FFD">
        <w:t xml:space="preserve">A summary of deficiencies in the </w:t>
      </w:r>
      <w:r w:rsidR="002C026B">
        <w:t xml:space="preserve">current </w:t>
      </w:r>
      <w:r w:rsidR="00E15FFD">
        <w:t>code is provided as follows:</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staff ratios are limited and varied depending on type or services provided;</w:t>
      </w:r>
    </w:p>
    <w:p w:rsidR="00F23811" w:rsidRPr="004B0055" w:rsidRDefault="00F23811" w:rsidP="00CA7E5B">
      <w:pPr>
        <w:pStyle w:val="ListParagraph"/>
        <w:numPr>
          <w:ilvl w:val="1"/>
          <w:numId w:val="3"/>
        </w:numPr>
        <w:ind w:left="426" w:hanging="426"/>
        <w:rPr>
          <w:color w:val="000000" w:themeColor="text1"/>
          <w:sz w:val="20"/>
        </w:rPr>
      </w:pPr>
      <w:r w:rsidRPr="004B0055">
        <w:rPr>
          <w:color w:val="000000" w:themeColor="text1"/>
          <w:sz w:val="20"/>
        </w:rPr>
        <w:t>no requirement for minimum levels of training;</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no required health management plan for every dog at every stage of life cycle;</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no prescriptive requirements for record files;</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no requirements to prepare dogs for exit from the industry;</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no requirement for general annual veterinary checks or pre-post mating and birth;</w:t>
      </w:r>
    </w:p>
    <w:p w:rsidR="00E15FFD" w:rsidRPr="004B0055" w:rsidRDefault="00E15FFD" w:rsidP="00CA7E5B">
      <w:pPr>
        <w:pStyle w:val="ListParagraph"/>
        <w:numPr>
          <w:ilvl w:val="1"/>
          <w:numId w:val="3"/>
        </w:numPr>
        <w:ind w:left="426" w:hanging="426"/>
        <w:rPr>
          <w:color w:val="000000" w:themeColor="text1"/>
          <w:sz w:val="20"/>
        </w:rPr>
      </w:pPr>
      <w:r w:rsidRPr="004B0055">
        <w:rPr>
          <w:color w:val="000000" w:themeColor="text1"/>
          <w:sz w:val="20"/>
        </w:rPr>
        <w:t xml:space="preserve">not all stages of the greyhound lifecycle and its needs are covered; </w:t>
      </w:r>
    </w:p>
    <w:p w:rsidR="00CA7E5B" w:rsidRDefault="00CA7E5B">
      <w:pPr>
        <w:rPr>
          <w:color w:val="000000" w:themeColor="text1"/>
          <w:sz w:val="20"/>
        </w:rPr>
      </w:pPr>
      <w:r>
        <w:rPr>
          <w:color w:val="000000" w:themeColor="text1"/>
          <w:sz w:val="20"/>
        </w:rPr>
        <w:br w:type="page"/>
      </w:r>
    </w:p>
    <w:p w:rsidR="00E15FFD" w:rsidRPr="00381CDC" w:rsidRDefault="00E15FFD" w:rsidP="00CA7E5B">
      <w:pPr>
        <w:pStyle w:val="ListParagraph"/>
        <w:numPr>
          <w:ilvl w:val="1"/>
          <w:numId w:val="3"/>
        </w:numPr>
        <w:ind w:left="426" w:hanging="426"/>
        <w:rPr>
          <w:color w:val="000000" w:themeColor="text1"/>
        </w:rPr>
      </w:pPr>
      <w:r w:rsidRPr="00381CDC">
        <w:rPr>
          <w:color w:val="000000" w:themeColor="text1"/>
        </w:rPr>
        <w:lastRenderedPageBreak/>
        <w:t>exercise and enrichment of all animals in all lifecycle stages is not considered;</w:t>
      </w:r>
    </w:p>
    <w:p w:rsidR="00E15FFD" w:rsidRPr="00381CDC" w:rsidRDefault="00E15FFD" w:rsidP="00CA7E5B">
      <w:pPr>
        <w:pStyle w:val="ListParagraph"/>
        <w:numPr>
          <w:ilvl w:val="1"/>
          <w:numId w:val="3"/>
        </w:numPr>
        <w:ind w:left="426" w:hanging="426"/>
        <w:rPr>
          <w:color w:val="000000" w:themeColor="text1"/>
        </w:rPr>
      </w:pPr>
      <w:r w:rsidRPr="00381CDC">
        <w:rPr>
          <w:color w:val="000000" w:themeColor="text1"/>
        </w:rPr>
        <w:t>socialisation and handling of all animals in all lifecycle stages is not considered; and</w:t>
      </w:r>
    </w:p>
    <w:p w:rsidR="00E15FFD" w:rsidRPr="00381CDC" w:rsidRDefault="00E15FFD" w:rsidP="00CA7E5B">
      <w:pPr>
        <w:pStyle w:val="ListParagraph"/>
        <w:numPr>
          <w:ilvl w:val="1"/>
          <w:numId w:val="3"/>
        </w:numPr>
        <w:ind w:left="426" w:hanging="426"/>
        <w:rPr>
          <w:color w:val="000000" w:themeColor="text1"/>
        </w:rPr>
      </w:pPr>
      <w:r w:rsidRPr="00381CDC">
        <w:rPr>
          <w:color w:val="000000" w:themeColor="text1"/>
        </w:rPr>
        <w:t>smalle</w:t>
      </w:r>
      <w:r w:rsidR="003905A3" w:rsidRPr="00381CDC">
        <w:rPr>
          <w:color w:val="000000" w:themeColor="text1"/>
        </w:rPr>
        <w:t>r participants</w:t>
      </w:r>
      <w:r w:rsidRPr="00381CDC">
        <w:rPr>
          <w:color w:val="000000" w:themeColor="text1"/>
        </w:rPr>
        <w:t xml:space="preserve"> are not considered.</w:t>
      </w:r>
    </w:p>
    <w:p w:rsidR="00E15FFD" w:rsidRPr="00381CDC" w:rsidRDefault="00E15FFD" w:rsidP="00CA7E5B"/>
    <w:p w:rsidR="002B30AD" w:rsidRDefault="002B30AD" w:rsidP="003E3924">
      <w:pPr>
        <w:jc w:val="both"/>
        <w:rPr>
          <w:color w:val="000000" w:themeColor="text1"/>
        </w:rPr>
      </w:pPr>
      <w:r w:rsidRPr="002C026B">
        <w:rPr>
          <w:color w:val="000000" w:themeColor="text1"/>
        </w:rPr>
        <w:t xml:space="preserve">Under the base case the DAA would continue to provide a base for management and welfare that will prevent poor management and care that might lead to welfare issues and to cruelty and enforcement under the POCTAA. </w:t>
      </w:r>
      <w:r w:rsidR="00896FF7" w:rsidRPr="002C026B">
        <w:rPr>
          <w:color w:val="000000" w:themeColor="text1"/>
        </w:rPr>
        <w:t>The purpose of the DAA ‘is to promote animal welfare, the responsible ownership of dogs and cats and the</w:t>
      </w:r>
      <w:r w:rsidR="00896FF7">
        <w:rPr>
          <w:color w:val="000000" w:themeColor="text1"/>
        </w:rPr>
        <w:t xml:space="preserve"> protection of the environment’</w:t>
      </w:r>
      <w:r w:rsidR="00896FF7" w:rsidRPr="002C026B">
        <w:rPr>
          <w:color w:val="000000" w:themeColor="text1"/>
        </w:rPr>
        <w:t>.</w:t>
      </w:r>
      <w:r w:rsidR="007B521C">
        <w:rPr>
          <w:color w:val="000000" w:themeColor="text1"/>
        </w:rPr>
        <w:t xml:space="preserve"> </w:t>
      </w:r>
      <w:r w:rsidR="00896FF7">
        <w:rPr>
          <w:color w:val="000000" w:themeColor="text1"/>
        </w:rPr>
        <w:t xml:space="preserve">However, the ability of the </w:t>
      </w:r>
      <w:r w:rsidR="00896FF7" w:rsidRPr="002C026B">
        <w:rPr>
          <w:color w:val="000000" w:themeColor="text1"/>
        </w:rPr>
        <w:t xml:space="preserve">DAA </w:t>
      </w:r>
      <w:r w:rsidR="00896FF7">
        <w:rPr>
          <w:color w:val="000000" w:themeColor="text1"/>
        </w:rPr>
        <w:t xml:space="preserve">to be </w:t>
      </w:r>
      <w:r w:rsidR="00896FF7" w:rsidRPr="002C026B">
        <w:rPr>
          <w:color w:val="000000" w:themeColor="text1"/>
        </w:rPr>
        <w:t>effective in the area of animal welfare, improving quality of life and the transition to rehoming</w:t>
      </w:r>
      <w:r w:rsidR="00896FF7">
        <w:rPr>
          <w:color w:val="000000" w:themeColor="text1"/>
        </w:rPr>
        <w:t xml:space="preserve"> would be prevented by the lack of</w:t>
      </w:r>
      <w:r w:rsidR="00896FF7" w:rsidRPr="002C026B">
        <w:rPr>
          <w:color w:val="000000" w:themeColor="text1"/>
        </w:rPr>
        <w:t xml:space="preserve"> minimum welfare standards that set the animal up for success and exiting the industry.</w:t>
      </w:r>
    </w:p>
    <w:p w:rsidR="002B30AD" w:rsidRDefault="002B30AD" w:rsidP="003E3924">
      <w:pPr>
        <w:jc w:val="both"/>
        <w:rPr>
          <w:color w:val="000000" w:themeColor="text1"/>
        </w:rPr>
      </w:pPr>
    </w:p>
    <w:p w:rsidR="00E15FFD" w:rsidRPr="00070EEF" w:rsidRDefault="00896FF7" w:rsidP="003E3924">
      <w:pPr>
        <w:jc w:val="both"/>
      </w:pPr>
      <w:r>
        <w:t>Consequently, t</w:t>
      </w:r>
      <w:r w:rsidR="003E3924" w:rsidRPr="004B0055">
        <w:t xml:space="preserve">he base case </w:t>
      </w:r>
      <w:r>
        <w:t xml:space="preserve">fails to </w:t>
      </w:r>
      <w:r w:rsidR="0045216D">
        <w:t xml:space="preserve">appropriately </w:t>
      </w:r>
      <w:r w:rsidR="003E3924" w:rsidRPr="004B0055">
        <w:t xml:space="preserve">address the residual problems discussed in </w:t>
      </w:r>
      <w:r w:rsidR="00BB046E">
        <w:t>S</w:t>
      </w:r>
      <w:r w:rsidR="003E3924" w:rsidRPr="004B0055">
        <w:t>ections 2.1 and 2.2.</w:t>
      </w:r>
      <w:r w:rsidR="003905A3" w:rsidRPr="004B0055">
        <w:t xml:space="preserve"> </w:t>
      </w:r>
      <w:r w:rsidR="00E15FFD" w:rsidRPr="00575633">
        <w:t xml:space="preserve">The </w:t>
      </w:r>
      <w:r w:rsidR="00E15FFD">
        <w:t xml:space="preserve">current </w:t>
      </w:r>
      <w:r>
        <w:t>C</w:t>
      </w:r>
      <w:r w:rsidR="00E15FFD" w:rsidRPr="00575633">
        <w:t>ode</w:t>
      </w:r>
      <w:r>
        <w:t xml:space="preserve"> </w:t>
      </w:r>
      <w:r w:rsidR="0045216D">
        <w:t xml:space="preserve">does not </w:t>
      </w:r>
      <w:r w:rsidR="00E15FFD" w:rsidRPr="00575633">
        <w:t>standardise and give effect to various provisions of existing legislation and local rules, for</w:t>
      </w:r>
      <w:r w:rsidR="00E15FFD">
        <w:t xml:space="preserve"> the</w:t>
      </w:r>
      <w:r w:rsidR="00E15FFD" w:rsidRPr="00575633">
        <w:t xml:space="preserve"> welfare and keepi</w:t>
      </w:r>
      <w:r w:rsidR="00E15FFD">
        <w:t>ng conditions of greyhounds, which exists in the l</w:t>
      </w:r>
      <w:r w:rsidR="00F23811">
        <w:t>egislation discussed in Part 1.3</w:t>
      </w:r>
      <w:r w:rsidR="00E15FFD" w:rsidRPr="00575633">
        <w:t>.</w:t>
      </w:r>
      <w:r w:rsidR="007B521C">
        <w:t xml:space="preserve"> </w:t>
      </w:r>
      <w:r w:rsidR="00E15FFD">
        <w:t xml:space="preserve">The current </w:t>
      </w:r>
      <w:r>
        <w:t>C</w:t>
      </w:r>
      <w:r w:rsidR="00E15FFD">
        <w:t xml:space="preserve">ode </w:t>
      </w:r>
      <w:r w:rsidR="0045216D">
        <w:t xml:space="preserve">does not </w:t>
      </w:r>
      <w:r w:rsidR="00E15FFD">
        <w:t>provide a clear</w:t>
      </w:r>
      <w:r w:rsidR="00E15FFD" w:rsidRPr="00575633">
        <w:t xml:space="preserve"> regulatory framework and </w:t>
      </w:r>
      <w:r w:rsidR="0045216D">
        <w:t xml:space="preserve">does not </w:t>
      </w:r>
      <w:r w:rsidR="00E15FFD">
        <w:t>to encompass</w:t>
      </w:r>
      <w:r w:rsidR="00E15FFD" w:rsidRPr="00575633">
        <w:t xml:space="preserve"> all people involved </w:t>
      </w:r>
      <w:r w:rsidR="00E15FFD">
        <w:t xml:space="preserve">in the care of </w:t>
      </w:r>
      <w:r w:rsidR="00E15FFD" w:rsidRPr="00575633">
        <w:t xml:space="preserve">greyhounds at all </w:t>
      </w:r>
      <w:r w:rsidR="00E15FFD">
        <w:t xml:space="preserve">stages of the </w:t>
      </w:r>
      <w:r w:rsidR="00E15FFD" w:rsidRPr="00575633">
        <w:t xml:space="preserve">lifecycle. </w:t>
      </w:r>
      <w:r w:rsidR="00E15FFD">
        <w:t xml:space="preserve">In </w:t>
      </w:r>
      <w:r w:rsidR="00114B0E">
        <w:t>a</w:t>
      </w:r>
      <w:r w:rsidR="00E15FFD" w:rsidRPr="00575633">
        <w:t xml:space="preserve">ddition, as the </w:t>
      </w:r>
      <w:r>
        <w:t>c</w:t>
      </w:r>
      <w:r w:rsidR="00E15FFD">
        <w:t xml:space="preserve">urrent </w:t>
      </w:r>
      <w:r>
        <w:t>C</w:t>
      </w:r>
      <w:r w:rsidR="00E15FFD">
        <w:t xml:space="preserve">ode is not </w:t>
      </w:r>
      <w:r w:rsidR="00E15FFD" w:rsidRPr="00575633">
        <w:t xml:space="preserve">made under the DAA, it </w:t>
      </w:r>
      <w:r w:rsidR="0045216D">
        <w:t xml:space="preserve">does not </w:t>
      </w:r>
      <w:r w:rsidR="00E15FFD" w:rsidRPr="00575633">
        <w:t xml:space="preserve">provide </w:t>
      </w:r>
      <w:r w:rsidR="00E15FFD">
        <w:t>necessary</w:t>
      </w:r>
      <w:r w:rsidR="00E15FFD" w:rsidRPr="00575633">
        <w:t xml:space="preserve"> powers to authorised officers to enforce and audit.</w:t>
      </w:r>
      <w:r w:rsidR="007B521C">
        <w:t xml:space="preserve"> </w:t>
      </w:r>
      <w:r w:rsidR="00FB449C">
        <w:t xml:space="preserve">The </w:t>
      </w:r>
      <w:r w:rsidR="009504C3">
        <w:t>‘</w:t>
      </w:r>
      <w:r w:rsidR="00E60C87">
        <w:t>effective</w:t>
      </w:r>
      <w:r w:rsidR="009504C3">
        <w:t>’</w:t>
      </w:r>
      <w:r w:rsidR="00E60C87">
        <w:t xml:space="preserve"> </w:t>
      </w:r>
      <w:r w:rsidR="00FB449C">
        <w:t>rate of compliance under the base case</w:t>
      </w:r>
      <w:r w:rsidR="00E2479C">
        <w:t xml:space="preserve"> across all participants</w:t>
      </w:r>
      <w:r w:rsidR="005609A7">
        <w:t>,</w:t>
      </w:r>
      <w:r w:rsidR="00FB449C">
        <w:t xml:space="preserve"> based on advice from DEDJTR and limited audit data provided by GRV</w:t>
      </w:r>
      <w:r w:rsidR="005609A7">
        <w:t>,</w:t>
      </w:r>
      <w:r w:rsidR="00E60C87">
        <w:t xml:space="preserve"> would</w:t>
      </w:r>
      <w:r w:rsidR="00BB046E">
        <w:t xml:space="preserve"> continue to be around 32</w:t>
      </w:r>
      <w:r w:rsidR="00FB449C">
        <w:t>%</w:t>
      </w:r>
      <w:r w:rsidR="00BB046E">
        <w:t xml:space="preserve"> (see Table 12)</w:t>
      </w:r>
      <w:r w:rsidR="00FB449C">
        <w:t>.</w:t>
      </w:r>
    </w:p>
    <w:p w:rsidR="00E15FFD" w:rsidRDefault="00E15FFD" w:rsidP="00E15FFD">
      <w:pPr>
        <w:pStyle w:val="ListParagraph"/>
        <w:ind w:left="0"/>
        <w:jc w:val="both"/>
        <w:rPr>
          <w:highlight w:val="yellow"/>
        </w:rPr>
      </w:pPr>
    </w:p>
    <w:p w:rsidR="009F49E5" w:rsidRDefault="00E15FFD" w:rsidP="00E15FFD">
      <w:pPr>
        <w:pStyle w:val="ListParagraph"/>
        <w:ind w:left="0"/>
        <w:jc w:val="both"/>
      </w:pPr>
      <w:r w:rsidRPr="002B3816">
        <w:t>There is a clear economic case for government intervention in markets where some form of market failure is taking place</w:t>
      </w:r>
      <w:r w:rsidR="009F49E5">
        <w:t xml:space="preserve"> due to lack of information or negative externalities.</w:t>
      </w:r>
    </w:p>
    <w:p w:rsidR="009F49E5" w:rsidRDefault="009F49E5" w:rsidP="00E15FFD">
      <w:pPr>
        <w:pStyle w:val="ListParagraph"/>
        <w:ind w:left="0"/>
        <w:jc w:val="both"/>
      </w:pPr>
    </w:p>
    <w:p w:rsidR="00E15FFD" w:rsidRDefault="003905A3" w:rsidP="00E15FFD">
      <w:pPr>
        <w:pStyle w:val="ListParagraph"/>
        <w:ind w:left="0"/>
        <w:jc w:val="both"/>
      </w:pPr>
      <w:r>
        <w:t xml:space="preserve">In this case of the industry there is </w:t>
      </w:r>
      <w:r w:rsidR="00E15FFD">
        <w:t xml:space="preserve">a lack of information by </w:t>
      </w:r>
      <w:r w:rsidR="00496A17">
        <w:t xml:space="preserve">some </w:t>
      </w:r>
      <w:r w:rsidR="00E15FFD">
        <w:t xml:space="preserve">participants regarding the needs of the dog during all stages of the lifecycle </w:t>
      </w:r>
      <w:r w:rsidR="00B970AB">
        <w:t>for general welfare</w:t>
      </w:r>
      <w:r>
        <w:t>, as well as, the need</w:t>
      </w:r>
      <w:r w:rsidR="00B970AB">
        <w:t xml:space="preserve"> </w:t>
      </w:r>
      <w:r>
        <w:t xml:space="preserve">for </w:t>
      </w:r>
      <w:r w:rsidR="00B970AB">
        <w:t>early preparation for the greyhound to leave the industry and be rehomed as a pet.</w:t>
      </w:r>
      <w:r w:rsidR="007B521C">
        <w:t xml:space="preserve"> </w:t>
      </w:r>
      <w:r w:rsidR="00B970AB">
        <w:t>T</w:t>
      </w:r>
      <w:r w:rsidR="00E15FFD">
        <w:t xml:space="preserve">he market perception is that breeding more dogs means a greater chance of winning as opposed to a </w:t>
      </w:r>
      <w:r w:rsidR="00E15FFD" w:rsidRPr="002B3816">
        <w:rPr>
          <w:i/>
        </w:rPr>
        <w:t>‘happy dog is a fast dog’</w:t>
      </w:r>
      <w:r w:rsidR="00B970AB">
        <w:t>.</w:t>
      </w:r>
      <w:r w:rsidR="007B521C">
        <w:t xml:space="preserve"> </w:t>
      </w:r>
      <w:r w:rsidR="00B970AB">
        <w:t>T</w:t>
      </w:r>
      <w:r w:rsidR="00E15FFD">
        <w:t>he lack of knowledge regarding the state of the greyhound and conditions it has lived in, as well as the condition and rehabilitation it has gone through, increa</w:t>
      </w:r>
      <w:r w:rsidR="00B970AB">
        <w:t xml:space="preserve">ses the chance </w:t>
      </w:r>
      <w:r w:rsidR="005D22C9">
        <w:t>of a</w:t>
      </w:r>
      <w:r w:rsidR="00E15FFD">
        <w:t xml:space="preserve"> dog that cannot adapt to a home environment. </w:t>
      </w:r>
    </w:p>
    <w:p w:rsidR="00805BF8" w:rsidRDefault="00805BF8" w:rsidP="00E15FFD">
      <w:pPr>
        <w:pStyle w:val="ListParagraph"/>
        <w:ind w:left="0"/>
        <w:jc w:val="both"/>
      </w:pPr>
    </w:p>
    <w:p w:rsidR="009F49E5" w:rsidRPr="00D00B0C" w:rsidRDefault="009F49E5" w:rsidP="009F49E5">
      <w:pPr>
        <w:jc w:val="both"/>
        <w:rPr>
          <w:lang w:val="en-US"/>
        </w:rPr>
      </w:pPr>
      <w:r>
        <w:rPr>
          <w:bCs/>
          <w:lang w:val="en-US"/>
        </w:rPr>
        <w:t>Negative e</w:t>
      </w:r>
      <w:r w:rsidRPr="00D00B0C">
        <w:rPr>
          <w:bCs/>
          <w:lang w:val="en-US"/>
        </w:rPr>
        <w:t xml:space="preserve">xternalities, or </w:t>
      </w:r>
      <w:r>
        <w:rPr>
          <w:bCs/>
          <w:lang w:val="en-US"/>
        </w:rPr>
        <w:t xml:space="preserve">negative </w:t>
      </w:r>
      <w:r w:rsidRPr="00D00B0C">
        <w:rPr>
          <w:bCs/>
          <w:lang w:val="en-US"/>
        </w:rPr>
        <w:t>third party effects</w:t>
      </w:r>
      <w:r>
        <w:rPr>
          <w:bCs/>
          <w:lang w:val="en-US"/>
        </w:rPr>
        <w:t>, in greyhound racing</w:t>
      </w:r>
      <w:r w:rsidRPr="00D00B0C">
        <w:rPr>
          <w:lang w:val="en-US"/>
        </w:rPr>
        <w:t xml:space="preserve"> arise where private decision makers do not incur all the costs of their decisions. </w:t>
      </w:r>
      <w:r>
        <w:rPr>
          <w:lang w:val="en-US"/>
        </w:rPr>
        <w:t>In th</w:t>
      </w:r>
      <w:r w:rsidR="00EF0EC0">
        <w:rPr>
          <w:lang w:val="en-US"/>
        </w:rPr>
        <w:t>is</w:t>
      </w:r>
      <w:r>
        <w:rPr>
          <w:lang w:val="en-US"/>
        </w:rPr>
        <w:t xml:space="preserve"> case the suffering of the dog is not necessarily born by the owner/breeder/trainer.</w:t>
      </w:r>
      <w:r w:rsidR="007B521C">
        <w:rPr>
          <w:lang w:val="en-US"/>
        </w:rPr>
        <w:t xml:space="preserve"> </w:t>
      </w:r>
      <w:r>
        <w:rPr>
          <w:lang w:val="en-US"/>
        </w:rPr>
        <w:t>This is seen to be an additional source of market failure.</w:t>
      </w:r>
    </w:p>
    <w:p w:rsidR="00951AFB" w:rsidRDefault="00951AFB" w:rsidP="007046FB">
      <w:pPr>
        <w:pStyle w:val="ListParagraph"/>
        <w:ind w:left="0"/>
        <w:jc w:val="both"/>
      </w:pPr>
    </w:p>
    <w:p w:rsidR="00123341" w:rsidRPr="004B0055" w:rsidRDefault="00722922" w:rsidP="007046FB">
      <w:pPr>
        <w:pStyle w:val="ListParagraph"/>
        <w:ind w:left="0"/>
        <w:jc w:val="both"/>
      </w:pPr>
      <w:r>
        <w:t xml:space="preserve">As seen by current practices (highlighted in Section 1.4) and reports/reviews </w:t>
      </w:r>
      <w:r w:rsidR="00F57677">
        <w:t xml:space="preserve">on the greyhound racing industry </w:t>
      </w:r>
      <w:r>
        <w:t xml:space="preserve">(as </w:t>
      </w:r>
      <w:r w:rsidR="00F57677">
        <w:t xml:space="preserve">presented </w:t>
      </w:r>
      <w:r>
        <w:t>in Section 1.1)</w:t>
      </w:r>
      <w:r w:rsidR="00F57677">
        <w:t xml:space="preserve"> –</w:t>
      </w:r>
      <w:r w:rsidR="007B521C">
        <w:t xml:space="preserve"> </w:t>
      </w:r>
      <w:r>
        <w:t>i</w:t>
      </w:r>
      <w:r w:rsidR="00442420">
        <w:t xml:space="preserve">t is </w:t>
      </w:r>
      <w:r w:rsidR="00BB046E">
        <w:t xml:space="preserve">apparent </w:t>
      </w:r>
      <w:r w:rsidR="00442420">
        <w:t xml:space="preserve">that market forces alongside the Local Rules </w:t>
      </w:r>
      <w:r w:rsidR="00F32484">
        <w:t xml:space="preserve">(including the current code) </w:t>
      </w:r>
      <w:r w:rsidR="00442420">
        <w:t xml:space="preserve">and Greyhound </w:t>
      </w:r>
      <w:r w:rsidR="00114B0E">
        <w:t xml:space="preserve">Racing Victoria </w:t>
      </w:r>
      <w:r w:rsidR="00442420">
        <w:t>Rules</w:t>
      </w:r>
      <w:r w:rsidR="00F32484">
        <w:t xml:space="preserve"> </w:t>
      </w:r>
      <w:r w:rsidR="00E2479C">
        <w:t xml:space="preserve">(enforced as civil matters) </w:t>
      </w:r>
      <w:r w:rsidR="00E15FFD" w:rsidRPr="002B3816">
        <w:t xml:space="preserve">would not be expected to solve </w:t>
      </w:r>
      <w:r w:rsidR="00BB046E">
        <w:t xml:space="preserve">the residual </w:t>
      </w:r>
      <w:r w:rsidR="00E15FFD" w:rsidRPr="002B3816">
        <w:t>problems</w:t>
      </w:r>
      <w:r w:rsidR="00BB046E">
        <w:t xml:space="preserve"> identified in Sections 2.1 and 2.2</w:t>
      </w:r>
      <w:r w:rsidR="00E15FFD" w:rsidRPr="002B3816">
        <w:t>.</w:t>
      </w:r>
      <w:r w:rsidR="007B521C">
        <w:t xml:space="preserve"> </w:t>
      </w:r>
      <w:r w:rsidR="002B30AD">
        <w:t>I</w:t>
      </w:r>
      <w:r w:rsidR="00E15FFD" w:rsidRPr="002B3816">
        <w:t xml:space="preserve">nadequate training or guidance on the welfare, behavioural and social requirements of </w:t>
      </w:r>
      <w:r w:rsidR="002B30AD">
        <w:t xml:space="preserve">a </w:t>
      </w:r>
      <w:r w:rsidR="00E15FFD" w:rsidRPr="002B3816">
        <w:t xml:space="preserve">greyhound throughout </w:t>
      </w:r>
      <w:r w:rsidR="002B30AD">
        <w:t>its</w:t>
      </w:r>
      <w:r w:rsidR="00E15FFD" w:rsidRPr="002B3816">
        <w:t xml:space="preserve"> lifecycle</w:t>
      </w:r>
      <w:r w:rsidR="002B30AD">
        <w:t xml:space="preserve"> will continue to have </w:t>
      </w:r>
      <w:r w:rsidR="00B970AB">
        <w:t>a flow on effect on the welfare of the animal</w:t>
      </w:r>
      <w:r w:rsidR="003905A3">
        <w:t xml:space="preserve"> and its</w:t>
      </w:r>
      <w:r w:rsidR="00B970AB">
        <w:t xml:space="preserve"> potential for rehoming</w:t>
      </w:r>
      <w:r w:rsidR="00E15FFD" w:rsidRPr="002B3816">
        <w:t>.</w:t>
      </w:r>
      <w:r w:rsidR="00E15FFD">
        <w:t xml:space="preserve"> The role of government intervention is to strike the socially optimal balance between the economic activity, from racing greyhounds, and risks to animal welfare.</w:t>
      </w:r>
      <w:r w:rsidR="007B521C">
        <w:t xml:space="preserve"> </w:t>
      </w:r>
      <w:r w:rsidR="00E15FFD">
        <w:t>Animal welfare legislation provides a balance between the competing views in the community about the use of animals.</w:t>
      </w:r>
    </w:p>
    <w:p w:rsidR="008258A5" w:rsidRDefault="00EF2175" w:rsidP="005F3125">
      <w:pPr>
        <w:pStyle w:val="Heading1"/>
      </w:pPr>
      <w:bookmarkStart w:id="90" w:name="_Toc469529159"/>
      <w:bookmarkStart w:id="91" w:name="_Toc477190175"/>
      <w:r w:rsidRPr="00070EEF">
        <w:lastRenderedPageBreak/>
        <w:t xml:space="preserve">Section </w:t>
      </w:r>
      <w:r w:rsidR="005177E9">
        <w:t>3</w:t>
      </w:r>
      <w:r w:rsidR="006E6760" w:rsidRPr="00070EEF">
        <w:t xml:space="preserve"> </w:t>
      </w:r>
      <w:r w:rsidR="00B91766">
        <w:t>S</w:t>
      </w:r>
      <w:r w:rsidR="00222016" w:rsidRPr="00070EEF">
        <w:t>pecification</w:t>
      </w:r>
      <w:r w:rsidRPr="00070EEF">
        <w:t xml:space="preserve"> of desired </w:t>
      </w:r>
      <w:r w:rsidR="00B91766">
        <w:t xml:space="preserve">policy </w:t>
      </w:r>
      <w:r w:rsidRPr="00070EEF">
        <w:t>objective</w:t>
      </w:r>
      <w:r w:rsidR="00B91766">
        <w:t>s</w:t>
      </w:r>
      <w:bookmarkStart w:id="92" w:name="_Toc310067115"/>
      <w:bookmarkEnd w:id="88"/>
      <w:bookmarkEnd w:id="90"/>
      <w:bookmarkEnd w:id="91"/>
    </w:p>
    <w:p w:rsidR="007C6CF8" w:rsidRPr="005F3BA9" w:rsidRDefault="007C6CF8" w:rsidP="00CA7E5B">
      <w:pPr>
        <w:pStyle w:val="H13pt"/>
      </w:pPr>
      <w:bookmarkStart w:id="93" w:name="_Toc477190176"/>
      <w:r w:rsidRPr="005F3BA9">
        <w:t>3.1 Description of the primary objectives</w:t>
      </w:r>
      <w:bookmarkEnd w:id="93"/>
    </w:p>
    <w:p w:rsidR="00925357" w:rsidRDefault="009159D2" w:rsidP="00CA7E5B">
      <w:r w:rsidRPr="00B970AB">
        <w:t>Having regard to purposes of the Act and the above discussion,</w:t>
      </w:r>
      <w:r w:rsidR="00B91766" w:rsidRPr="00B970AB">
        <w:t xml:space="preserve"> and</w:t>
      </w:r>
      <w:r w:rsidRPr="00B970AB">
        <w:t xml:space="preserve"> to solve the problems identified in </w:t>
      </w:r>
      <w:r w:rsidR="00E01F8B">
        <w:t xml:space="preserve">Sections </w:t>
      </w:r>
      <w:r w:rsidRPr="00B970AB">
        <w:t>2.</w:t>
      </w:r>
      <w:r w:rsidR="00B970AB" w:rsidRPr="00B970AB">
        <w:t>1</w:t>
      </w:r>
      <w:r w:rsidR="00AC6AED">
        <w:t xml:space="preserve"> and</w:t>
      </w:r>
      <w:r w:rsidR="004B0055">
        <w:t xml:space="preserve"> </w:t>
      </w:r>
      <w:r w:rsidRPr="00B970AB">
        <w:t>2.</w:t>
      </w:r>
      <w:r w:rsidR="00B970AB" w:rsidRPr="00B970AB">
        <w:t>2</w:t>
      </w:r>
      <w:r w:rsidRPr="00B970AB">
        <w:t xml:space="preserve"> of this RIS, the following policy objective</w:t>
      </w:r>
      <w:r w:rsidR="00B91766" w:rsidRPr="00B970AB">
        <w:t>s</w:t>
      </w:r>
      <w:r w:rsidRPr="00B970AB">
        <w:t xml:space="preserve"> of the regulatory proposal is identified: </w:t>
      </w:r>
    </w:p>
    <w:p w:rsidR="00AC6AED" w:rsidRDefault="00AC6AED" w:rsidP="007046FB">
      <w:pPr>
        <w:pStyle w:val="BodyText20"/>
        <w:rPr>
          <w:rFonts w:ascii="Calibri" w:hAnsi="Calibri"/>
          <w:i/>
          <w:sz w:val="22"/>
          <w:szCs w:val="22"/>
        </w:rPr>
      </w:pPr>
    </w:p>
    <w:p w:rsidR="00AC6AED" w:rsidRDefault="00AC6AED" w:rsidP="007046FB">
      <w:pPr>
        <w:pStyle w:val="BodyText20"/>
        <w:rPr>
          <w:rFonts w:ascii="Calibri" w:hAnsi="Calibri"/>
          <w:i/>
          <w:sz w:val="22"/>
          <w:szCs w:val="22"/>
        </w:rPr>
      </w:pPr>
      <w:r>
        <w:rPr>
          <w:rFonts w:ascii="Calibri" w:hAnsi="Calibri"/>
          <w:i/>
          <w:sz w:val="22"/>
          <w:szCs w:val="22"/>
        </w:rPr>
        <w:t xml:space="preserve">To increase </w:t>
      </w:r>
      <w:r w:rsidR="00574E23">
        <w:rPr>
          <w:rFonts w:ascii="Calibri" w:hAnsi="Calibri"/>
          <w:i/>
          <w:sz w:val="22"/>
          <w:szCs w:val="22"/>
        </w:rPr>
        <w:t xml:space="preserve">(improve) </w:t>
      </w:r>
      <w:r>
        <w:rPr>
          <w:rFonts w:ascii="Calibri" w:hAnsi="Calibri"/>
          <w:i/>
          <w:sz w:val="22"/>
          <w:szCs w:val="22"/>
        </w:rPr>
        <w:t xml:space="preserve">the quality of life and welfare of greyhounds, </w:t>
      </w:r>
      <w:r w:rsidR="003576C9">
        <w:rPr>
          <w:rFonts w:ascii="Calibri" w:hAnsi="Calibri"/>
          <w:i/>
          <w:sz w:val="22"/>
          <w:szCs w:val="22"/>
        </w:rPr>
        <w:t>throughout</w:t>
      </w:r>
      <w:r>
        <w:rPr>
          <w:rFonts w:ascii="Calibri" w:hAnsi="Calibri"/>
          <w:i/>
          <w:sz w:val="22"/>
          <w:szCs w:val="22"/>
        </w:rPr>
        <w:t xml:space="preserve"> their lifecycle and provide consistent management and </w:t>
      </w:r>
      <w:r w:rsidR="00574E23">
        <w:rPr>
          <w:rFonts w:ascii="Calibri" w:hAnsi="Calibri"/>
          <w:i/>
          <w:sz w:val="22"/>
          <w:szCs w:val="22"/>
        </w:rPr>
        <w:t xml:space="preserve">which will </w:t>
      </w:r>
      <w:r>
        <w:rPr>
          <w:rFonts w:ascii="Calibri" w:hAnsi="Calibri"/>
          <w:i/>
          <w:sz w:val="22"/>
          <w:szCs w:val="22"/>
        </w:rPr>
        <w:t>alleviate stress</w:t>
      </w:r>
      <w:r w:rsidR="00574E23">
        <w:rPr>
          <w:rFonts w:ascii="Calibri" w:hAnsi="Calibri"/>
          <w:i/>
          <w:sz w:val="22"/>
          <w:szCs w:val="22"/>
        </w:rPr>
        <w:t xml:space="preserve"> to</w:t>
      </w:r>
      <w:r>
        <w:rPr>
          <w:rFonts w:ascii="Calibri" w:hAnsi="Calibri"/>
          <w:i/>
          <w:sz w:val="22"/>
          <w:szCs w:val="22"/>
        </w:rPr>
        <w:t xml:space="preserve"> </w:t>
      </w:r>
      <w:r w:rsidR="00574E23">
        <w:rPr>
          <w:rFonts w:ascii="Calibri" w:hAnsi="Calibri"/>
          <w:i/>
          <w:sz w:val="22"/>
          <w:szCs w:val="22"/>
        </w:rPr>
        <w:t>and therefore</w:t>
      </w:r>
      <w:r>
        <w:rPr>
          <w:rFonts w:ascii="Calibri" w:hAnsi="Calibri"/>
          <w:i/>
          <w:sz w:val="22"/>
          <w:szCs w:val="22"/>
        </w:rPr>
        <w:t xml:space="preserve"> enable an easy, smooth and rapid, transition to a </w:t>
      </w:r>
      <w:r w:rsidR="00574E23">
        <w:rPr>
          <w:rFonts w:ascii="Calibri" w:hAnsi="Calibri"/>
          <w:i/>
          <w:sz w:val="22"/>
          <w:szCs w:val="22"/>
        </w:rPr>
        <w:t>pet</w:t>
      </w:r>
      <w:r>
        <w:rPr>
          <w:rFonts w:ascii="Calibri" w:hAnsi="Calibri"/>
          <w:i/>
          <w:sz w:val="22"/>
          <w:szCs w:val="22"/>
        </w:rPr>
        <w:t xml:space="preserve"> at any time point in </w:t>
      </w:r>
      <w:r w:rsidR="003576C9">
        <w:rPr>
          <w:rFonts w:ascii="Calibri" w:hAnsi="Calibri"/>
          <w:i/>
          <w:sz w:val="22"/>
          <w:szCs w:val="22"/>
        </w:rPr>
        <w:t>its</w:t>
      </w:r>
      <w:r>
        <w:rPr>
          <w:rFonts w:ascii="Calibri" w:hAnsi="Calibri"/>
          <w:i/>
          <w:sz w:val="22"/>
          <w:szCs w:val="22"/>
        </w:rPr>
        <w:t xml:space="preserve"> lifecycle.</w:t>
      </w:r>
    </w:p>
    <w:p w:rsidR="00264810" w:rsidRDefault="00264810" w:rsidP="007046FB">
      <w:pPr>
        <w:pStyle w:val="BodyText20"/>
      </w:pPr>
    </w:p>
    <w:p w:rsidR="009159D2" w:rsidRDefault="009159D2" w:rsidP="009159D2">
      <w:pPr>
        <w:pStyle w:val="BodyText20"/>
        <w:spacing w:after="120"/>
        <w:rPr>
          <w:rFonts w:ascii="Calibri" w:hAnsi="Calibri"/>
          <w:sz w:val="22"/>
          <w:szCs w:val="22"/>
        </w:rPr>
      </w:pPr>
      <w:r w:rsidRPr="00070EEF">
        <w:rPr>
          <w:rFonts w:ascii="Calibri" w:hAnsi="Calibri"/>
          <w:sz w:val="22"/>
          <w:szCs w:val="22"/>
        </w:rPr>
        <w:t xml:space="preserve">The main test for assessing the proposed regulations against the practicable alternatives is their relative net benefit in achieving these policy objectives. </w:t>
      </w:r>
      <w:bookmarkEnd w:id="92"/>
    </w:p>
    <w:p w:rsidR="00864D9D" w:rsidRPr="005F3BA9" w:rsidRDefault="007C6CF8" w:rsidP="00CA7E5B">
      <w:pPr>
        <w:pStyle w:val="H13pt"/>
      </w:pPr>
      <w:bookmarkStart w:id="94" w:name="_Toc477190177"/>
      <w:r w:rsidRPr="005F3BA9">
        <w:t xml:space="preserve">3.2 </w:t>
      </w:r>
      <w:r w:rsidR="00864D9D" w:rsidRPr="005F3BA9">
        <w:t>Description of Code components</w:t>
      </w:r>
      <w:bookmarkEnd w:id="94"/>
    </w:p>
    <w:p w:rsidR="00D34416" w:rsidRDefault="000B3871" w:rsidP="00C357B6">
      <w:pPr>
        <w:jc w:val="both"/>
      </w:pPr>
      <w:bookmarkStart w:id="95" w:name="_Toc456126062"/>
      <w:r>
        <w:t xml:space="preserve">In order to achieve the </w:t>
      </w:r>
      <w:r w:rsidR="001A64D9">
        <w:t>main objective</w:t>
      </w:r>
      <w:r>
        <w:t xml:space="preserve">, the assessment of options and the proposed Code deals with the following management </w:t>
      </w:r>
      <w:r w:rsidR="007D7A02">
        <w:t>issues, which</w:t>
      </w:r>
      <w:r>
        <w:t xml:space="preserve"> are related to the primary objectives in the following ways</w:t>
      </w:r>
      <w:r w:rsidR="00700BAD">
        <w:t>:</w:t>
      </w:r>
    </w:p>
    <w:p w:rsidR="00282782" w:rsidRPr="00D946BC" w:rsidRDefault="000B3871" w:rsidP="00054CD3">
      <w:pPr>
        <w:pStyle w:val="ListParagraph"/>
        <w:numPr>
          <w:ilvl w:val="0"/>
          <w:numId w:val="52"/>
        </w:numPr>
        <w:spacing w:after="80"/>
        <w:ind w:left="425" w:hanging="425"/>
        <w:contextualSpacing w:val="0"/>
        <w:jc w:val="both"/>
      </w:pPr>
      <w:r w:rsidRPr="00054CD3">
        <w:rPr>
          <w:i/>
        </w:rPr>
        <w:t>Staff ratios:</w:t>
      </w:r>
      <w:r>
        <w:t xml:space="preserve"> to ensure the </w:t>
      </w:r>
      <w:r w:rsidR="00282782" w:rsidRPr="00D946BC">
        <w:t xml:space="preserve">adequate care and management of </w:t>
      </w:r>
      <w:r>
        <w:t xml:space="preserve">greyhounds, minimum ratios of </w:t>
      </w:r>
      <w:r w:rsidR="008D5BEF">
        <w:t xml:space="preserve">breeding </w:t>
      </w:r>
      <w:r>
        <w:t>staff to greyhounds are proposed (1:25 dogs)</w:t>
      </w:r>
      <w:r w:rsidR="008D5BEF" w:rsidRPr="00D946BC" w:rsidDel="008D5BEF">
        <w:t xml:space="preserve"> </w:t>
      </w:r>
      <w:r w:rsidR="00282782" w:rsidRPr="00D946BC">
        <w:t>(proposed Standard 3.1);</w:t>
      </w:r>
    </w:p>
    <w:p w:rsidR="00282782" w:rsidRPr="00D946BC" w:rsidRDefault="008D5BEF" w:rsidP="00054CD3">
      <w:pPr>
        <w:pStyle w:val="ListParagraph"/>
        <w:numPr>
          <w:ilvl w:val="0"/>
          <w:numId w:val="52"/>
        </w:numPr>
        <w:spacing w:after="80"/>
        <w:ind w:left="425" w:hanging="425"/>
        <w:contextualSpacing w:val="0"/>
        <w:jc w:val="both"/>
      </w:pPr>
      <w:r w:rsidRPr="00054CD3">
        <w:rPr>
          <w:i/>
        </w:rPr>
        <w:t>I</w:t>
      </w:r>
      <w:r w:rsidR="00282782" w:rsidRPr="00054CD3">
        <w:rPr>
          <w:i/>
        </w:rPr>
        <w:t>ndependent veterinary advice</w:t>
      </w:r>
      <w:r w:rsidRPr="00054CD3">
        <w:rPr>
          <w:i/>
        </w:rPr>
        <w:t>:</w:t>
      </w:r>
      <w:r>
        <w:t xml:space="preserve"> where </w:t>
      </w:r>
      <w:r w:rsidR="00282782" w:rsidRPr="00D946BC">
        <w:t xml:space="preserve">owners of greyhounds are </w:t>
      </w:r>
      <w:r>
        <w:t xml:space="preserve">also </w:t>
      </w:r>
      <w:r w:rsidR="00282782" w:rsidRPr="00D946BC">
        <w:t>veterinarians</w:t>
      </w:r>
      <w:r>
        <w:t xml:space="preserve">, an independent perspective on health can help </w:t>
      </w:r>
      <w:r w:rsidR="00282782" w:rsidRPr="00D946BC">
        <w:t>to ensure appropriate treatment of health-related issues</w:t>
      </w:r>
      <w:r w:rsidR="00B47649" w:rsidRPr="00D946BC">
        <w:t xml:space="preserve"> </w:t>
      </w:r>
      <w:r w:rsidR="00282782" w:rsidRPr="00D946BC">
        <w:t>(proposed Standard 3.6);</w:t>
      </w:r>
    </w:p>
    <w:p w:rsidR="00282782" w:rsidRPr="00D946BC" w:rsidRDefault="008D5BEF" w:rsidP="00054CD3">
      <w:pPr>
        <w:pStyle w:val="ListParagraph"/>
        <w:numPr>
          <w:ilvl w:val="0"/>
          <w:numId w:val="52"/>
        </w:numPr>
        <w:spacing w:after="80"/>
        <w:ind w:left="425" w:hanging="425"/>
        <w:contextualSpacing w:val="0"/>
        <w:jc w:val="both"/>
      </w:pPr>
      <w:r w:rsidRPr="00054CD3">
        <w:rPr>
          <w:i/>
        </w:rPr>
        <w:t>H</w:t>
      </w:r>
      <w:r w:rsidR="00282782" w:rsidRPr="00054CD3">
        <w:rPr>
          <w:i/>
        </w:rPr>
        <w:t>ealth management plans</w:t>
      </w:r>
      <w:r w:rsidRPr="00054CD3">
        <w:rPr>
          <w:i/>
        </w:rPr>
        <w:t>:</w:t>
      </w:r>
      <w:r>
        <w:t xml:space="preserve"> These plans help to ensure that a </w:t>
      </w:r>
      <w:r w:rsidR="003A1B94">
        <w:t>participant</w:t>
      </w:r>
      <w:r>
        <w:t xml:space="preserve"> has considered and planned around the health of their greyhounds, as well as sought input from a veterinarian for their care (includes</w:t>
      </w:r>
      <w:r w:rsidR="00282782" w:rsidRPr="00D946BC">
        <w:t xml:space="preserve"> one off input from veterinarian</w:t>
      </w:r>
      <w:r w:rsidR="0052583A" w:rsidRPr="00D946BC">
        <w:t>s</w:t>
      </w:r>
      <w:r w:rsidR="00282782" w:rsidRPr="00D946BC">
        <w:t xml:space="preserve"> in the </w:t>
      </w:r>
      <w:r w:rsidR="00DB4095" w:rsidRPr="00D946BC">
        <w:t xml:space="preserve">development </w:t>
      </w:r>
      <w:r w:rsidR="00282782" w:rsidRPr="00D946BC">
        <w:t xml:space="preserve">of </w:t>
      </w:r>
      <w:r w:rsidR="00002371">
        <w:t>one</w:t>
      </w:r>
      <w:r w:rsidR="00282782" w:rsidRPr="00D946BC">
        <w:t xml:space="preserve"> plan</w:t>
      </w:r>
      <w:r w:rsidR="00700BAD" w:rsidRPr="00D946BC">
        <w:t xml:space="preserve"> </w:t>
      </w:r>
      <w:r w:rsidR="00002371">
        <w:t>per participant</w:t>
      </w:r>
      <w:r w:rsidR="008A6453">
        <w:t xml:space="preserve"> with the size of the plan depending on how many dogs</w:t>
      </w:r>
      <w:r w:rsidR="00002371">
        <w:t xml:space="preserve"> participants </w:t>
      </w:r>
      <w:r w:rsidR="008A6453">
        <w:t>manage, as well as,</w:t>
      </w:r>
      <w:r w:rsidR="008A6453" w:rsidRPr="00D946BC" w:rsidDel="008D5BEF">
        <w:t xml:space="preserve"> </w:t>
      </w:r>
      <w:r w:rsidR="00DB4095" w:rsidRPr="00D946BC">
        <w:t>ongoing annual follow up by a veterinarian</w:t>
      </w:r>
      <w:r>
        <w:t xml:space="preserve"> </w:t>
      </w:r>
      <w:r w:rsidR="00DB4095" w:rsidRPr="00D946BC">
        <w:t>(proposed Standard 4.1);</w:t>
      </w:r>
    </w:p>
    <w:p w:rsidR="00DB4095" w:rsidRPr="00D946BC" w:rsidRDefault="008D5BEF" w:rsidP="00054CD3">
      <w:pPr>
        <w:pStyle w:val="ListParagraph"/>
        <w:numPr>
          <w:ilvl w:val="0"/>
          <w:numId w:val="52"/>
        </w:numPr>
        <w:spacing w:after="80"/>
        <w:ind w:left="425" w:hanging="425"/>
        <w:contextualSpacing w:val="0"/>
        <w:jc w:val="both"/>
      </w:pPr>
      <w:r>
        <w:rPr>
          <w:i/>
        </w:rPr>
        <w:t>Storage of e</w:t>
      </w:r>
      <w:r w:rsidRPr="00054CD3">
        <w:rPr>
          <w:i/>
        </w:rPr>
        <w:t xml:space="preserve">stablishment records: </w:t>
      </w:r>
      <w:r w:rsidRPr="00054CD3">
        <w:t>this requirement helps those</w:t>
      </w:r>
      <w:r>
        <w:rPr>
          <w:i/>
        </w:rPr>
        <w:t xml:space="preserve"> </w:t>
      </w:r>
      <w:r w:rsidR="00DB4095" w:rsidRPr="00D946BC">
        <w:t xml:space="preserve">taking possession </w:t>
      </w:r>
      <w:r w:rsidR="0052583A" w:rsidRPr="00D946BC">
        <w:t>of a</w:t>
      </w:r>
      <w:r w:rsidR="00DB4095" w:rsidRPr="00D946BC">
        <w:t xml:space="preserve"> greyhound better understand </w:t>
      </w:r>
      <w:r w:rsidR="0052583A" w:rsidRPr="00D946BC">
        <w:t>the</w:t>
      </w:r>
      <w:r>
        <w:t>ir</w:t>
      </w:r>
      <w:r w:rsidR="00DB4095" w:rsidRPr="00D946BC">
        <w:t xml:space="preserve"> health/welfare profile at any stage in the lifecycle and would allow timely and appropriate follow up with any flagged issues of concern (proposed Standard 5). </w:t>
      </w:r>
      <w:r w:rsidR="008A33B2">
        <w:t>In addition, ready access to records will enhance enforcement of</w:t>
      </w:r>
      <w:r w:rsidR="00E15AA9">
        <w:t xml:space="preserve"> the Code; enable rapid identification of welfare risks and promote continuous improvement.</w:t>
      </w:r>
    </w:p>
    <w:p w:rsidR="00DB4095" w:rsidRPr="00D946BC" w:rsidRDefault="008D5BEF" w:rsidP="00054CD3">
      <w:pPr>
        <w:pStyle w:val="ListParagraph"/>
        <w:numPr>
          <w:ilvl w:val="0"/>
          <w:numId w:val="52"/>
        </w:numPr>
        <w:spacing w:after="80"/>
        <w:ind w:left="425" w:hanging="425"/>
        <w:contextualSpacing w:val="0"/>
        <w:jc w:val="both"/>
      </w:pPr>
      <w:r w:rsidRPr="00054CD3">
        <w:rPr>
          <w:i/>
        </w:rPr>
        <w:t>R</w:t>
      </w:r>
      <w:r w:rsidR="00700BAD" w:rsidRPr="00054CD3">
        <w:rPr>
          <w:i/>
        </w:rPr>
        <w:t xml:space="preserve">ecord </w:t>
      </w:r>
      <w:r w:rsidRPr="00054CD3">
        <w:rPr>
          <w:i/>
        </w:rPr>
        <w:t xml:space="preserve">of </w:t>
      </w:r>
      <w:r w:rsidR="00700BAD" w:rsidRPr="00054CD3">
        <w:rPr>
          <w:i/>
        </w:rPr>
        <w:t>supplements, drugs, transfers, rehoming activities and disposals</w:t>
      </w:r>
      <w:r w:rsidRPr="00054CD3">
        <w:rPr>
          <w:i/>
        </w:rPr>
        <w:t xml:space="preserve"> and</w:t>
      </w:r>
      <w:r w:rsidR="007B521C">
        <w:rPr>
          <w:i/>
        </w:rPr>
        <w:t xml:space="preserve"> </w:t>
      </w:r>
      <w:r w:rsidRPr="00054CD3">
        <w:rPr>
          <w:i/>
        </w:rPr>
        <w:t xml:space="preserve">provision of </w:t>
      </w:r>
      <w:r w:rsidR="00700BAD" w:rsidRPr="00054CD3">
        <w:rPr>
          <w:i/>
        </w:rPr>
        <w:t xml:space="preserve">statement of health and management </w:t>
      </w:r>
      <w:r w:rsidRPr="00054CD3">
        <w:rPr>
          <w:i/>
        </w:rPr>
        <w:t>for dog transfers:</w:t>
      </w:r>
      <w:r>
        <w:t xml:space="preserve"> assist with administration and enforcement of the Code and </w:t>
      </w:r>
      <w:r w:rsidR="00700BAD" w:rsidRPr="00D946BC">
        <w:t xml:space="preserve">ensure that the ongoing health and welfare of a greyhound is maintained as it moves through their lifecycle </w:t>
      </w:r>
      <w:r w:rsidR="004D11B9" w:rsidRPr="00D946BC">
        <w:t>(</w:t>
      </w:r>
      <w:r w:rsidR="00700BAD" w:rsidRPr="00D946BC">
        <w:t>proposed Standard 5.2.1</w:t>
      </w:r>
      <w:r w:rsidR="004D11B9" w:rsidRPr="00D946BC">
        <w:t>)</w:t>
      </w:r>
      <w:r w:rsidR="00700BAD" w:rsidRPr="00D946BC">
        <w:t>;</w:t>
      </w:r>
    </w:p>
    <w:p w:rsidR="00700BAD" w:rsidRPr="00D946BC" w:rsidRDefault="00377E7A" w:rsidP="00054CD3">
      <w:pPr>
        <w:pStyle w:val="ListParagraph"/>
        <w:numPr>
          <w:ilvl w:val="0"/>
          <w:numId w:val="52"/>
        </w:numPr>
        <w:spacing w:after="80"/>
        <w:ind w:left="425" w:hanging="425"/>
        <w:contextualSpacing w:val="0"/>
        <w:jc w:val="both"/>
      </w:pPr>
      <w:r w:rsidRPr="00054CD3">
        <w:rPr>
          <w:i/>
        </w:rPr>
        <w:t>A</w:t>
      </w:r>
      <w:r w:rsidR="004D11B9" w:rsidRPr="00054CD3">
        <w:rPr>
          <w:i/>
        </w:rPr>
        <w:t>ccess to food receptacles</w:t>
      </w:r>
      <w:r w:rsidR="00B47649" w:rsidRPr="00054CD3">
        <w:rPr>
          <w:i/>
        </w:rPr>
        <w:t xml:space="preserve"> </w:t>
      </w:r>
      <w:r w:rsidR="004D11B9" w:rsidRPr="00054CD3">
        <w:rPr>
          <w:i/>
        </w:rPr>
        <w:t xml:space="preserve">which are regularly cleaned </w:t>
      </w:r>
      <w:r w:rsidRPr="00054CD3">
        <w:rPr>
          <w:i/>
        </w:rPr>
        <w:t>(all breeders) and adequate stor</w:t>
      </w:r>
      <w:r w:rsidR="007C6CF8">
        <w:rPr>
          <w:i/>
        </w:rPr>
        <w:t>age of food</w:t>
      </w:r>
      <w:r w:rsidRPr="00054CD3">
        <w:rPr>
          <w:i/>
        </w:rPr>
        <w:t xml:space="preserve"> (large breeders only):</w:t>
      </w:r>
      <w:r>
        <w:t xml:space="preserve"> these requirements are designed to improve hygiene of facilities and therefore prevent health problems </w:t>
      </w:r>
      <w:r w:rsidR="004D11B9" w:rsidRPr="00D946BC">
        <w:t>(proposed standard 6.1.1);</w:t>
      </w:r>
    </w:p>
    <w:p w:rsidR="00377E7A" w:rsidRDefault="00377E7A" w:rsidP="00054CD3">
      <w:pPr>
        <w:pStyle w:val="ListParagraph"/>
        <w:numPr>
          <w:ilvl w:val="0"/>
          <w:numId w:val="52"/>
        </w:numPr>
        <w:spacing w:after="80"/>
        <w:ind w:left="425" w:hanging="425"/>
        <w:contextualSpacing w:val="0"/>
        <w:jc w:val="both"/>
      </w:pPr>
      <w:r w:rsidRPr="00054CD3">
        <w:rPr>
          <w:i/>
        </w:rPr>
        <w:t>H</w:t>
      </w:r>
      <w:r w:rsidR="00170EF8" w:rsidRPr="00054CD3">
        <w:rPr>
          <w:i/>
        </w:rPr>
        <w:t>ealth checks and treatment plans for breeding females</w:t>
      </w:r>
      <w:r w:rsidRPr="00054CD3">
        <w:rPr>
          <w:i/>
        </w:rPr>
        <w:t>:</w:t>
      </w:r>
      <w:r>
        <w:t xml:space="preserve"> more intensive health checks of breeding females to improve </w:t>
      </w:r>
      <w:r w:rsidRPr="00D946BC">
        <w:t>risk management of health/welfare issues</w:t>
      </w:r>
      <w:r>
        <w:t xml:space="preserve"> </w:t>
      </w:r>
      <w:r w:rsidRPr="00D946BC">
        <w:t>(proposed Standard 6.2.3</w:t>
      </w:r>
      <w:r>
        <w:t>.</w:t>
      </w:r>
    </w:p>
    <w:p w:rsidR="004D11B9" w:rsidRPr="00D946BC" w:rsidRDefault="00377E7A" w:rsidP="00054CD3">
      <w:pPr>
        <w:pStyle w:val="ListParagraph"/>
        <w:numPr>
          <w:ilvl w:val="0"/>
          <w:numId w:val="52"/>
        </w:numPr>
        <w:spacing w:after="80"/>
        <w:ind w:left="425" w:hanging="425"/>
        <w:contextualSpacing w:val="0"/>
        <w:jc w:val="both"/>
      </w:pPr>
      <w:r w:rsidRPr="00054CD3">
        <w:rPr>
          <w:i/>
        </w:rPr>
        <w:lastRenderedPageBreak/>
        <w:t>A</w:t>
      </w:r>
      <w:r w:rsidR="0052583A" w:rsidRPr="00054CD3">
        <w:rPr>
          <w:i/>
        </w:rPr>
        <w:t>dditional 15-minute</w:t>
      </w:r>
      <w:r w:rsidR="00170EF8" w:rsidRPr="00054CD3">
        <w:rPr>
          <w:i/>
        </w:rPr>
        <w:t xml:space="preserve"> health check for </w:t>
      </w:r>
      <w:r w:rsidRPr="00054CD3">
        <w:rPr>
          <w:i/>
        </w:rPr>
        <w:t>all dog:</w:t>
      </w:r>
      <w:r>
        <w:t xml:space="preserve"> an additional health check to that provided during vaccination</w:t>
      </w:r>
      <w:r w:rsidR="00002371">
        <w:t xml:space="preserve"> and annual follow up under proposed Standard 4.1,</w:t>
      </w:r>
      <w:r>
        <w:t xml:space="preserve"> helps</w:t>
      </w:r>
      <w:r w:rsidR="00002371">
        <w:t xml:space="preserve"> </w:t>
      </w:r>
      <w:r>
        <w:t xml:space="preserve">to </w:t>
      </w:r>
      <w:r w:rsidR="007E21AF" w:rsidRPr="00D946BC">
        <w:t>ensure additional risk management of greyhound health/welfare issues</w:t>
      </w:r>
      <w:r w:rsidR="00170EF8" w:rsidRPr="00D946BC">
        <w:t xml:space="preserve"> (proposed Standard 6.2.3)</w:t>
      </w:r>
      <w:r w:rsidR="0052583A" w:rsidRPr="00D946BC">
        <w:t>;</w:t>
      </w:r>
    </w:p>
    <w:p w:rsidR="0052583A" w:rsidRPr="00D946BC" w:rsidRDefault="00377E7A" w:rsidP="00054CD3">
      <w:pPr>
        <w:pStyle w:val="ListParagraph"/>
        <w:numPr>
          <w:ilvl w:val="0"/>
          <w:numId w:val="52"/>
        </w:numPr>
        <w:spacing w:after="80"/>
        <w:ind w:left="425" w:hanging="425"/>
        <w:contextualSpacing w:val="0"/>
        <w:jc w:val="both"/>
      </w:pPr>
      <w:r w:rsidRPr="00054CD3">
        <w:rPr>
          <w:i/>
        </w:rPr>
        <w:t xml:space="preserve">Bedding materials, </w:t>
      </w:r>
      <w:r w:rsidR="0052583A" w:rsidRPr="00054CD3">
        <w:rPr>
          <w:i/>
        </w:rPr>
        <w:t>exercise, enrichment and socialisation</w:t>
      </w:r>
      <w:r w:rsidRPr="00054CD3">
        <w:rPr>
          <w:i/>
        </w:rPr>
        <w:t>:</w:t>
      </w:r>
      <w:r>
        <w:t xml:space="preserve"> these requirements are designed to improve the quality of life for dogs, as well as improve their behavioural development to make it easier</w:t>
      </w:r>
      <w:r w:rsidR="00ED28A5">
        <w:t xml:space="preserve"> for them to transition to a pet</w:t>
      </w:r>
      <w:r w:rsidR="0052583A" w:rsidRPr="00D946BC">
        <w:t xml:space="preserve"> (proposed Standard 6.3.9)</w:t>
      </w:r>
      <w:r w:rsidR="008F46A0" w:rsidRPr="00D946BC">
        <w:t>;</w:t>
      </w:r>
    </w:p>
    <w:p w:rsidR="0052583A" w:rsidRPr="00D946BC" w:rsidRDefault="00ED28A5" w:rsidP="00054CD3">
      <w:pPr>
        <w:pStyle w:val="ListParagraph"/>
        <w:numPr>
          <w:ilvl w:val="0"/>
          <w:numId w:val="52"/>
        </w:numPr>
        <w:spacing w:after="80"/>
        <w:ind w:left="425" w:hanging="425"/>
        <w:contextualSpacing w:val="0"/>
        <w:jc w:val="both"/>
      </w:pPr>
      <w:r w:rsidRPr="00054CD3">
        <w:rPr>
          <w:i/>
        </w:rPr>
        <w:t>O</w:t>
      </w:r>
      <w:r w:rsidR="0052583A" w:rsidRPr="00054CD3">
        <w:rPr>
          <w:i/>
        </w:rPr>
        <w:t>wners taking responsibility for the initial rehabilitation</w:t>
      </w:r>
      <w:r w:rsidRPr="00054CD3">
        <w:rPr>
          <w:i/>
        </w:rPr>
        <w:t xml:space="preserve"> and rehoming:</w:t>
      </w:r>
      <w:r>
        <w:t xml:space="preserve"> this requirement is </w:t>
      </w:r>
      <w:r w:rsidR="007C6CF8">
        <w:t xml:space="preserve">to </w:t>
      </w:r>
      <w:r>
        <w:t xml:space="preserve">improve incentives throughout the greyhound’s life for improving rehoming potential, reduce the overall costs of rehoming, and increase the likelihood of more dogs being rehomed. </w:t>
      </w:r>
      <w:r w:rsidR="008F46A0" w:rsidRPr="00D946BC">
        <w:t>(proposed Standard 6.3.12)</w:t>
      </w:r>
      <w:r w:rsidR="008A6453">
        <w:t xml:space="preserve"> (for a more detailed discussion see Section 3.3 in this RIS)</w:t>
      </w:r>
      <w:r w:rsidR="008F46A0" w:rsidRPr="00D946BC">
        <w:t>;</w:t>
      </w:r>
    </w:p>
    <w:p w:rsidR="008F46A0" w:rsidRPr="00D946BC" w:rsidRDefault="00ED28A5" w:rsidP="00054CD3">
      <w:pPr>
        <w:pStyle w:val="ListParagraph"/>
        <w:numPr>
          <w:ilvl w:val="0"/>
          <w:numId w:val="52"/>
        </w:numPr>
        <w:spacing w:after="80"/>
        <w:ind w:left="425" w:hanging="425"/>
        <w:contextualSpacing w:val="0"/>
        <w:jc w:val="both"/>
      </w:pPr>
      <w:r w:rsidRPr="00054CD3">
        <w:rPr>
          <w:i/>
        </w:rPr>
        <w:t>P</w:t>
      </w:r>
      <w:r w:rsidR="008F46A0" w:rsidRPr="00054CD3">
        <w:rPr>
          <w:i/>
        </w:rPr>
        <w:t>erimeter fencing requirements</w:t>
      </w:r>
      <w:r w:rsidRPr="00054CD3">
        <w:rPr>
          <w:i/>
        </w:rPr>
        <w:t>:</w:t>
      </w:r>
      <w:r>
        <w:t xml:space="preserve"> helps to prevent dogs </w:t>
      </w:r>
      <w:r w:rsidR="00B7572B" w:rsidRPr="00D946BC">
        <w:t>leav</w:t>
      </w:r>
      <w:r>
        <w:t>ing</w:t>
      </w:r>
      <w:r w:rsidR="00B7572B" w:rsidRPr="00D946BC">
        <w:t xml:space="preserve"> the premises and </w:t>
      </w:r>
      <w:r>
        <w:t>being</w:t>
      </w:r>
      <w:r w:rsidR="00B7572B" w:rsidRPr="00D946BC">
        <w:t xml:space="preserve"> exposed to welfare and safety risks (proposed Standard 6.6.4)</w:t>
      </w:r>
      <w:r w:rsidR="00D04F4C" w:rsidRPr="00D946BC">
        <w:t>;</w:t>
      </w:r>
    </w:p>
    <w:p w:rsidR="00D04F4C" w:rsidRPr="00D946BC" w:rsidRDefault="00ED28A5" w:rsidP="00054CD3">
      <w:pPr>
        <w:pStyle w:val="ListParagraph"/>
        <w:numPr>
          <w:ilvl w:val="0"/>
          <w:numId w:val="52"/>
        </w:numPr>
        <w:spacing w:after="80"/>
        <w:ind w:left="425" w:hanging="425"/>
        <w:contextualSpacing w:val="0"/>
        <w:jc w:val="both"/>
      </w:pPr>
      <w:r w:rsidRPr="00054CD3">
        <w:rPr>
          <w:i/>
        </w:rPr>
        <w:t>Adequate weather proofing of o</w:t>
      </w:r>
      <w:r w:rsidR="00D04F4C" w:rsidRPr="00054CD3">
        <w:rPr>
          <w:i/>
        </w:rPr>
        <w:t>utdoor housing</w:t>
      </w:r>
      <w:r w:rsidRPr="00054CD3">
        <w:rPr>
          <w:i/>
        </w:rPr>
        <w:t xml:space="preserve"> and</w:t>
      </w:r>
      <w:r w:rsidR="00D04F4C" w:rsidRPr="00054CD3">
        <w:rPr>
          <w:i/>
        </w:rPr>
        <w:t xml:space="preserve"> raised sleeping</w:t>
      </w:r>
      <w:r w:rsidR="00D04F4C" w:rsidRPr="00D946BC">
        <w:t xml:space="preserve"> beds</w:t>
      </w:r>
      <w:r>
        <w:t xml:space="preserve">: improving the adequacy of </w:t>
      </w:r>
      <w:r w:rsidR="00864D9D">
        <w:t>housing and bedding is designed to improve dogs’ health, safety and alleviate stress</w:t>
      </w:r>
      <w:r w:rsidR="00D04F4C" w:rsidRPr="00D946BC">
        <w:t xml:space="preserve"> (proposed Standard 6.6.5);</w:t>
      </w:r>
    </w:p>
    <w:p w:rsidR="00D04F4C" w:rsidRPr="00D946BC" w:rsidRDefault="00864D9D" w:rsidP="00054CD3">
      <w:pPr>
        <w:pStyle w:val="ListParagraph"/>
        <w:numPr>
          <w:ilvl w:val="0"/>
          <w:numId w:val="52"/>
        </w:numPr>
        <w:spacing w:after="80"/>
        <w:ind w:left="425" w:hanging="425"/>
        <w:contextualSpacing w:val="0"/>
        <w:jc w:val="both"/>
      </w:pPr>
      <w:r w:rsidRPr="00054CD3">
        <w:rPr>
          <w:i/>
        </w:rPr>
        <w:t>I</w:t>
      </w:r>
      <w:r w:rsidR="00B7572B" w:rsidRPr="00054CD3">
        <w:rPr>
          <w:i/>
        </w:rPr>
        <w:t xml:space="preserve">ndoor kennel facilities </w:t>
      </w:r>
      <w:r w:rsidRPr="00054CD3">
        <w:rPr>
          <w:i/>
        </w:rPr>
        <w:t>improvements, including s</w:t>
      </w:r>
      <w:r w:rsidR="00B7572B" w:rsidRPr="00054CD3">
        <w:rPr>
          <w:i/>
        </w:rPr>
        <w:t>leeping areas</w:t>
      </w:r>
      <w:r w:rsidRPr="00054CD3">
        <w:rPr>
          <w:i/>
        </w:rPr>
        <w:t xml:space="preserve"> with </w:t>
      </w:r>
      <w:r w:rsidR="00B7572B" w:rsidRPr="00054CD3">
        <w:rPr>
          <w:i/>
        </w:rPr>
        <w:t>solid partitions</w:t>
      </w:r>
      <w:r w:rsidRPr="00054CD3">
        <w:rPr>
          <w:i/>
        </w:rPr>
        <w:t>:</w:t>
      </w:r>
      <w:r w:rsidR="007B521C">
        <w:t xml:space="preserve"> </w:t>
      </w:r>
      <w:r w:rsidR="00B7572B" w:rsidRPr="00D946BC">
        <w:t>welfare benefits in terms of space and security from other dogs (propose Standard 6.6.6);</w:t>
      </w:r>
      <w:r w:rsidR="003D7A56" w:rsidRPr="00D946BC">
        <w:t xml:space="preserve"> and</w:t>
      </w:r>
    </w:p>
    <w:p w:rsidR="0052583A" w:rsidRPr="00D946BC" w:rsidRDefault="00864D9D" w:rsidP="00054CD3">
      <w:pPr>
        <w:pStyle w:val="ListParagraph"/>
        <w:numPr>
          <w:ilvl w:val="0"/>
          <w:numId w:val="52"/>
        </w:numPr>
        <w:spacing w:after="80"/>
        <w:ind w:left="425" w:hanging="425"/>
        <w:contextualSpacing w:val="0"/>
        <w:jc w:val="both"/>
      </w:pPr>
      <w:r w:rsidRPr="00054CD3">
        <w:rPr>
          <w:i/>
        </w:rPr>
        <w:t>GRV notifications of transfer b</w:t>
      </w:r>
      <w:r w:rsidR="00B7572B" w:rsidRPr="00054CD3">
        <w:rPr>
          <w:i/>
        </w:rPr>
        <w:t>etween properties</w:t>
      </w:r>
      <w:r>
        <w:t>: assist with administration and enforcement of the Code, so that non-compliance and welfare risks can be identified</w:t>
      </w:r>
      <w:r w:rsidR="00B7572B" w:rsidRPr="00D946BC">
        <w:t xml:space="preserve"> (proposed Standard </w:t>
      </w:r>
      <w:r w:rsidR="003D7A56" w:rsidRPr="00D946BC">
        <w:t>7.1).</w:t>
      </w:r>
    </w:p>
    <w:p w:rsidR="00544E01" w:rsidRPr="00D946BC" w:rsidRDefault="00544E01" w:rsidP="00CA7E5B"/>
    <w:p w:rsidR="007C6CF8" w:rsidRPr="005F3BA9" w:rsidRDefault="007C6CF8" w:rsidP="00054CD3">
      <w:pPr>
        <w:pStyle w:val="Heading2"/>
      </w:pPr>
      <w:bookmarkStart w:id="96" w:name="_Toc477190178"/>
      <w:r w:rsidRPr="005F3BA9">
        <w:t>3.3 The GAP Reform</w:t>
      </w:r>
      <w:bookmarkEnd w:id="96"/>
      <w:r w:rsidRPr="005F3BA9" w:rsidDel="007C6CF8">
        <w:t xml:space="preserve"> </w:t>
      </w:r>
    </w:p>
    <w:p w:rsidR="007C6CF8" w:rsidRPr="00C357B6" w:rsidRDefault="007C6CF8" w:rsidP="007C6CF8">
      <w:pPr>
        <w:pStyle w:val="BodyText20"/>
        <w:spacing w:after="120"/>
        <w:rPr>
          <w:rFonts w:ascii="Calibri" w:hAnsi="Calibri" w:cs="Calibri"/>
          <w:sz w:val="22"/>
          <w:szCs w:val="22"/>
        </w:rPr>
      </w:pPr>
      <w:r w:rsidRPr="00C357B6">
        <w:rPr>
          <w:rFonts w:ascii="Calibri" w:hAnsi="Calibri" w:cs="Calibri"/>
          <w:sz w:val="22"/>
          <w:szCs w:val="22"/>
        </w:rPr>
        <w:t>The movement of animals from the purpose for which they are bred (racing) to that as a family pet is a major change to the animals’ lifestyle and gives the greyhound a life and purpose beyond racing. However, it is not a simple case of just finding a home for the dog after racing</w:t>
      </w:r>
      <w:r>
        <w:rPr>
          <w:rFonts w:ascii="Calibri" w:hAnsi="Calibri" w:cs="Calibri"/>
          <w:sz w:val="22"/>
          <w:szCs w:val="22"/>
        </w:rPr>
        <w:t>.</w:t>
      </w:r>
      <w:r w:rsidRPr="00C357B6">
        <w:rPr>
          <w:rFonts w:ascii="Calibri" w:hAnsi="Calibri" w:cs="Calibri"/>
          <w:sz w:val="22"/>
          <w:szCs w:val="22"/>
        </w:rPr>
        <w:t xml:space="preserve"> </w:t>
      </w:r>
      <w:r>
        <w:rPr>
          <w:rFonts w:ascii="Calibri" w:hAnsi="Calibri" w:cs="Calibri"/>
          <w:sz w:val="22"/>
          <w:szCs w:val="22"/>
        </w:rPr>
        <w:t>D</w:t>
      </w:r>
      <w:r w:rsidRPr="00C357B6">
        <w:rPr>
          <w:rFonts w:ascii="Calibri" w:hAnsi="Calibri" w:cs="Calibri"/>
          <w:sz w:val="22"/>
          <w:szCs w:val="22"/>
        </w:rPr>
        <w:t>ogs need to be ‘set-up’ from birth for th</w:t>
      </w:r>
      <w:r>
        <w:rPr>
          <w:rFonts w:ascii="Calibri" w:hAnsi="Calibri" w:cs="Calibri"/>
          <w:sz w:val="22"/>
          <w:szCs w:val="22"/>
        </w:rPr>
        <w:t>is</w:t>
      </w:r>
      <w:r w:rsidRPr="00C357B6">
        <w:rPr>
          <w:rFonts w:ascii="Calibri" w:hAnsi="Calibri" w:cs="Calibri"/>
          <w:sz w:val="22"/>
          <w:szCs w:val="22"/>
        </w:rPr>
        <w:t xml:space="preserve"> life time process by establishing adequate socialisation and behavioural skills</w:t>
      </w:r>
      <w:r w:rsidRPr="00C357B6">
        <w:rPr>
          <w:rStyle w:val="FootnoteReference"/>
          <w:rFonts w:ascii="Calibri" w:hAnsi="Calibri" w:cs="Calibri"/>
          <w:bCs/>
          <w:sz w:val="20"/>
        </w:rPr>
        <w:footnoteReference w:id="101"/>
      </w:r>
      <w:r w:rsidRPr="00C357B6">
        <w:rPr>
          <w:rFonts w:ascii="Calibri" w:hAnsi="Calibri" w:cs="Calibri"/>
          <w:sz w:val="22"/>
          <w:szCs w:val="22"/>
        </w:rPr>
        <w:t>.</w:t>
      </w:r>
      <w:r w:rsidR="007B521C">
        <w:rPr>
          <w:rFonts w:ascii="Calibri" w:hAnsi="Calibri" w:cs="Calibri"/>
          <w:sz w:val="22"/>
          <w:szCs w:val="22"/>
        </w:rPr>
        <w:t xml:space="preserve"> </w:t>
      </w:r>
      <w:r w:rsidRPr="00C357B6">
        <w:rPr>
          <w:rFonts w:ascii="Calibri" w:hAnsi="Calibri" w:cs="Calibri"/>
          <w:bCs/>
          <w:sz w:val="22"/>
          <w:szCs w:val="22"/>
        </w:rPr>
        <w:t>GRV have implemented a s</w:t>
      </w:r>
      <w:r w:rsidRPr="00C357B6">
        <w:rPr>
          <w:rFonts w:ascii="Calibri" w:hAnsi="Calibri" w:cs="Calibri"/>
          <w:sz w:val="22"/>
          <w:szCs w:val="22"/>
        </w:rPr>
        <w:t>uite of reforms to improve the chances of a greyhound making the transition to a life beyond racing, including: doubling the number of kennels available in their GAP program, increased reporting and requirements for any intended euthanasia and increased education programs.</w:t>
      </w:r>
    </w:p>
    <w:p w:rsidR="007C6CF8" w:rsidRPr="00C357B6" w:rsidRDefault="007C6CF8" w:rsidP="007C6CF8">
      <w:pPr>
        <w:pStyle w:val="BodyText20"/>
        <w:spacing w:after="120"/>
        <w:rPr>
          <w:rFonts w:ascii="Calibri" w:hAnsi="Calibri" w:cs="Calibri"/>
          <w:sz w:val="22"/>
          <w:szCs w:val="22"/>
        </w:rPr>
      </w:pPr>
      <w:r w:rsidRPr="00C357B6">
        <w:rPr>
          <w:rFonts w:ascii="Calibri" w:hAnsi="Calibri" w:cs="Calibri"/>
          <w:sz w:val="22"/>
          <w:szCs w:val="22"/>
        </w:rPr>
        <w:t>The proposed Code also builds on the G</w:t>
      </w:r>
      <w:r>
        <w:rPr>
          <w:rFonts w:ascii="Calibri" w:hAnsi="Calibri" w:cs="Calibri"/>
          <w:sz w:val="22"/>
          <w:szCs w:val="22"/>
        </w:rPr>
        <w:t>R</w:t>
      </w:r>
      <w:r w:rsidRPr="00C357B6">
        <w:rPr>
          <w:rFonts w:ascii="Calibri" w:hAnsi="Calibri" w:cs="Calibri"/>
          <w:sz w:val="22"/>
          <w:szCs w:val="22"/>
        </w:rPr>
        <w:t xml:space="preserve">V GAP reform. The </w:t>
      </w:r>
      <w:r>
        <w:rPr>
          <w:rFonts w:ascii="Calibri" w:hAnsi="Calibri" w:cs="Calibri"/>
          <w:sz w:val="22"/>
          <w:szCs w:val="22"/>
        </w:rPr>
        <w:t>C</w:t>
      </w:r>
      <w:r w:rsidRPr="00C357B6">
        <w:rPr>
          <w:rFonts w:ascii="Calibri" w:hAnsi="Calibri" w:cs="Calibri"/>
          <w:sz w:val="22"/>
          <w:szCs w:val="22"/>
        </w:rPr>
        <w:t xml:space="preserve">ode clearly puts the onus of preparing a dog for exit from the industry back on the owner. Increased socialisation, environmental enrichment and preparation requirements, along with health protection through veterinary checks and limits to breeding, will all increase the dog’s chances of </w:t>
      </w:r>
      <w:r>
        <w:rPr>
          <w:rFonts w:ascii="Calibri" w:hAnsi="Calibri" w:cs="Calibri"/>
          <w:sz w:val="22"/>
          <w:szCs w:val="22"/>
        </w:rPr>
        <w:t>successfully</w:t>
      </w:r>
      <w:r w:rsidRPr="00C357B6">
        <w:rPr>
          <w:rFonts w:ascii="Calibri" w:hAnsi="Calibri" w:cs="Calibri"/>
          <w:sz w:val="22"/>
          <w:szCs w:val="22"/>
        </w:rPr>
        <w:t xml:space="preserve"> making the transition to pet</w:t>
      </w:r>
      <w:r>
        <w:rPr>
          <w:rFonts w:ascii="Calibri" w:hAnsi="Calibri" w:cs="Calibri"/>
          <w:sz w:val="22"/>
          <w:szCs w:val="22"/>
        </w:rPr>
        <w:t>.</w:t>
      </w:r>
      <w:r w:rsidRPr="00C357B6">
        <w:rPr>
          <w:rFonts w:ascii="Calibri" w:hAnsi="Calibri" w:cs="Calibri"/>
          <w:sz w:val="22"/>
          <w:szCs w:val="22"/>
        </w:rPr>
        <w:t xml:space="preserve"> </w:t>
      </w:r>
      <w:r>
        <w:rPr>
          <w:rFonts w:ascii="Calibri" w:hAnsi="Calibri" w:cs="Calibri"/>
          <w:sz w:val="22"/>
          <w:szCs w:val="22"/>
        </w:rPr>
        <w:t>Improved</w:t>
      </w:r>
      <w:r w:rsidRPr="00C357B6">
        <w:rPr>
          <w:rFonts w:ascii="Calibri" w:hAnsi="Calibri" w:cs="Calibri"/>
          <w:sz w:val="22"/>
          <w:szCs w:val="22"/>
        </w:rPr>
        <w:t xml:space="preserve"> welfare throughout </w:t>
      </w:r>
      <w:r>
        <w:rPr>
          <w:rFonts w:ascii="Calibri" w:hAnsi="Calibri" w:cs="Calibri"/>
          <w:sz w:val="22"/>
          <w:szCs w:val="22"/>
        </w:rPr>
        <w:t>the greyhound’s</w:t>
      </w:r>
      <w:r w:rsidRPr="00C357B6">
        <w:rPr>
          <w:rFonts w:ascii="Calibri" w:hAnsi="Calibri" w:cs="Calibri"/>
          <w:sz w:val="22"/>
          <w:szCs w:val="22"/>
        </w:rPr>
        <w:t xml:space="preserve"> life</w:t>
      </w:r>
      <w:r>
        <w:rPr>
          <w:rFonts w:ascii="Calibri" w:hAnsi="Calibri" w:cs="Calibri"/>
          <w:sz w:val="22"/>
          <w:szCs w:val="22"/>
        </w:rPr>
        <w:t xml:space="preserve"> will also result</w:t>
      </w:r>
      <w:r w:rsidRPr="00C357B6">
        <w:rPr>
          <w:rFonts w:ascii="Calibri" w:hAnsi="Calibri" w:cs="Calibri"/>
          <w:sz w:val="22"/>
          <w:szCs w:val="22"/>
        </w:rPr>
        <w:t>. Currently the average length of time that a dog is in the GAP program is 42 days, new programs under the proposed code should drop this average down to 7 days, allowing more dogs</w:t>
      </w:r>
      <w:r>
        <w:rPr>
          <w:rFonts w:ascii="Calibri" w:hAnsi="Calibri" w:cs="Calibri"/>
          <w:sz w:val="22"/>
          <w:szCs w:val="22"/>
        </w:rPr>
        <w:t xml:space="preserve"> to move</w:t>
      </w:r>
      <w:r w:rsidRPr="00C357B6">
        <w:rPr>
          <w:rFonts w:ascii="Calibri" w:hAnsi="Calibri" w:cs="Calibri"/>
          <w:sz w:val="22"/>
          <w:szCs w:val="22"/>
        </w:rPr>
        <w:t xml:space="preserve"> through the GAP program and shift the cost from GRV to</w:t>
      </w:r>
      <w:r>
        <w:rPr>
          <w:rFonts w:ascii="Calibri" w:hAnsi="Calibri" w:cs="Calibri"/>
          <w:sz w:val="22"/>
          <w:szCs w:val="22"/>
        </w:rPr>
        <w:t xml:space="preserve"> the</w:t>
      </w:r>
      <w:r w:rsidRPr="00C357B6">
        <w:rPr>
          <w:rFonts w:ascii="Calibri" w:hAnsi="Calibri" w:cs="Calibri"/>
          <w:sz w:val="22"/>
          <w:szCs w:val="22"/>
        </w:rPr>
        <w:t xml:space="preserve"> owner.</w:t>
      </w:r>
    </w:p>
    <w:p w:rsidR="007C6CF8" w:rsidRPr="00C357B6" w:rsidRDefault="007C6CF8" w:rsidP="007C6CF8">
      <w:pPr>
        <w:pStyle w:val="BodyText20"/>
        <w:spacing w:after="120"/>
        <w:rPr>
          <w:rFonts w:ascii="Calibri" w:hAnsi="Calibri" w:cs="Calibri"/>
          <w:sz w:val="22"/>
          <w:szCs w:val="22"/>
        </w:rPr>
      </w:pPr>
      <w:r w:rsidRPr="00C357B6">
        <w:rPr>
          <w:rFonts w:ascii="Calibri" w:hAnsi="Calibri" w:cs="Calibri"/>
          <w:sz w:val="22"/>
          <w:szCs w:val="22"/>
        </w:rPr>
        <w:lastRenderedPageBreak/>
        <w:t>It is expected these changes will be easily and readily accepted by small breeders and owners. This category of participants in the industry have a closer</w:t>
      </w:r>
      <w:r>
        <w:rPr>
          <w:rFonts w:ascii="Calibri" w:hAnsi="Calibri" w:cs="Calibri"/>
          <w:sz w:val="22"/>
          <w:szCs w:val="22"/>
        </w:rPr>
        <w:t>,</w:t>
      </w:r>
      <w:r w:rsidRPr="00C357B6">
        <w:rPr>
          <w:rFonts w:ascii="Calibri" w:hAnsi="Calibri" w:cs="Calibri"/>
          <w:sz w:val="22"/>
          <w:szCs w:val="22"/>
        </w:rPr>
        <w:t xml:space="preserve"> more personal bond with their greyhound and see the animal as a hobby or pet rather than solely a business transaction. This group have time to wait for an animal to get into the GAP program and feel it is an opportunity to ‘give-back’ to the animal for the joy or fun it has provided. Large breeders are more likely to be set up as a business where time and actions and resources are money. However, the proposed mandatory code requires all owners or carers to prepare the animal in small increments that accumulate to increase the chances of a dog moving onto a life beyond racing.</w:t>
      </w:r>
    </w:p>
    <w:p w:rsidR="00B950CF" w:rsidRDefault="00B950CF" w:rsidP="00CA7E5B">
      <w:r>
        <w:br w:type="page"/>
      </w:r>
    </w:p>
    <w:p w:rsidR="00620946" w:rsidRDefault="008258A5" w:rsidP="005F3125">
      <w:pPr>
        <w:pStyle w:val="Heading1"/>
      </w:pPr>
      <w:bookmarkStart w:id="97" w:name="_Toc469529160"/>
      <w:bookmarkStart w:id="98" w:name="_Toc477190179"/>
      <w:r w:rsidRPr="00070EEF">
        <w:lastRenderedPageBreak/>
        <w:t xml:space="preserve">Section </w:t>
      </w:r>
      <w:r>
        <w:t>4</w:t>
      </w:r>
      <w:r w:rsidRPr="00070EEF">
        <w:t xml:space="preserve"> </w:t>
      </w:r>
      <w:r>
        <w:t>Identification of viable options to achieve objectives</w:t>
      </w:r>
      <w:bookmarkEnd w:id="95"/>
      <w:bookmarkEnd w:id="97"/>
      <w:bookmarkEnd w:id="98"/>
    </w:p>
    <w:p w:rsidR="00FF153F" w:rsidRDefault="002D2638" w:rsidP="00E36B0B">
      <w:pPr>
        <w:jc w:val="both"/>
        <w:rPr>
          <w:color w:val="000000" w:themeColor="text1"/>
        </w:rPr>
      </w:pPr>
      <w:r w:rsidRPr="002D2638">
        <w:rPr>
          <w:color w:val="000000" w:themeColor="text1"/>
        </w:rPr>
        <w:t xml:space="preserve">In accordance with the Victorian guidelines, </w:t>
      </w:r>
      <w:r w:rsidR="00FA1B62">
        <w:rPr>
          <w:color w:val="000000" w:themeColor="text1"/>
        </w:rPr>
        <w:t>Section 4 of this</w:t>
      </w:r>
      <w:r>
        <w:rPr>
          <w:color w:val="000000" w:themeColor="text1"/>
        </w:rPr>
        <w:t xml:space="preserve"> RIS </w:t>
      </w:r>
      <w:r w:rsidR="00FA1B62">
        <w:rPr>
          <w:color w:val="000000" w:themeColor="text1"/>
        </w:rPr>
        <w:t>identifies</w:t>
      </w:r>
      <w:r w:rsidRPr="002D2638">
        <w:rPr>
          <w:color w:val="000000" w:themeColor="text1"/>
        </w:rPr>
        <w:t xml:space="preserve"> and consider</w:t>
      </w:r>
      <w:r w:rsidR="00FA1B62">
        <w:rPr>
          <w:color w:val="000000" w:themeColor="text1"/>
        </w:rPr>
        <w:t>s</w:t>
      </w:r>
      <w:r w:rsidRPr="002D2638">
        <w:rPr>
          <w:color w:val="000000" w:themeColor="text1"/>
        </w:rPr>
        <w:t xml:space="preserve"> feasible options</w:t>
      </w:r>
      <w:r>
        <w:rPr>
          <w:color w:val="000000" w:themeColor="text1"/>
        </w:rPr>
        <w:t xml:space="preserve"> (approaches that could be taken) to achieve the specified outcomes (objective) in Section 3.</w:t>
      </w:r>
      <w:r w:rsidR="007B521C">
        <w:rPr>
          <w:color w:val="000000" w:themeColor="text1"/>
        </w:rPr>
        <w:t xml:space="preserve"> </w:t>
      </w:r>
      <w:r>
        <w:rPr>
          <w:color w:val="000000" w:themeColor="text1"/>
        </w:rPr>
        <w:t xml:space="preserve">Conversely, the RIS </w:t>
      </w:r>
      <w:r w:rsidRPr="002D2638">
        <w:rPr>
          <w:color w:val="000000" w:themeColor="text1"/>
        </w:rPr>
        <w:t>is not required to consider options that are not feasible, or where there are no significant cost burdens being imposed.</w:t>
      </w:r>
      <w:r w:rsidR="007B521C">
        <w:rPr>
          <w:color w:val="000000" w:themeColor="text1"/>
        </w:rPr>
        <w:t xml:space="preserve"> </w:t>
      </w:r>
    </w:p>
    <w:p w:rsidR="00FF153F" w:rsidRDefault="00FF153F" w:rsidP="00E36B0B">
      <w:pPr>
        <w:jc w:val="both"/>
        <w:rPr>
          <w:color w:val="000000" w:themeColor="text1"/>
        </w:rPr>
      </w:pPr>
    </w:p>
    <w:p w:rsidR="004B0055" w:rsidRPr="005F3BA9" w:rsidRDefault="004B0055" w:rsidP="004B0055">
      <w:pPr>
        <w:pStyle w:val="Heading2"/>
      </w:pPr>
      <w:bookmarkStart w:id="99" w:name="_Toc469529161"/>
      <w:bookmarkStart w:id="100" w:name="_Toc477190180"/>
      <w:r w:rsidRPr="005F3BA9">
        <w:t>4.1 Feasible options</w:t>
      </w:r>
      <w:bookmarkEnd w:id="99"/>
      <w:bookmarkEnd w:id="100"/>
    </w:p>
    <w:p w:rsidR="004B0055" w:rsidRDefault="00864D9D" w:rsidP="004B0055">
      <w:r>
        <w:t>These options draw on the key elements in the proposed Code described in section 3</w:t>
      </w:r>
      <w:r w:rsidR="007C6CF8">
        <w:t>.2</w:t>
      </w:r>
      <w:r>
        <w:t xml:space="preserve">, but describe different types of enforcement, and variations on elements of the Code. </w:t>
      </w:r>
      <w:r w:rsidR="004B0055">
        <w:t>Feasible options considered in this RIS</w:t>
      </w:r>
      <w:r w:rsidR="00986E90">
        <w:t xml:space="preserve"> are outlined in Table 14 and the following sections</w:t>
      </w:r>
      <w:r w:rsidR="004B0055">
        <w:t>:</w:t>
      </w:r>
    </w:p>
    <w:p w:rsidR="004B0055" w:rsidRDefault="004B0055" w:rsidP="004B0055"/>
    <w:p w:rsidR="00986E90" w:rsidRPr="00986E90" w:rsidRDefault="00986E90" w:rsidP="00986E90">
      <w:pPr>
        <w:jc w:val="center"/>
        <w:rPr>
          <w:b/>
          <w:sz w:val="20"/>
        </w:rPr>
      </w:pPr>
      <w:r w:rsidRPr="00986E90">
        <w:rPr>
          <w:b/>
          <w:sz w:val="20"/>
        </w:rPr>
        <w:t>Table 14: Summary of feasible options 1 to 6 chosen</w:t>
      </w:r>
    </w:p>
    <w:p w:rsidR="00986E90" w:rsidRDefault="00986E90" w:rsidP="00E36B0B">
      <w:pPr>
        <w:jc w:val="both"/>
        <w:rPr>
          <w:color w:val="000000" w:themeColor="text1"/>
        </w:rPr>
      </w:pPr>
    </w:p>
    <w:tbl>
      <w:tblPr>
        <w:tblW w:w="8221" w:type="dxa"/>
        <w:tblLook w:val="04A0" w:firstRow="1" w:lastRow="0" w:firstColumn="1" w:lastColumn="0" w:noHBand="0" w:noVBand="1"/>
      </w:tblPr>
      <w:tblGrid>
        <w:gridCol w:w="1139"/>
        <w:gridCol w:w="1622"/>
        <w:gridCol w:w="4043"/>
        <w:gridCol w:w="1417"/>
      </w:tblGrid>
      <w:tr w:rsidR="00986E90" w:rsidRPr="00CA7E5B" w:rsidTr="00986E90">
        <w:tc>
          <w:tcPr>
            <w:tcW w:w="1139" w:type="dxa"/>
            <w:tcBorders>
              <w:top w:val="single" w:sz="4" w:space="0" w:color="1F497D" w:themeColor="text2"/>
              <w:bottom w:val="double" w:sz="4" w:space="0" w:color="1F497D" w:themeColor="text2"/>
            </w:tcBorders>
          </w:tcPr>
          <w:p w:rsidR="00986E90" w:rsidRPr="00CA7E5B" w:rsidRDefault="00986E90" w:rsidP="00986E90">
            <w:pPr>
              <w:rPr>
                <w:rFonts w:asciiTheme="majorHAnsi" w:hAnsiTheme="majorHAnsi" w:cstheme="majorHAnsi"/>
                <w:b/>
                <w:color w:val="53565A"/>
                <w:sz w:val="18"/>
                <w:szCs w:val="18"/>
              </w:rPr>
            </w:pPr>
            <w:r w:rsidRPr="00CA7E5B">
              <w:rPr>
                <w:rFonts w:asciiTheme="majorHAnsi" w:hAnsiTheme="majorHAnsi" w:cstheme="majorHAnsi"/>
                <w:b/>
                <w:color w:val="53565A"/>
                <w:sz w:val="18"/>
                <w:szCs w:val="18"/>
              </w:rPr>
              <w:t>Option</w:t>
            </w:r>
          </w:p>
        </w:tc>
        <w:tc>
          <w:tcPr>
            <w:tcW w:w="1622" w:type="dxa"/>
            <w:tcBorders>
              <w:top w:val="single" w:sz="4" w:space="0" w:color="1F497D" w:themeColor="text2"/>
              <w:bottom w:val="double" w:sz="4" w:space="0" w:color="1F497D" w:themeColor="text2"/>
            </w:tcBorders>
          </w:tcPr>
          <w:p w:rsidR="00986E90" w:rsidRPr="00CA7E5B" w:rsidRDefault="00986E90" w:rsidP="00986E90">
            <w:pPr>
              <w:rPr>
                <w:rFonts w:asciiTheme="majorHAnsi" w:hAnsiTheme="majorHAnsi" w:cstheme="majorHAnsi"/>
                <w:b/>
                <w:color w:val="53565A"/>
                <w:sz w:val="18"/>
                <w:szCs w:val="18"/>
              </w:rPr>
            </w:pPr>
            <w:r w:rsidRPr="00CA7E5B">
              <w:rPr>
                <w:rFonts w:asciiTheme="majorHAnsi" w:hAnsiTheme="majorHAnsi" w:cstheme="majorHAnsi"/>
                <w:b/>
                <w:color w:val="53565A"/>
                <w:sz w:val="18"/>
                <w:szCs w:val="18"/>
              </w:rPr>
              <w:t>Short description</w:t>
            </w:r>
          </w:p>
        </w:tc>
        <w:tc>
          <w:tcPr>
            <w:tcW w:w="4043" w:type="dxa"/>
            <w:tcBorders>
              <w:top w:val="single" w:sz="4" w:space="0" w:color="1F497D" w:themeColor="text2"/>
              <w:bottom w:val="double" w:sz="4" w:space="0" w:color="1F497D" w:themeColor="text2"/>
            </w:tcBorders>
          </w:tcPr>
          <w:p w:rsidR="00986E90" w:rsidRPr="00CA7E5B" w:rsidRDefault="00986E90" w:rsidP="00986E90">
            <w:pPr>
              <w:rPr>
                <w:rFonts w:asciiTheme="majorHAnsi" w:hAnsiTheme="majorHAnsi" w:cstheme="majorHAnsi"/>
                <w:b/>
                <w:color w:val="53565A"/>
                <w:sz w:val="18"/>
                <w:szCs w:val="18"/>
              </w:rPr>
            </w:pPr>
            <w:r w:rsidRPr="00CA7E5B">
              <w:rPr>
                <w:rFonts w:asciiTheme="majorHAnsi" w:hAnsiTheme="majorHAnsi" w:cstheme="majorHAnsi"/>
                <w:b/>
                <w:color w:val="53565A"/>
                <w:sz w:val="18"/>
                <w:szCs w:val="18"/>
              </w:rPr>
              <w:t>Detailed Description</w:t>
            </w:r>
          </w:p>
        </w:tc>
        <w:tc>
          <w:tcPr>
            <w:tcW w:w="1417" w:type="dxa"/>
            <w:tcBorders>
              <w:top w:val="single" w:sz="4" w:space="0" w:color="1F497D" w:themeColor="text2"/>
              <w:bottom w:val="double" w:sz="4" w:space="0" w:color="1F497D" w:themeColor="text2"/>
            </w:tcBorders>
            <w:shd w:val="clear" w:color="auto" w:fill="DBE5F1" w:themeFill="accent1" w:themeFillTint="33"/>
          </w:tcPr>
          <w:p w:rsidR="00986E90" w:rsidRPr="00CA7E5B" w:rsidRDefault="00986E90" w:rsidP="00986E90">
            <w:pPr>
              <w:jc w:val="center"/>
              <w:rPr>
                <w:rFonts w:asciiTheme="majorHAnsi" w:hAnsiTheme="majorHAnsi" w:cstheme="majorHAnsi"/>
                <w:b/>
                <w:color w:val="53565A"/>
                <w:sz w:val="18"/>
                <w:szCs w:val="18"/>
              </w:rPr>
            </w:pPr>
            <w:r w:rsidRPr="00CA7E5B">
              <w:rPr>
                <w:rFonts w:asciiTheme="majorHAnsi" w:hAnsiTheme="majorHAnsi" w:cstheme="majorHAnsi"/>
                <w:b/>
                <w:color w:val="53565A"/>
                <w:sz w:val="18"/>
                <w:szCs w:val="18"/>
              </w:rPr>
              <w:t xml:space="preserve">Anticipated compliance rates with the proposed code* </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1</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Media/information campaign </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color w:val="1F497D" w:themeColor="text2"/>
                <w:sz w:val="18"/>
                <w:szCs w:val="18"/>
                <w:u w:val="single"/>
              </w:rPr>
            </w:pPr>
            <w:r w:rsidRPr="00BE4486">
              <w:rPr>
                <w:rFonts w:asciiTheme="majorHAnsi" w:hAnsiTheme="majorHAnsi" w:cstheme="majorHAnsi"/>
                <w:sz w:val="18"/>
                <w:szCs w:val="18"/>
              </w:rPr>
              <w:t xml:space="preserve">Local rules and Greyhound Australasia Rules with civil enforcement (fines and bans) by GRV + criminal enforcement under POCTA + Media/information campaign with respect to the </w:t>
            </w:r>
            <w:r w:rsidRPr="00BE4486">
              <w:rPr>
                <w:rFonts w:asciiTheme="majorHAnsi" w:hAnsiTheme="majorHAnsi" w:cstheme="majorHAnsi"/>
                <w:color w:val="1F497D" w:themeColor="text2"/>
                <w:sz w:val="18"/>
                <w:szCs w:val="18"/>
                <w:u w:val="single"/>
              </w:rPr>
              <w:t>proposed code.</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Pr>
                <w:rFonts w:asciiTheme="majorHAnsi" w:hAnsiTheme="majorHAnsi" w:cstheme="majorHAnsi"/>
                <w:sz w:val="18"/>
                <w:szCs w:val="18"/>
              </w:rPr>
              <w:t>35%</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2</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Adoption of the proposed code under the local rules </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Local rules (including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sz w:val="18"/>
                <w:szCs w:val="18"/>
              </w:rPr>
              <w:t>) and Greyhound Australasia Rules with civil enforcement (fines and bans) by GRV + criminal enforcement under POCTA.</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sidRPr="00BE4486">
              <w:rPr>
                <w:rFonts w:asciiTheme="majorHAnsi" w:hAnsiTheme="majorHAnsi" w:cstheme="majorHAnsi"/>
                <w:sz w:val="18"/>
                <w:szCs w:val="18"/>
              </w:rPr>
              <w:t>50%</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3</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4</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The proposed code with local government enforcement</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councils.</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sidRPr="00BE4486">
              <w:rPr>
                <w:rFonts w:asciiTheme="majorHAnsi" w:hAnsiTheme="majorHAnsi" w:cstheme="majorHAnsi"/>
                <w:sz w:val="18"/>
                <w:szCs w:val="18"/>
              </w:rPr>
              <w:t>75%</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5</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no additional health checks</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no additional health checks.</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r w:rsidR="00986E90" w:rsidRPr="009336AF" w:rsidTr="00986E90">
        <w:tc>
          <w:tcPr>
            <w:tcW w:w="1139"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b/>
                <w:sz w:val="18"/>
                <w:szCs w:val="18"/>
              </w:rPr>
            </w:pPr>
            <w:r w:rsidRPr="00BE4486">
              <w:rPr>
                <w:rFonts w:asciiTheme="majorHAnsi" w:hAnsiTheme="majorHAnsi" w:cstheme="majorHAnsi"/>
                <w:b/>
                <w:sz w:val="18"/>
                <w:szCs w:val="18"/>
              </w:rPr>
              <w:t>6</w:t>
            </w:r>
          </w:p>
        </w:tc>
        <w:tc>
          <w:tcPr>
            <w:tcW w:w="1622"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reduced rearing requirements</w:t>
            </w:r>
          </w:p>
        </w:tc>
        <w:tc>
          <w:tcPr>
            <w:tcW w:w="4043" w:type="dxa"/>
            <w:tcBorders>
              <w:top w:val="single" w:sz="4" w:space="0" w:color="1F497D" w:themeColor="text2"/>
              <w:bottom w:val="single" w:sz="4" w:space="0" w:color="1F497D" w:themeColor="text2"/>
            </w:tcBorders>
            <w:vAlign w:val="center"/>
          </w:tcPr>
          <w:p w:rsidR="00986E90" w:rsidRPr="00BE4486" w:rsidRDefault="00986E90" w:rsidP="00986E9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reduced rearing requirements for greyhounds 16 weeks to 18 months.</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86E90" w:rsidRPr="00BE4486" w:rsidRDefault="00986E90" w:rsidP="00986E9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bl>
    <w:p w:rsidR="00986E90" w:rsidRDefault="00986E90" w:rsidP="00986E90">
      <w:pPr>
        <w:rPr>
          <w:sz w:val="18"/>
        </w:rPr>
      </w:pPr>
      <w:r w:rsidRPr="00530CA0">
        <w:rPr>
          <w:sz w:val="18"/>
        </w:rPr>
        <w:t>*Compliance rates</w:t>
      </w:r>
      <w:r>
        <w:rPr>
          <w:sz w:val="18"/>
        </w:rPr>
        <w:t xml:space="preserve"> advised</w:t>
      </w:r>
      <w:r w:rsidRPr="00530CA0">
        <w:rPr>
          <w:sz w:val="18"/>
        </w:rPr>
        <w:t xml:space="preserve"> by DEDJTR</w:t>
      </w:r>
    </w:p>
    <w:p w:rsidR="00986E90" w:rsidRPr="00530CA0" w:rsidRDefault="00986E90" w:rsidP="00986E90">
      <w:pPr>
        <w:rPr>
          <w:sz w:val="18"/>
          <w:szCs w:val="18"/>
        </w:rPr>
      </w:pPr>
      <w:r w:rsidRPr="00530CA0">
        <w:rPr>
          <w:sz w:val="18"/>
          <w:szCs w:val="18"/>
        </w:rPr>
        <w:t>**</w:t>
      </w:r>
      <w:r>
        <w:rPr>
          <w:sz w:val="18"/>
          <w:szCs w:val="18"/>
        </w:rPr>
        <w:t>*</w:t>
      </w:r>
      <w:r w:rsidRPr="00530CA0">
        <w:rPr>
          <w:sz w:val="18"/>
          <w:szCs w:val="18"/>
        </w:rPr>
        <w:t xml:space="preserve"> Voluntary adherence anticipated with regards to a media/information campaign and only for participants that currently wish to comply but lack sufficient knowledge/information</w:t>
      </w:r>
    </w:p>
    <w:p w:rsidR="007F67FA" w:rsidRDefault="007F67FA" w:rsidP="007F67FA"/>
    <w:p w:rsidR="00A44F75" w:rsidRDefault="005A2A37" w:rsidP="005E307C">
      <w:pPr>
        <w:pStyle w:val="Heading3"/>
      </w:pPr>
      <w:bookmarkStart w:id="101" w:name="_Toc469529163"/>
      <w:bookmarkStart w:id="102" w:name="_Toc477190181"/>
      <w:r>
        <w:t>4.1</w:t>
      </w:r>
      <w:r w:rsidR="004B0055">
        <w:t>.</w:t>
      </w:r>
      <w:r w:rsidR="007C6CF8">
        <w:t>1</w:t>
      </w:r>
      <w:r>
        <w:t xml:space="preserve"> Option 1: Media/information campaign</w:t>
      </w:r>
      <w:bookmarkEnd w:id="101"/>
      <w:bookmarkEnd w:id="102"/>
    </w:p>
    <w:p w:rsidR="00A44F75" w:rsidRDefault="005A2A37" w:rsidP="005A2A37">
      <w:pPr>
        <w:jc w:val="both"/>
        <w:rPr>
          <w:color w:val="000000" w:themeColor="text1"/>
        </w:rPr>
      </w:pPr>
      <w:r>
        <w:rPr>
          <w:color w:val="000000" w:themeColor="text1"/>
        </w:rPr>
        <w:t xml:space="preserve">Option 1 </w:t>
      </w:r>
      <w:r w:rsidR="00632696">
        <w:rPr>
          <w:color w:val="000000" w:themeColor="text1"/>
        </w:rPr>
        <w:t xml:space="preserve">will involve DEDJTR </w:t>
      </w:r>
      <w:r>
        <w:t xml:space="preserve">undertaking a </w:t>
      </w:r>
      <w:r w:rsidR="00632696">
        <w:t>3-month</w:t>
      </w:r>
      <w:r>
        <w:t xml:space="preserve"> intensive media</w:t>
      </w:r>
      <w:r w:rsidR="00632696">
        <w:t xml:space="preserve"> information campaign aimed at </w:t>
      </w:r>
      <w:r w:rsidRPr="005A2A37">
        <w:rPr>
          <w:color w:val="000000" w:themeColor="text1"/>
        </w:rPr>
        <w:t>changing voluntary practices around specific aspects of greyhound management &amp; socialisation</w:t>
      </w:r>
      <w:r w:rsidR="00632696">
        <w:rPr>
          <w:color w:val="000000" w:themeColor="text1"/>
        </w:rPr>
        <w:t>,</w:t>
      </w:r>
      <w:r w:rsidRPr="005A2A37">
        <w:rPr>
          <w:color w:val="000000" w:themeColor="text1"/>
        </w:rPr>
        <w:t xml:space="preserve"> as well as</w:t>
      </w:r>
      <w:r w:rsidR="00632696">
        <w:rPr>
          <w:color w:val="000000" w:themeColor="text1"/>
        </w:rPr>
        <w:t>,</w:t>
      </w:r>
      <w:r w:rsidRPr="005A2A37">
        <w:rPr>
          <w:color w:val="000000" w:themeColor="text1"/>
        </w:rPr>
        <w:t xml:space="preserve"> rehoming which </w:t>
      </w:r>
      <w:r w:rsidR="00632696">
        <w:rPr>
          <w:color w:val="000000" w:themeColor="text1"/>
        </w:rPr>
        <w:t xml:space="preserve">are not sufficiently addressed in the current code (base case). </w:t>
      </w:r>
      <w:r w:rsidRPr="005A2A37">
        <w:rPr>
          <w:color w:val="000000" w:themeColor="text1"/>
        </w:rPr>
        <w:t xml:space="preserve">A public and participant awareness campaign will highlight the need for greater </w:t>
      </w:r>
      <w:r w:rsidRPr="005A2A37">
        <w:rPr>
          <w:color w:val="000000" w:themeColor="text1"/>
        </w:rPr>
        <w:lastRenderedPageBreak/>
        <w:t xml:space="preserve">transparency in the greyhound industry, leading to participant “self-enforcement”. It will also highlight the need for </w:t>
      </w:r>
      <w:r w:rsidR="00986E90">
        <w:rPr>
          <w:color w:val="000000" w:themeColor="text1"/>
        </w:rPr>
        <w:t xml:space="preserve">behavioural </w:t>
      </w:r>
      <w:r w:rsidRPr="005A2A37">
        <w:rPr>
          <w:color w:val="000000" w:themeColor="text1"/>
        </w:rPr>
        <w:t>change within the industry aroun</w:t>
      </w:r>
      <w:r w:rsidR="005609A7">
        <w:rPr>
          <w:color w:val="000000" w:themeColor="text1"/>
        </w:rPr>
        <w:t>d the management, socialisation (i.e.</w:t>
      </w:r>
      <w:r w:rsidRPr="005A2A37">
        <w:rPr>
          <w:color w:val="000000" w:themeColor="text1"/>
        </w:rPr>
        <w:t xml:space="preserve"> welfare</w:t>
      </w:r>
      <w:r w:rsidR="005609A7">
        <w:rPr>
          <w:color w:val="000000" w:themeColor="text1"/>
        </w:rPr>
        <w:t>)</w:t>
      </w:r>
      <w:r w:rsidRPr="005A2A37">
        <w:rPr>
          <w:color w:val="000000" w:themeColor="text1"/>
        </w:rPr>
        <w:t xml:space="preserve"> and rehoming of greyhounds which is not adequately addressed in the current Code.</w:t>
      </w:r>
      <w:r w:rsidR="007B521C">
        <w:rPr>
          <w:color w:val="000000" w:themeColor="text1"/>
        </w:rPr>
        <w:t xml:space="preserve"> </w:t>
      </w:r>
      <w:r w:rsidR="000F722A">
        <w:rPr>
          <w:color w:val="000000" w:themeColor="text1"/>
        </w:rPr>
        <w:t xml:space="preserve">Table 15 illustrates the number of </w:t>
      </w:r>
      <w:r w:rsidR="006E71AB">
        <w:rPr>
          <w:color w:val="000000" w:themeColor="text1"/>
        </w:rPr>
        <w:t xml:space="preserve">additional </w:t>
      </w:r>
      <w:r w:rsidR="000F722A">
        <w:rPr>
          <w:color w:val="000000" w:themeColor="text1"/>
        </w:rPr>
        <w:t xml:space="preserve">greyhounds likely to have improved welfare outcomes </w:t>
      </w:r>
      <w:r w:rsidR="006E71AB">
        <w:rPr>
          <w:color w:val="000000" w:themeColor="text1"/>
        </w:rPr>
        <w:t xml:space="preserve">(over the base case) under each Option by </w:t>
      </w:r>
      <w:r w:rsidR="000F722A">
        <w:rPr>
          <w:color w:val="000000" w:themeColor="text1"/>
        </w:rPr>
        <w:t>category.</w:t>
      </w:r>
      <w:r w:rsidR="007B521C">
        <w:rPr>
          <w:color w:val="000000" w:themeColor="text1"/>
        </w:rPr>
        <w:t xml:space="preserve"> </w:t>
      </w:r>
      <w:r w:rsidR="00632696">
        <w:rPr>
          <w:color w:val="000000" w:themeColor="text1"/>
        </w:rPr>
        <w:t>DEDJTR notes that</w:t>
      </w:r>
      <w:r w:rsidR="00BB046E">
        <w:rPr>
          <w:color w:val="000000" w:themeColor="text1"/>
        </w:rPr>
        <w:t xml:space="preserve"> ‘effective’</w:t>
      </w:r>
      <w:r w:rsidR="009703B5">
        <w:rPr>
          <w:color w:val="000000" w:themeColor="text1"/>
        </w:rPr>
        <w:t xml:space="preserve"> compliance rate</w:t>
      </w:r>
      <w:r w:rsidR="00632696">
        <w:rPr>
          <w:color w:val="000000" w:themeColor="text1"/>
        </w:rPr>
        <w:t xml:space="preserve"> </w:t>
      </w:r>
      <w:r w:rsidR="00BB046E">
        <w:rPr>
          <w:color w:val="000000" w:themeColor="text1"/>
        </w:rPr>
        <w:t xml:space="preserve">across all industry participants under Option 1, </w:t>
      </w:r>
      <w:r w:rsidR="009703B5">
        <w:rPr>
          <w:color w:val="000000" w:themeColor="text1"/>
        </w:rPr>
        <w:t>is</w:t>
      </w:r>
      <w:r w:rsidR="00632696">
        <w:rPr>
          <w:color w:val="000000" w:themeColor="text1"/>
        </w:rPr>
        <w:t xml:space="preserve"> likely to be higher than under</w:t>
      </w:r>
      <w:r w:rsidR="00BB046E">
        <w:rPr>
          <w:color w:val="000000" w:themeColor="text1"/>
        </w:rPr>
        <w:t xml:space="preserve"> the base case at 35</w:t>
      </w:r>
      <w:r w:rsidR="00632696">
        <w:rPr>
          <w:color w:val="000000" w:themeColor="text1"/>
        </w:rPr>
        <w:t>%</w:t>
      </w:r>
      <w:r w:rsidR="00BB046E">
        <w:rPr>
          <w:color w:val="000000" w:themeColor="text1"/>
        </w:rPr>
        <w:t xml:space="preserve"> -</w:t>
      </w:r>
      <w:r w:rsidR="00632696">
        <w:rPr>
          <w:color w:val="000000" w:themeColor="text1"/>
        </w:rPr>
        <w:t xml:space="preserve"> </w:t>
      </w:r>
      <w:r w:rsidR="00B308BA">
        <w:rPr>
          <w:color w:val="000000" w:themeColor="text1"/>
        </w:rPr>
        <w:t xml:space="preserve">however, </w:t>
      </w:r>
      <w:r w:rsidR="0009721F">
        <w:rPr>
          <w:color w:val="000000" w:themeColor="text1"/>
        </w:rPr>
        <w:t xml:space="preserve">only </w:t>
      </w:r>
      <w:r w:rsidR="00293439">
        <w:rPr>
          <w:color w:val="000000" w:themeColor="text1"/>
        </w:rPr>
        <w:t>up to</w:t>
      </w:r>
      <w:r w:rsidR="006E71AB">
        <w:rPr>
          <w:color w:val="000000" w:themeColor="text1"/>
        </w:rPr>
        <w:t xml:space="preserve"> </w:t>
      </w:r>
      <w:r w:rsidR="0009721F">
        <w:rPr>
          <w:color w:val="000000" w:themeColor="text1"/>
        </w:rPr>
        <w:t xml:space="preserve">560 greyhounds would be provided with reduced </w:t>
      </w:r>
      <w:r w:rsidR="00986E90">
        <w:rPr>
          <w:color w:val="000000" w:themeColor="text1"/>
        </w:rPr>
        <w:t>welfare risk</w:t>
      </w:r>
      <w:r w:rsidR="0009721F">
        <w:rPr>
          <w:color w:val="000000" w:themeColor="text1"/>
        </w:rPr>
        <w:t>,</w:t>
      </w:r>
      <w:r w:rsidR="00986E90">
        <w:rPr>
          <w:color w:val="000000" w:themeColor="text1"/>
        </w:rPr>
        <w:t xml:space="preserve"> as shown in Table 15</w:t>
      </w:r>
      <w:r w:rsidR="0009721F">
        <w:rPr>
          <w:color w:val="000000" w:themeColor="text1"/>
        </w:rPr>
        <w:t>.</w:t>
      </w:r>
    </w:p>
    <w:p w:rsidR="00986E90" w:rsidRDefault="00986E90" w:rsidP="005A2A37">
      <w:pPr>
        <w:jc w:val="both"/>
        <w:rPr>
          <w:color w:val="000000" w:themeColor="text1"/>
        </w:rPr>
      </w:pPr>
    </w:p>
    <w:p w:rsidR="0009721F" w:rsidRDefault="0009721F" w:rsidP="0009721F">
      <w:pPr>
        <w:jc w:val="center"/>
        <w:rPr>
          <w:b/>
          <w:color w:val="000000" w:themeColor="text1"/>
          <w:sz w:val="20"/>
        </w:rPr>
      </w:pPr>
      <w:r w:rsidRPr="0009721F">
        <w:rPr>
          <w:b/>
          <w:color w:val="000000" w:themeColor="text1"/>
          <w:sz w:val="20"/>
        </w:rPr>
        <w:t xml:space="preserve">Table 15: Summary of </w:t>
      </w:r>
      <w:r w:rsidR="009B1E6D">
        <w:rPr>
          <w:b/>
          <w:color w:val="000000" w:themeColor="text1"/>
          <w:sz w:val="20"/>
        </w:rPr>
        <w:t xml:space="preserve">estimated </w:t>
      </w:r>
      <w:r w:rsidR="00825E26">
        <w:rPr>
          <w:b/>
          <w:color w:val="000000" w:themeColor="text1"/>
          <w:sz w:val="20"/>
        </w:rPr>
        <w:t xml:space="preserve">additional </w:t>
      </w:r>
      <w:r w:rsidR="000F722A">
        <w:rPr>
          <w:b/>
          <w:color w:val="000000" w:themeColor="text1"/>
          <w:sz w:val="20"/>
        </w:rPr>
        <w:t xml:space="preserve">No. </w:t>
      </w:r>
      <w:r w:rsidRPr="0009721F">
        <w:rPr>
          <w:b/>
          <w:color w:val="000000" w:themeColor="text1"/>
          <w:sz w:val="20"/>
        </w:rPr>
        <w:t>greyhound</w:t>
      </w:r>
      <w:r w:rsidR="000F722A">
        <w:rPr>
          <w:b/>
          <w:color w:val="000000" w:themeColor="text1"/>
          <w:sz w:val="20"/>
        </w:rPr>
        <w:t xml:space="preserve">s likely to have welfare improved </w:t>
      </w:r>
      <w:r w:rsidR="00825E26">
        <w:rPr>
          <w:b/>
          <w:color w:val="000000" w:themeColor="text1"/>
          <w:sz w:val="20"/>
        </w:rPr>
        <w:t xml:space="preserve">under </w:t>
      </w:r>
      <w:r w:rsidRPr="0009721F">
        <w:rPr>
          <w:b/>
          <w:color w:val="000000" w:themeColor="text1"/>
          <w:sz w:val="20"/>
        </w:rPr>
        <w:t>Options 1 to 6</w:t>
      </w:r>
      <w:r w:rsidR="00825E26">
        <w:rPr>
          <w:b/>
          <w:color w:val="000000" w:themeColor="text1"/>
          <w:sz w:val="20"/>
        </w:rPr>
        <w:t xml:space="preserve"> – compared to the base case</w:t>
      </w:r>
      <w:r w:rsidR="00725372">
        <w:rPr>
          <w:rStyle w:val="FootnoteReference"/>
          <w:b/>
          <w:color w:val="000000" w:themeColor="text1"/>
          <w:sz w:val="20"/>
        </w:rPr>
        <w:footnoteReference w:id="102"/>
      </w:r>
      <w:r w:rsidR="004306C0">
        <w:rPr>
          <w:b/>
          <w:color w:val="000000" w:themeColor="text1"/>
          <w:sz w:val="20"/>
        </w:rPr>
        <w:t xml:space="preserve"> </w:t>
      </w:r>
    </w:p>
    <w:p w:rsidR="0009721F" w:rsidRPr="0009721F" w:rsidRDefault="0009721F" w:rsidP="0009721F">
      <w:pPr>
        <w:jc w:val="center"/>
        <w:rPr>
          <w:b/>
          <w:color w:val="000000" w:themeColor="text1"/>
          <w:sz w:val="20"/>
        </w:rPr>
      </w:pPr>
    </w:p>
    <w:tbl>
      <w:tblPr>
        <w:tblW w:w="8573" w:type="dxa"/>
        <w:jc w:val="center"/>
        <w:tblLook w:val="04A0" w:firstRow="1" w:lastRow="0" w:firstColumn="1" w:lastColumn="0" w:noHBand="0" w:noVBand="1"/>
      </w:tblPr>
      <w:tblGrid>
        <w:gridCol w:w="2684"/>
        <w:gridCol w:w="993"/>
        <w:gridCol w:w="992"/>
        <w:gridCol w:w="976"/>
        <w:gridCol w:w="976"/>
        <w:gridCol w:w="976"/>
        <w:gridCol w:w="976"/>
      </w:tblGrid>
      <w:tr w:rsidR="00986E90" w:rsidRPr="00CA7E5B" w:rsidTr="00C357B6">
        <w:trPr>
          <w:trHeight w:val="265"/>
          <w:tblHeader/>
          <w:jc w:val="center"/>
        </w:trPr>
        <w:tc>
          <w:tcPr>
            <w:tcW w:w="2684"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986E90">
            <w:pPr>
              <w:rPr>
                <w:rFonts w:eastAsia="Times New Roman" w:cs="Calibri"/>
                <w:b/>
                <w:bCs/>
                <w:color w:val="53565A"/>
                <w:sz w:val="18"/>
                <w:lang w:eastAsia="en-AU"/>
              </w:rPr>
            </w:pPr>
            <w:r w:rsidRPr="00CA7E5B">
              <w:rPr>
                <w:rFonts w:eastAsia="Times New Roman" w:cs="Calibri"/>
                <w:b/>
                <w:bCs/>
                <w:color w:val="53565A"/>
                <w:sz w:val="18"/>
                <w:lang w:eastAsia="en-AU"/>
              </w:rPr>
              <w:t>Category of welfare improvement</w:t>
            </w:r>
          </w:p>
        </w:tc>
        <w:tc>
          <w:tcPr>
            <w:tcW w:w="993"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1</w:t>
            </w:r>
          </w:p>
        </w:tc>
        <w:tc>
          <w:tcPr>
            <w:tcW w:w="992"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2</w:t>
            </w:r>
          </w:p>
        </w:tc>
        <w:tc>
          <w:tcPr>
            <w:tcW w:w="976"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3</w:t>
            </w:r>
          </w:p>
        </w:tc>
        <w:tc>
          <w:tcPr>
            <w:tcW w:w="976"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4</w:t>
            </w:r>
          </w:p>
        </w:tc>
        <w:tc>
          <w:tcPr>
            <w:tcW w:w="976"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5</w:t>
            </w:r>
          </w:p>
        </w:tc>
        <w:tc>
          <w:tcPr>
            <w:tcW w:w="976" w:type="dxa"/>
            <w:tcBorders>
              <w:top w:val="single" w:sz="4" w:space="0" w:color="244061" w:themeColor="accent1" w:themeShade="80"/>
              <w:bottom w:val="double" w:sz="4" w:space="0" w:color="244061" w:themeColor="accent1" w:themeShade="80"/>
            </w:tcBorders>
            <w:shd w:val="clear" w:color="auto" w:fill="auto"/>
            <w:noWrap/>
            <w:vAlign w:val="bottom"/>
            <w:hideMark/>
          </w:tcPr>
          <w:p w:rsidR="00986E90" w:rsidRPr="00CA7E5B" w:rsidRDefault="00986E90" w:rsidP="0009721F">
            <w:pPr>
              <w:jc w:val="center"/>
              <w:rPr>
                <w:rFonts w:eastAsia="Times New Roman" w:cs="Calibri"/>
                <w:b/>
                <w:bCs/>
                <w:color w:val="53565A"/>
                <w:sz w:val="20"/>
                <w:lang w:eastAsia="en-AU"/>
              </w:rPr>
            </w:pPr>
            <w:r w:rsidRPr="00CA7E5B">
              <w:rPr>
                <w:rFonts w:eastAsia="Times New Roman" w:cs="Calibri"/>
                <w:b/>
                <w:bCs/>
                <w:color w:val="53565A"/>
                <w:sz w:val="20"/>
                <w:lang w:eastAsia="en-AU"/>
              </w:rPr>
              <w:t>Option 6</w:t>
            </w:r>
          </w:p>
        </w:tc>
      </w:tr>
      <w:tr w:rsidR="00986E90" w:rsidRPr="00986E90" w:rsidTr="00212421">
        <w:trPr>
          <w:trHeight w:val="300"/>
          <w:jc w:val="center"/>
        </w:trPr>
        <w:tc>
          <w:tcPr>
            <w:tcW w:w="2684" w:type="dxa"/>
            <w:tcBorders>
              <w:top w:val="double" w:sz="4" w:space="0" w:color="244061" w:themeColor="accent1" w:themeShade="80"/>
            </w:tcBorders>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Staff Ratio 1:25</w:t>
            </w:r>
          </w:p>
        </w:tc>
        <w:tc>
          <w:tcPr>
            <w:tcW w:w="993"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0</w:t>
            </w:r>
          </w:p>
        </w:tc>
        <w:tc>
          <w:tcPr>
            <w:tcW w:w="992"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92</w:t>
            </w:r>
          </w:p>
        </w:tc>
        <w:tc>
          <w:tcPr>
            <w:tcW w:w="976"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353</w:t>
            </w:r>
          </w:p>
        </w:tc>
        <w:tc>
          <w:tcPr>
            <w:tcW w:w="976"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223</w:t>
            </w:r>
          </w:p>
        </w:tc>
        <w:tc>
          <w:tcPr>
            <w:tcW w:w="976"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353</w:t>
            </w:r>
          </w:p>
        </w:tc>
        <w:tc>
          <w:tcPr>
            <w:tcW w:w="976" w:type="dxa"/>
            <w:tcBorders>
              <w:top w:val="doub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353</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01265C">
            <w:pPr>
              <w:rPr>
                <w:rFonts w:eastAsia="Times New Roman" w:cs="Calibri"/>
                <w:sz w:val="18"/>
                <w:lang w:eastAsia="en-AU"/>
              </w:rPr>
            </w:pPr>
            <w:r w:rsidRPr="0009721F">
              <w:rPr>
                <w:rFonts w:eastAsia="Times New Roman" w:cs="Calibri"/>
                <w:sz w:val="18"/>
                <w:lang w:eastAsia="en-AU"/>
              </w:rPr>
              <w:t xml:space="preserve">Independent </w:t>
            </w:r>
            <w:r w:rsidR="0001265C" w:rsidRPr="0009721F">
              <w:rPr>
                <w:rFonts w:eastAsia="Times New Roman" w:cs="Calibri"/>
                <w:sz w:val="18"/>
                <w:lang w:eastAsia="en-AU"/>
              </w:rPr>
              <w:t>V</w:t>
            </w:r>
            <w:r w:rsidR="0001265C">
              <w:rPr>
                <w:rFonts w:eastAsia="Times New Roman" w:cs="Calibri"/>
                <w:sz w:val="18"/>
                <w:lang w:eastAsia="en-AU"/>
              </w:rPr>
              <w:t>et</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23</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23</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23</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Health management plans</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560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8,946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Record keeping</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560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8,946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Records of health &amp; transfer</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560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8,946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Food receptacle and hygiene</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223</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1,502</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5,747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3,624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5,747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5,747</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Food storage</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320</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202</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320</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320</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Health checks (breeding females)</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17</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118</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451</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284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0</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451</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Health checks (all greyhounds)</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560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8,946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0</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Rearing (8 to 16 weeks)</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109</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736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2,818</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1,777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2,818</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2,818</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Rearing (16 weeks to 18 months)</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213</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5,413</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3,414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5,413</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5,413</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Perimeter fencing</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560</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8,946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14,185</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Outdoor housing</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106</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2,706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1,707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2,706</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2,706</w:t>
            </w:r>
          </w:p>
        </w:tc>
      </w:tr>
      <w:tr w:rsidR="00986E90" w:rsidRPr="00986E90" w:rsidTr="00212421">
        <w:trPr>
          <w:trHeight w:val="80"/>
          <w:jc w:val="center"/>
        </w:trPr>
        <w:tc>
          <w:tcPr>
            <w:tcW w:w="2684" w:type="dxa"/>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Indoor housing</w:t>
            </w:r>
          </w:p>
        </w:tc>
        <w:tc>
          <w:tcPr>
            <w:tcW w:w="993"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144</w:t>
            </w:r>
          </w:p>
        </w:tc>
        <w:tc>
          <w:tcPr>
            <w:tcW w:w="992"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882</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3,374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2,127</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3,374</w:t>
            </w:r>
          </w:p>
        </w:tc>
        <w:tc>
          <w:tcPr>
            <w:tcW w:w="976" w:type="dxa"/>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3,374</w:t>
            </w:r>
          </w:p>
        </w:tc>
      </w:tr>
      <w:tr w:rsidR="00986E90" w:rsidRPr="00986E90" w:rsidTr="00212421">
        <w:trPr>
          <w:trHeight w:val="80"/>
          <w:jc w:val="center"/>
        </w:trPr>
        <w:tc>
          <w:tcPr>
            <w:tcW w:w="2684" w:type="dxa"/>
            <w:tcBorders>
              <w:bottom w:val="single" w:sz="4" w:space="0" w:color="244061" w:themeColor="accent1" w:themeShade="80"/>
            </w:tcBorders>
            <w:shd w:val="clear" w:color="auto" w:fill="auto"/>
            <w:noWrap/>
            <w:vAlign w:val="bottom"/>
            <w:hideMark/>
          </w:tcPr>
          <w:p w:rsidR="00986E90" w:rsidRPr="0009721F" w:rsidRDefault="00986E90" w:rsidP="00986E90">
            <w:pPr>
              <w:rPr>
                <w:rFonts w:eastAsia="Times New Roman" w:cs="Calibri"/>
                <w:sz w:val="18"/>
                <w:lang w:eastAsia="en-AU"/>
              </w:rPr>
            </w:pPr>
            <w:r w:rsidRPr="0009721F">
              <w:rPr>
                <w:rFonts w:eastAsia="Times New Roman" w:cs="Calibri"/>
                <w:sz w:val="18"/>
                <w:lang w:eastAsia="en-AU"/>
              </w:rPr>
              <w:t>Sale and transfer out of industry</w:t>
            </w:r>
          </w:p>
        </w:tc>
        <w:tc>
          <w:tcPr>
            <w:tcW w:w="993"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145</w:t>
            </w:r>
          </w:p>
        </w:tc>
        <w:tc>
          <w:tcPr>
            <w:tcW w:w="992"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958</w:t>
            </w:r>
          </w:p>
        </w:tc>
        <w:tc>
          <w:tcPr>
            <w:tcW w:w="976"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3,667</w:t>
            </w:r>
          </w:p>
        </w:tc>
        <w:tc>
          <w:tcPr>
            <w:tcW w:w="976"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2,313</w:t>
            </w:r>
          </w:p>
        </w:tc>
        <w:tc>
          <w:tcPr>
            <w:tcW w:w="976"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3,667</w:t>
            </w:r>
          </w:p>
        </w:tc>
        <w:tc>
          <w:tcPr>
            <w:tcW w:w="976" w:type="dxa"/>
            <w:tcBorders>
              <w:bottom w:val="single" w:sz="4" w:space="0" w:color="244061" w:themeColor="accent1" w:themeShade="80"/>
            </w:tcBorders>
            <w:shd w:val="clear" w:color="auto" w:fill="auto"/>
            <w:noWrap/>
            <w:vAlign w:val="bottom"/>
            <w:hideMark/>
          </w:tcPr>
          <w:p w:rsidR="00986E90" w:rsidRPr="0009721F" w:rsidRDefault="00986E90" w:rsidP="00986E90">
            <w:pPr>
              <w:jc w:val="right"/>
              <w:rPr>
                <w:rFonts w:eastAsia="Times New Roman" w:cs="Calibri"/>
                <w:sz w:val="20"/>
                <w:lang w:eastAsia="en-AU"/>
              </w:rPr>
            </w:pPr>
            <w:r w:rsidRPr="0009721F">
              <w:rPr>
                <w:rFonts w:eastAsia="Times New Roman" w:cs="Calibri"/>
                <w:sz w:val="20"/>
                <w:lang w:eastAsia="en-AU"/>
              </w:rPr>
              <w:t>3,667</w:t>
            </w:r>
          </w:p>
        </w:tc>
      </w:tr>
    </w:tbl>
    <w:p w:rsidR="00986E90" w:rsidRDefault="00986E90" w:rsidP="005A2A37">
      <w:pPr>
        <w:jc w:val="both"/>
        <w:rPr>
          <w:color w:val="000000" w:themeColor="text1"/>
        </w:rPr>
      </w:pPr>
    </w:p>
    <w:p w:rsidR="00986E90" w:rsidRDefault="0009721F" w:rsidP="005A2A37">
      <w:pPr>
        <w:jc w:val="both"/>
        <w:rPr>
          <w:color w:val="000000" w:themeColor="text1"/>
        </w:rPr>
      </w:pPr>
      <w:r>
        <w:rPr>
          <w:color w:val="000000" w:themeColor="text1"/>
        </w:rPr>
        <w:t xml:space="preserve">Moreover, under Option 1, there would be a change/reform to GAP </w:t>
      </w:r>
      <w:r w:rsidR="007049BF">
        <w:rPr>
          <w:color w:val="000000" w:themeColor="text1"/>
        </w:rPr>
        <w:t xml:space="preserve">under proposed standard 6.3.12, </w:t>
      </w:r>
      <w:r>
        <w:rPr>
          <w:color w:val="000000" w:themeColor="text1"/>
        </w:rPr>
        <w:t>whereby the obligation of rehabilitation would be transferred to owners and dogs remaining at GAP would be for 7 days as opposed to the current 42 days</w:t>
      </w:r>
      <w:r w:rsidR="00B6608D">
        <w:rPr>
          <w:color w:val="000000" w:themeColor="text1"/>
        </w:rPr>
        <w:t xml:space="preserve">, as discussed in Section </w:t>
      </w:r>
      <w:r w:rsidR="007C6CF8">
        <w:rPr>
          <w:color w:val="000000" w:themeColor="text1"/>
        </w:rPr>
        <w:t>3.3</w:t>
      </w:r>
      <w:r w:rsidR="00B6608D">
        <w:rPr>
          <w:color w:val="000000" w:themeColor="text1"/>
        </w:rPr>
        <w:t xml:space="preserve"> of this RIS</w:t>
      </w:r>
      <w:r>
        <w:rPr>
          <w:color w:val="000000" w:themeColor="text1"/>
        </w:rPr>
        <w:t>.</w:t>
      </w:r>
      <w:r w:rsidR="007B521C">
        <w:rPr>
          <w:color w:val="000000" w:themeColor="text1"/>
        </w:rPr>
        <w:t xml:space="preserve"> </w:t>
      </w:r>
      <w:r>
        <w:rPr>
          <w:color w:val="000000" w:themeColor="text1"/>
        </w:rPr>
        <w:t>However, under Option 1 there is likely to be only a 2.7% maximum improvement in behaviour</w:t>
      </w:r>
      <w:r w:rsidR="00825E26">
        <w:rPr>
          <w:rStyle w:val="FootnoteReference"/>
          <w:color w:val="000000" w:themeColor="text1"/>
        </w:rPr>
        <w:footnoteReference w:id="103"/>
      </w:r>
      <w:r>
        <w:rPr>
          <w:color w:val="000000" w:themeColor="text1"/>
        </w:rPr>
        <w:t xml:space="preserve"> and therefore it is estimated that only 311 additional dogs would be rehabilitated (provided with improved rehoming potential) by owners, as compared to the base case – as shown in Table 16.</w:t>
      </w:r>
      <w:r w:rsidR="007B521C">
        <w:rPr>
          <w:color w:val="000000" w:themeColor="text1"/>
        </w:rPr>
        <w:t xml:space="preserve"> </w:t>
      </w:r>
      <w:r w:rsidR="00723865">
        <w:rPr>
          <w:color w:val="000000" w:themeColor="text1"/>
        </w:rPr>
        <w:t xml:space="preserve">Moreover, under Option 1 there would be the unintended consequence of an additional </w:t>
      </w:r>
      <w:r w:rsidR="00832E4E">
        <w:rPr>
          <w:color w:val="000000" w:themeColor="text1"/>
        </w:rPr>
        <w:t>972</w:t>
      </w:r>
      <w:r w:rsidR="00723865">
        <w:rPr>
          <w:color w:val="000000" w:themeColor="text1"/>
        </w:rPr>
        <w:t xml:space="preserve"> dogs euthanased as compared to the base case.</w:t>
      </w:r>
    </w:p>
    <w:p w:rsidR="0009721F" w:rsidRDefault="0009721F" w:rsidP="005A2A37">
      <w:pPr>
        <w:jc w:val="both"/>
        <w:rPr>
          <w:color w:val="000000" w:themeColor="text1"/>
        </w:rPr>
      </w:pPr>
    </w:p>
    <w:p w:rsidR="00CA7E5B" w:rsidRDefault="00CA7E5B">
      <w:pPr>
        <w:rPr>
          <w:b/>
          <w:color w:val="000000" w:themeColor="text1"/>
          <w:sz w:val="20"/>
        </w:rPr>
      </w:pPr>
      <w:r>
        <w:rPr>
          <w:b/>
          <w:color w:val="000000" w:themeColor="text1"/>
          <w:sz w:val="20"/>
        </w:rPr>
        <w:br w:type="page"/>
      </w:r>
    </w:p>
    <w:p w:rsidR="00825E26" w:rsidRDefault="00723865" w:rsidP="00825E26">
      <w:pPr>
        <w:jc w:val="center"/>
        <w:rPr>
          <w:b/>
          <w:color w:val="000000" w:themeColor="text1"/>
          <w:sz w:val="20"/>
        </w:rPr>
      </w:pPr>
      <w:r>
        <w:rPr>
          <w:b/>
          <w:color w:val="000000" w:themeColor="text1"/>
          <w:sz w:val="20"/>
        </w:rPr>
        <w:lastRenderedPageBreak/>
        <w:t>Table 16</w:t>
      </w:r>
      <w:r w:rsidR="00825E26" w:rsidRPr="0009721F">
        <w:rPr>
          <w:b/>
          <w:color w:val="000000" w:themeColor="text1"/>
          <w:sz w:val="20"/>
        </w:rPr>
        <w:t>: Summary of</w:t>
      </w:r>
      <w:r w:rsidR="008F097C">
        <w:rPr>
          <w:b/>
          <w:color w:val="000000" w:themeColor="text1"/>
          <w:sz w:val="20"/>
        </w:rPr>
        <w:t xml:space="preserve"> </w:t>
      </w:r>
      <w:r w:rsidR="00101940">
        <w:rPr>
          <w:b/>
          <w:color w:val="000000" w:themeColor="text1"/>
          <w:sz w:val="20"/>
        </w:rPr>
        <w:t xml:space="preserve">estimated </w:t>
      </w:r>
      <w:r w:rsidR="008F097C">
        <w:rPr>
          <w:b/>
          <w:color w:val="000000" w:themeColor="text1"/>
          <w:sz w:val="20"/>
        </w:rPr>
        <w:t>changes to</w:t>
      </w:r>
      <w:r w:rsidR="00825E26" w:rsidRPr="0009721F">
        <w:rPr>
          <w:b/>
          <w:color w:val="000000" w:themeColor="text1"/>
          <w:sz w:val="20"/>
        </w:rPr>
        <w:t xml:space="preserve"> </w:t>
      </w:r>
      <w:r w:rsidR="008F097C">
        <w:rPr>
          <w:b/>
          <w:color w:val="000000" w:themeColor="text1"/>
          <w:sz w:val="20"/>
        </w:rPr>
        <w:t xml:space="preserve">retirement outcomes </w:t>
      </w:r>
      <w:r w:rsidR="00825E26">
        <w:rPr>
          <w:b/>
          <w:color w:val="000000" w:themeColor="text1"/>
          <w:sz w:val="20"/>
        </w:rPr>
        <w:t xml:space="preserve">under </w:t>
      </w:r>
      <w:r w:rsidR="00825E26" w:rsidRPr="0009721F">
        <w:rPr>
          <w:b/>
          <w:color w:val="000000" w:themeColor="text1"/>
          <w:sz w:val="20"/>
        </w:rPr>
        <w:t>Options 1 to 6</w:t>
      </w:r>
      <w:r w:rsidR="00825E26">
        <w:rPr>
          <w:b/>
          <w:color w:val="000000" w:themeColor="text1"/>
          <w:sz w:val="20"/>
        </w:rPr>
        <w:t xml:space="preserve"> – compared to the base case</w:t>
      </w:r>
    </w:p>
    <w:p w:rsidR="00825E26" w:rsidRDefault="00825E26" w:rsidP="005A2A37">
      <w:pPr>
        <w:jc w:val="both"/>
        <w:rPr>
          <w:color w:val="000000" w:themeColor="text1"/>
        </w:rPr>
      </w:pPr>
    </w:p>
    <w:tbl>
      <w:tblPr>
        <w:tblW w:w="8188" w:type="dxa"/>
        <w:jc w:val="center"/>
        <w:tblLayout w:type="fixed"/>
        <w:tblLook w:val="04A0" w:firstRow="1" w:lastRow="0" w:firstColumn="1" w:lastColumn="0" w:noHBand="0" w:noVBand="1"/>
      </w:tblPr>
      <w:tblGrid>
        <w:gridCol w:w="3119"/>
        <w:gridCol w:w="792"/>
        <w:gridCol w:w="851"/>
        <w:gridCol w:w="792"/>
        <w:gridCol w:w="867"/>
        <w:gridCol w:w="883"/>
        <w:gridCol w:w="884"/>
      </w:tblGrid>
      <w:tr w:rsidR="00825E26" w:rsidRPr="00CA7E5B" w:rsidTr="00C357B6">
        <w:trPr>
          <w:trHeight w:val="300"/>
          <w:tblHeader/>
          <w:jc w:val="center"/>
        </w:trPr>
        <w:tc>
          <w:tcPr>
            <w:tcW w:w="3119"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8F097C" w:rsidP="0009721F">
            <w:pPr>
              <w:rPr>
                <w:rFonts w:eastAsia="Times New Roman" w:cs="Calibri"/>
                <w:b/>
                <w:bCs/>
                <w:color w:val="53565A"/>
                <w:sz w:val="20"/>
                <w:szCs w:val="20"/>
                <w:lang w:eastAsia="en-AU"/>
              </w:rPr>
            </w:pPr>
            <w:r w:rsidRPr="00CA7E5B">
              <w:rPr>
                <w:rFonts w:eastAsia="Times New Roman" w:cs="Calibri"/>
                <w:b/>
                <w:bCs/>
                <w:color w:val="53565A"/>
                <w:sz w:val="20"/>
                <w:szCs w:val="20"/>
                <w:lang w:eastAsia="en-AU"/>
              </w:rPr>
              <w:t>Retirement outcome</w:t>
            </w:r>
          </w:p>
        </w:tc>
        <w:tc>
          <w:tcPr>
            <w:tcW w:w="792"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1</w:t>
            </w:r>
          </w:p>
        </w:tc>
        <w:tc>
          <w:tcPr>
            <w:tcW w:w="851"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2</w:t>
            </w:r>
          </w:p>
        </w:tc>
        <w:tc>
          <w:tcPr>
            <w:tcW w:w="792"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3</w:t>
            </w:r>
          </w:p>
        </w:tc>
        <w:tc>
          <w:tcPr>
            <w:tcW w:w="867"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4</w:t>
            </w:r>
          </w:p>
        </w:tc>
        <w:tc>
          <w:tcPr>
            <w:tcW w:w="883"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5</w:t>
            </w:r>
          </w:p>
        </w:tc>
        <w:tc>
          <w:tcPr>
            <w:tcW w:w="884" w:type="dxa"/>
            <w:tcBorders>
              <w:top w:val="single" w:sz="4" w:space="0" w:color="244061" w:themeColor="accent1" w:themeShade="80"/>
              <w:bottom w:val="double" w:sz="4" w:space="0" w:color="244061" w:themeColor="accent1" w:themeShade="80"/>
            </w:tcBorders>
            <w:shd w:val="clear" w:color="000000" w:fill="FFFFFF"/>
            <w:noWrap/>
            <w:vAlign w:val="bottom"/>
            <w:hideMark/>
          </w:tcPr>
          <w:p w:rsidR="0009721F" w:rsidRPr="00CA7E5B" w:rsidRDefault="0009721F" w:rsidP="008F097C">
            <w:pPr>
              <w:jc w:val="center"/>
              <w:rPr>
                <w:rFonts w:eastAsia="Times New Roman" w:cs="Calibri"/>
                <w:b/>
                <w:bCs/>
                <w:color w:val="53565A"/>
                <w:sz w:val="20"/>
                <w:szCs w:val="20"/>
                <w:lang w:eastAsia="en-AU"/>
              </w:rPr>
            </w:pPr>
            <w:r w:rsidRPr="00CA7E5B">
              <w:rPr>
                <w:rFonts w:eastAsia="Times New Roman" w:cs="Calibri"/>
                <w:b/>
                <w:bCs/>
                <w:color w:val="53565A"/>
                <w:sz w:val="20"/>
                <w:szCs w:val="20"/>
                <w:lang w:eastAsia="en-AU"/>
              </w:rPr>
              <w:t>Option 6</w:t>
            </w:r>
          </w:p>
        </w:tc>
      </w:tr>
      <w:tr w:rsidR="00825E26" w:rsidRPr="0009721F" w:rsidTr="00C357B6">
        <w:trPr>
          <w:trHeight w:val="50"/>
          <w:jc w:val="center"/>
        </w:trPr>
        <w:tc>
          <w:tcPr>
            <w:tcW w:w="3119" w:type="dxa"/>
            <w:tcBorders>
              <w:top w:val="double" w:sz="4" w:space="0" w:color="244061" w:themeColor="accent1" w:themeShade="80"/>
            </w:tcBorders>
            <w:shd w:val="clear" w:color="000000" w:fill="FFFFFF"/>
            <w:noWrap/>
            <w:vAlign w:val="center"/>
            <w:hideMark/>
          </w:tcPr>
          <w:p w:rsidR="0009721F" w:rsidRPr="0009721F" w:rsidRDefault="0009721F" w:rsidP="00825E26">
            <w:pPr>
              <w:rPr>
                <w:rFonts w:eastAsia="Times New Roman" w:cs="Calibri"/>
                <w:sz w:val="20"/>
                <w:szCs w:val="20"/>
                <w:lang w:eastAsia="en-AU"/>
              </w:rPr>
            </w:pPr>
            <w:r w:rsidRPr="0009721F">
              <w:rPr>
                <w:rFonts w:eastAsia="Times New Roman" w:cs="Calibri"/>
                <w:sz w:val="20"/>
                <w:szCs w:val="20"/>
                <w:lang w:eastAsia="en-AU"/>
              </w:rPr>
              <w:t>Rehabilitation by owners</w:t>
            </w:r>
            <w:r w:rsidR="008F097C">
              <w:rPr>
                <w:rFonts w:eastAsia="Times New Roman" w:cs="Calibri"/>
                <w:sz w:val="20"/>
                <w:szCs w:val="20"/>
                <w:lang w:eastAsia="en-AU"/>
              </w:rPr>
              <w:t>*</w:t>
            </w:r>
            <w:r w:rsidRPr="0009721F">
              <w:rPr>
                <w:rFonts w:eastAsia="Times New Roman" w:cs="Calibri"/>
                <w:sz w:val="20"/>
                <w:szCs w:val="20"/>
                <w:lang w:eastAsia="en-AU"/>
              </w:rPr>
              <w:t xml:space="preserve"> </w:t>
            </w:r>
          </w:p>
        </w:tc>
        <w:tc>
          <w:tcPr>
            <w:tcW w:w="792" w:type="dxa"/>
            <w:tcBorders>
              <w:top w:val="double" w:sz="4" w:space="0" w:color="244061" w:themeColor="accent1" w:themeShade="80"/>
            </w:tcBorders>
            <w:shd w:val="clear" w:color="000000" w:fill="FFFFFF"/>
            <w:noWrap/>
            <w:vAlign w:val="center"/>
            <w:hideMark/>
          </w:tcPr>
          <w:p w:rsidR="0009721F" w:rsidRPr="0009721F" w:rsidRDefault="0009721F" w:rsidP="00825E26">
            <w:pPr>
              <w:jc w:val="right"/>
              <w:rPr>
                <w:rFonts w:eastAsia="Times New Roman" w:cs="Calibri"/>
                <w:sz w:val="20"/>
                <w:szCs w:val="20"/>
                <w:lang w:eastAsia="en-AU"/>
              </w:rPr>
            </w:pPr>
            <w:r w:rsidRPr="0009721F">
              <w:rPr>
                <w:rFonts w:eastAsia="Times New Roman" w:cs="Calibri"/>
                <w:sz w:val="20"/>
                <w:szCs w:val="20"/>
                <w:lang w:eastAsia="en-AU"/>
              </w:rPr>
              <w:t>311</w:t>
            </w:r>
          </w:p>
        </w:tc>
        <w:tc>
          <w:tcPr>
            <w:tcW w:w="851" w:type="dxa"/>
            <w:tcBorders>
              <w:top w:val="double" w:sz="4" w:space="0" w:color="244061" w:themeColor="accent1" w:themeShade="80"/>
            </w:tcBorders>
            <w:shd w:val="clear" w:color="000000" w:fill="FFFFFF"/>
            <w:noWrap/>
            <w:vAlign w:val="center"/>
            <w:hideMark/>
          </w:tcPr>
          <w:p w:rsidR="0009721F" w:rsidRPr="0009721F" w:rsidRDefault="0009721F" w:rsidP="00825E26">
            <w:pPr>
              <w:jc w:val="right"/>
              <w:rPr>
                <w:rFonts w:eastAsia="Times New Roman" w:cs="Calibri"/>
                <w:sz w:val="20"/>
                <w:szCs w:val="20"/>
                <w:lang w:eastAsia="en-AU"/>
              </w:rPr>
            </w:pPr>
            <w:r w:rsidRPr="0009721F">
              <w:rPr>
                <w:rFonts w:eastAsia="Times New Roman" w:cs="Calibri"/>
                <w:sz w:val="20"/>
                <w:szCs w:val="20"/>
                <w:lang w:eastAsia="en-AU"/>
              </w:rPr>
              <w:t>1,206</w:t>
            </w:r>
          </w:p>
        </w:tc>
        <w:tc>
          <w:tcPr>
            <w:tcW w:w="792" w:type="dxa"/>
            <w:tcBorders>
              <w:top w:val="double" w:sz="4" w:space="0" w:color="244061" w:themeColor="accent1" w:themeShade="80"/>
            </w:tcBorders>
            <w:shd w:val="clear" w:color="000000" w:fill="FFFFFF"/>
            <w:noWrap/>
            <w:vAlign w:val="center"/>
            <w:hideMark/>
          </w:tcPr>
          <w:p w:rsidR="0009721F" w:rsidRPr="0009721F" w:rsidRDefault="0009721F" w:rsidP="00825E26">
            <w:pPr>
              <w:jc w:val="right"/>
              <w:rPr>
                <w:rFonts w:eastAsia="Times New Roman" w:cs="Calibri"/>
                <w:sz w:val="20"/>
                <w:szCs w:val="20"/>
                <w:lang w:eastAsia="en-AU"/>
              </w:rPr>
            </w:pPr>
            <w:r w:rsidRPr="0009721F">
              <w:rPr>
                <w:rFonts w:eastAsia="Times New Roman" w:cs="Calibri"/>
                <w:sz w:val="20"/>
                <w:szCs w:val="20"/>
                <w:lang w:eastAsia="en-AU"/>
              </w:rPr>
              <w:t>4,189</w:t>
            </w:r>
          </w:p>
        </w:tc>
        <w:tc>
          <w:tcPr>
            <w:tcW w:w="867" w:type="dxa"/>
            <w:tcBorders>
              <w:top w:val="double" w:sz="4" w:space="0" w:color="244061" w:themeColor="accent1" w:themeShade="80"/>
            </w:tcBorders>
            <w:shd w:val="clear" w:color="000000" w:fill="FFFFFF"/>
            <w:noWrap/>
            <w:vAlign w:val="center"/>
            <w:hideMark/>
          </w:tcPr>
          <w:p w:rsidR="0009721F" w:rsidRPr="0009721F" w:rsidRDefault="0009721F" w:rsidP="00825E26">
            <w:pPr>
              <w:jc w:val="right"/>
              <w:rPr>
                <w:rFonts w:eastAsia="Times New Roman" w:cs="Calibri"/>
                <w:sz w:val="20"/>
                <w:szCs w:val="20"/>
                <w:lang w:eastAsia="en-AU"/>
              </w:rPr>
            </w:pPr>
            <w:r w:rsidRPr="0009721F">
              <w:rPr>
                <w:rFonts w:eastAsia="Times New Roman" w:cs="Calibri"/>
                <w:sz w:val="20"/>
                <w:szCs w:val="20"/>
                <w:lang w:eastAsia="en-AU"/>
              </w:rPr>
              <w:t>2,698</w:t>
            </w:r>
          </w:p>
        </w:tc>
        <w:tc>
          <w:tcPr>
            <w:tcW w:w="883" w:type="dxa"/>
            <w:tcBorders>
              <w:top w:val="double" w:sz="4" w:space="0" w:color="244061" w:themeColor="accent1" w:themeShade="80"/>
            </w:tcBorders>
            <w:shd w:val="clear" w:color="000000" w:fill="FFFFFF"/>
            <w:noWrap/>
            <w:vAlign w:val="center"/>
            <w:hideMark/>
          </w:tcPr>
          <w:p w:rsidR="0009721F" w:rsidRPr="0009721F" w:rsidRDefault="0009721F" w:rsidP="00825E26">
            <w:pPr>
              <w:jc w:val="right"/>
              <w:rPr>
                <w:rFonts w:eastAsia="Times New Roman" w:cs="Calibri"/>
                <w:sz w:val="20"/>
                <w:szCs w:val="20"/>
                <w:lang w:eastAsia="en-AU"/>
              </w:rPr>
            </w:pPr>
            <w:r w:rsidRPr="0009721F">
              <w:rPr>
                <w:rFonts w:eastAsia="Times New Roman" w:cs="Calibri"/>
                <w:sz w:val="20"/>
                <w:szCs w:val="20"/>
                <w:lang w:eastAsia="en-AU"/>
              </w:rPr>
              <w:t>4,189</w:t>
            </w:r>
          </w:p>
        </w:tc>
        <w:tc>
          <w:tcPr>
            <w:tcW w:w="884" w:type="dxa"/>
            <w:tcBorders>
              <w:top w:val="double" w:sz="4" w:space="0" w:color="244061" w:themeColor="accent1" w:themeShade="80"/>
            </w:tcBorders>
            <w:shd w:val="clear" w:color="000000" w:fill="FFFFFF"/>
            <w:noWrap/>
            <w:vAlign w:val="center"/>
            <w:hideMark/>
          </w:tcPr>
          <w:p w:rsidR="0009721F" w:rsidRPr="0009721F" w:rsidRDefault="00101940" w:rsidP="00825E26">
            <w:pPr>
              <w:jc w:val="right"/>
              <w:rPr>
                <w:rFonts w:eastAsia="Times New Roman" w:cs="Calibri"/>
                <w:sz w:val="20"/>
                <w:szCs w:val="20"/>
                <w:lang w:eastAsia="en-AU"/>
              </w:rPr>
            </w:pPr>
            <w:r>
              <w:rPr>
                <w:rFonts w:eastAsia="Times New Roman" w:cs="Calibri"/>
                <w:sz w:val="20"/>
                <w:szCs w:val="20"/>
                <w:lang w:eastAsia="en-AU"/>
              </w:rPr>
              <w:t>2</w:t>
            </w:r>
            <w:r w:rsidR="0009721F" w:rsidRPr="0009721F">
              <w:rPr>
                <w:rFonts w:eastAsia="Times New Roman" w:cs="Calibri"/>
                <w:sz w:val="20"/>
                <w:szCs w:val="20"/>
                <w:lang w:eastAsia="en-AU"/>
              </w:rPr>
              <w:t>,1</w:t>
            </w:r>
            <w:r>
              <w:rPr>
                <w:rFonts w:eastAsia="Times New Roman" w:cs="Calibri"/>
                <w:sz w:val="20"/>
                <w:szCs w:val="20"/>
                <w:lang w:eastAsia="en-AU"/>
              </w:rPr>
              <w:t>70</w:t>
            </w:r>
          </w:p>
        </w:tc>
      </w:tr>
      <w:tr w:rsidR="00825E26" w:rsidRPr="0009721F" w:rsidTr="00C357B6">
        <w:trPr>
          <w:trHeight w:val="80"/>
          <w:jc w:val="center"/>
        </w:trPr>
        <w:tc>
          <w:tcPr>
            <w:tcW w:w="3119" w:type="dxa"/>
            <w:tcBorders>
              <w:bottom w:val="single" w:sz="4" w:space="0" w:color="244061" w:themeColor="accent1" w:themeShade="80"/>
            </w:tcBorders>
            <w:shd w:val="clear" w:color="000000" w:fill="FFFFFF"/>
            <w:noWrap/>
            <w:vAlign w:val="center"/>
          </w:tcPr>
          <w:p w:rsidR="00825E26" w:rsidRPr="0009721F" w:rsidRDefault="00825E26" w:rsidP="0001265C">
            <w:pPr>
              <w:rPr>
                <w:rFonts w:eastAsia="Times New Roman" w:cs="Calibri"/>
                <w:sz w:val="20"/>
                <w:szCs w:val="20"/>
                <w:lang w:eastAsia="en-AU"/>
              </w:rPr>
            </w:pPr>
            <w:r>
              <w:rPr>
                <w:rFonts w:eastAsia="Times New Roman" w:cs="Calibri"/>
                <w:sz w:val="20"/>
                <w:szCs w:val="20"/>
                <w:lang w:eastAsia="en-AU"/>
              </w:rPr>
              <w:t>Change in No. dogs euthanased outside of GAP</w:t>
            </w:r>
            <w:r w:rsidR="0001265C">
              <w:rPr>
                <w:rFonts w:eastAsia="Times New Roman" w:cs="Calibri"/>
                <w:sz w:val="20"/>
                <w:szCs w:val="20"/>
                <w:lang w:eastAsia="en-AU"/>
              </w:rPr>
              <w:t>**</w:t>
            </w:r>
          </w:p>
        </w:tc>
        <w:tc>
          <w:tcPr>
            <w:tcW w:w="792" w:type="dxa"/>
            <w:tcBorders>
              <w:bottom w:val="single" w:sz="4" w:space="0" w:color="244061" w:themeColor="accent1" w:themeShade="80"/>
            </w:tcBorders>
            <w:shd w:val="clear" w:color="000000" w:fill="FFFFFF"/>
            <w:noWrap/>
            <w:vAlign w:val="center"/>
          </w:tcPr>
          <w:p w:rsidR="00825E26" w:rsidRPr="0009721F" w:rsidRDefault="00832E4E" w:rsidP="00825E26">
            <w:pPr>
              <w:jc w:val="right"/>
              <w:rPr>
                <w:rFonts w:eastAsia="Times New Roman" w:cs="Calibri"/>
                <w:sz w:val="20"/>
                <w:szCs w:val="20"/>
                <w:lang w:eastAsia="en-AU"/>
              </w:rPr>
            </w:pPr>
            <w:r>
              <w:rPr>
                <w:rFonts w:eastAsia="Times New Roman" w:cs="Calibri"/>
                <w:sz w:val="20"/>
                <w:szCs w:val="20"/>
                <w:lang w:eastAsia="en-AU"/>
              </w:rPr>
              <w:t>+972</w:t>
            </w:r>
          </w:p>
        </w:tc>
        <w:tc>
          <w:tcPr>
            <w:tcW w:w="851" w:type="dxa"/>
            <w:tcBorders>
              <w:bottom w:val="single" w:sz="4" w:space="0" w:color="244061" w:themeColor="accent1" w:themeShade="80"/>
            </w:tcBorders>
            <w:shd w:val="clear" w:color="000000" w:fill="FFFFFF"/>
            <w:noWrap/>
            <w:vAlign w:val="center"/>
          </w:tcPr>
          <w:p w:rsidR="00825E26" w:rsidRPr="0009721F" w:rsidRDefault="00825E26" w:rsidP="00825E26">
            <w:pPr>
              <w:jc w:val="right"/>
              <w:rPr>
                <w:rFonts w:eastAsia="Times New Roman" w:cs="Calibri"/>
                <w:sz w:val="20"/>
                <w:szCs w:val="20"/>
                <w:lang w:eastAsia="en-AU"/>
              </w:rPr>
            </w:pPr>
            <w:r>
              <w:rPr>
                <w:rFonts w:eastAsia="Times New Roman" w:cs="Calibri"/>
                <w:sz w:val="20"/>
                <w:szCs w:val="20"/>
                <w:lang w:eastAsia="en-AU"/>
              </w:rPr>
              <w:t>+</w:t>
            </w:r>
            <w:r w:rsidR="00832E4E">
              <w:rPr>
                <w:rFonts w:eastAsia="Times New Roman" w:cs="Calibri"/>
                <w:sz w:val="20"/>
                <w:szCs w:val="20"/>
                <w:lang w:eastAsia="en-AU"/>
              </w:rPr>
              <w:t>68</w:t>
            </w:r>
          </w:p>
        </w:tc>
        <w:tc>
          <w:tcPr>
            <w:tcW w:w="792" w:type="dxa"/>
            <w:tcBorders>
              <w:bottom w:val="single" w:sz="4" w:space="0" w:color="244061" w:themeColor="accent1" w:themeShade="80"/>
            </w:tcBorders>
            <w:shd w:val="clear" w:color="000000" w:fill="FFFFFF"/>
            <w:noWrap/>
            <w:vAlign w:val="center"/>
          </w:tcPr>
          <w:p w:rsidR="00825E26" w:rsidRPr="0009721F" w:rsidRDefault="00825E26" w:rsidP="00825E26">
            <w:pPr>
              <w:jc w:val="right"/>
              <w:rPr>
                <w:rFonts w:eastAsia="Times New Roman" w:cs="Calibri"/>
                <w:sz w:val="20"/>
                <w:szCs w:val="20"/>
                <w:lang w:eastAsia="en-AU"/>
              </w:rPr>
            </w:pPr>
            <w:r>
              <w:rPr>
                <w:rFonts w:eastAsia="Times New Roman" w:cs="Calibri"/>
                <w:sz w:val="20"/>
                <w:szCs w:val="20"/>
                <w:lang w:eastAsia="en-AU"/>
              </w:rPr>
              <w:t>-2,</w:t>
            </w:r>
            <w:r w:rsidR="00832E4E">
              <w:rPr>
                <w:rFonts w:eastAsia="Times New Roman" w:cs="Calibri"/>
                <w:sz w:val="20"/>
                <w:szCs w:val="20"/>
                <w:lang w:eastAsia="en-AU"/>
              </w:rPr>
              <w:t>946</w:t>
            </w:r>
          </w:p>
        </w:tc>
        <w:tc>
          <w:tcPr>
            <w:tcW w:w="867" w:type="dxa"/>
            <w:tcBorders>
              <w:bottom w:val="single" w:sz="4" w:space="0" w:color="244061" w:themeColor="accent1" w:themeShade="80"/>
            </w:tcBorders>
            <w:shd w:val="clear" w:color="000000" w:fill="FFFFFF"/>
            <w:noWrap/>
            <w:vAlign w:val="center"/>
          </w:tcPr>
          <w:p w:rsidR="00825E26" w:rsidRPr="0009721F" w:rsidRDefault="00832E4E" w:rsidP="00825E26">
            <w:pPr>
              <w:jc w:val="right"/>
              <w:rPr>
                <w:rFonts w:eastAsia="Times New Roman" w:cs="Calibri"/>
                <w:sz w:val="20"/>
                <w:szCs w:val="20"/>
                <w:lang w:eastAsia="en-AU"/>
              </w:rPr>
            </w:pPr>
            <w:r>
              <w:rPr>
                <w:rFonts w:eastAsia="Times New Roman" w:cs="Calibri"/>
                <w:sz w:val="20"/>
                <w:szCs w:val="20"/>
                <w:lang w:eastAsia="en-AU"/>
              </w:rPr>
              <w:t>-1,439</w:t>
            </w:r>
          </w:p>
        </w:tc>
        <w:tc>
          <w:tcPr>
            <w:tcW w:w="883" w:type="dxa"/>
            <w:tcBorders>
              <w:bottom w:val="single" w:sz="4" w:space="0" w:color="244061" w:themeColor="accent1" w:themeShade="80"/>
            </w:tcBorders>
            <w:shd w:val="clear" w:color="000000" w:fill="FFFFFF"/>
            <w:noWrap/>
            <w:vAlign w:val="center"/>
          </w:tcPr>
          <w:p w:rsidR="00825E26" w:rsidRPr="0009721F" w:rsidRDefault="00832E4E" w:rsidP="00825E26">
            <w:pPr>
              <w:jc w:val="right"/>
              <w:rPr>
                <w:rFonts w:eastAsia="Times New Roman" w:cs="Calibri"/>
                <w:sz w:val="20"/>
                <w:szCs w:val="20"/>
                <w:lang w:eastAsia="en-AU"/>
              </w:rPr>
            </w:pPr>
            <w:r>
              <w:rPr>
                <w:rFonts w:eastAsia="Times New Roman" w:cs="Calibri"/>
                <w:sz w:val="20"/>
                <w:szCs w:val="20"/>
                <w:lang w:eastAsia="en-AU"/>
              </w:rPr>
              <w:t>-2,946</w:t>
            </w:r>
          </w:p>
        </w:tc>
        <w:tc>
          <w:tcPr>
            <w:tcW w:w="884" w:type="dxa"/>
            <w:tcBorders>
              <w:bottom w:val="single" w:sz="4" w:space="0" w:color="244061" w:themeColor="accent1" w:themeShade="80"/>
            </w:tcBorders>
            <w:shd w:val="clear" w:color="000000" w:fill="FFFFFF"/>
            <w:noWrap/>
            <w:vAlign w:val="center"/>
          </w:tcPr>
          <w:p w:rsidR="00825E26" w:rsidRPr="0009721F" w:rsidRDefault="00832E4E" w:rsidP="00825E26">
            <w:pPr>
              <w:jc w:val="right"/>
              <w:rPr>
                <w:rFonts w:eastAsia="Times New Roman" w:cs="Calibri"/>
                <w:sz w:val="20"/>
                <w:szCs w:val="20"/>
                <w:lang w:eastAsia="en-AU"/>
              </w:rPr>
            </w:pPr>
            <w:r>
              <w:rPr>
                <w:rFonts w:eastAsia="Times New Roman" w:cs="Calibri"/>
                <w:sz w:val="20"/>
                <w:szCs w:val="20"/>
                <w:lang w:eastAsia="en-AU"/>
              </w:rPr>
              <w:t>-9</w:t>
            </w:r>
            <w:r w:rsidR="00101940">
              <w:rPr>
                <w:rFonts w:eastAsia="Times New Roman" w:cs="Calibri"/>
                <w:sz w:val="20"/>
                <w:szCs w:val="20"/>
                <w:lang w:eastAsia="en-AU"/>
              </w:rPr>
              <w:t>06</w:t>
            </w:r>
          </w:p>
        </w:tc>
      </w:tr>
    </w:tbl>
    <w:p w:rsidR="00825E26" w:rsidRDefault="008F097C" w:rsidP="00574E23">
      <w:pPr>
        <w:jc w:val="both"/>
        <w:rPr>
          <w:color w:val="000000" w:themeColor="text1"/>
          <w:sz w:val="18"/>
          <w:szCs w:val="18"/>
        </w:rPr>
      </w:pPr>
      <w:r w:rsidRPr="00725372">
        <w:rPr>
          <w:color w:val="000000" w:themeColor="text1"/>
          <w:sz w:val="18"/>
          <w:szCs w:val="18"/>
        </w:rPr>
        <w:t>*See difference in Panel</w:t>
      </w:r>
      <w:r w:rsidR="00725372" w:rsidRPr="00725372">
        <w:rPr>
          <w:color w:val="000000" w:themeColor="text1"/>
          <w:sz w:val="18"/>
          <w:szCs w:val="18"/>
        </w:rPr>
        <w:t xml:space="preserve"> A4.3 and A4.4 (‘No. going to GAP’ entry)</w:t>
      </w:r>
      <w:r w:rsidRPr="00725372">
        <w:rPr>
          <w:color w:val="000000" w:themeColor="text1"/>
          <w:sz w:val="18"/>
          <w:szCs w:val="18"/>
        </w:rPr>
        <w:t xml:space="preserve"> of App</w:t>
      </w:r>
      <w:r w:rsidR="00725372" w:rsidRPr="00725372">
        <w:rPr>
          <w:color w:val="000000" w:themeColor="text1"/>
          <w:sz w:val="18"/>
          <w:szCs w:val="18"/>
        </w:rPr>
        <w:t>endix 4 for source of estimates</w:t>
      </w:r>
    </w:p>
    <w:p w:rsidR="00725372" w:rsidRPr="00725372" w:rsidRDefault="00725372" w:rsidP="00574E23">
      <w:pPr>
        <w:jc w:val="both"/>
        <w:rPr>
          <w:color w:val="000000" w:themeColor="text1"/>
          <w:sz w:val="18"/>
          <w:szCs w:val="18"/>
        </w:rPr>
      </w:pPr>
      <w:r>
        <w:rPr>
          <w:color w:val="000000" w:themeColor="text1"/>
          <w:sz w:val="18"/>
          <w:szCs w:val="18"/>
        </w:rPr>
        <w:t xml:space="preserve">** Estimated as the balance of </w:t>
      </w:r>
      <w:r w:rsidR="0091322F">
        <w:rPr>
          <w:color w:val="000000" w:themeColor="text1"/>
          <w:sz w:val="18"/>
          <w:szCs w:val="18"/>
        </w:rPr>
        <w:t xml:space="preserve">the number of dogs exiting the industry compared to Option 3 In Panel A4.4 of Appendix 4 – subtracted from the number of dogs euthanased </w:t>
      </w:r>
      <w:r w:rsidR="00890997">
        <w:rPr>
          <w:color w:val="000000" w:themeColor="text1"/>
          <w:sz w:val="18"/>
          <w:szCs w:val="18"/>
        </w:rPr>
        <w:t xml:space="preserve">outside of GAP </w:t>
      </w:r>
      <w:r w:rsidR="0091322F">
        <w:rPr>
          <w:color w:val="000000" w:themeColor="text1"/>
          <w:sz w:val="18"/>
          <w:szCs w:val="18"/>
        </w:rPr>
        <w:t>under the base case (</w:t>
      </w:r>
      <w:r w:rsidR="00890997">
        <w:rPr>
          <w:color w:val="000000" w:themeColor="text1"/>
          <w:sz w:val="18"/>
          <w:szCs w:val="18"/>
        </w:rPr>
        <w:t>i.e. 2,946</w:t>
      </w:r>
      <w:r w:rsidR="0091322F">
        <w:rPr>
          <w:color w:val="000000" w:themeColor="text1"/>
          <w:sz w:val="18"/>
          <w:szCs w:val="18"/>
        </w:rPr>
        <w:t xml:space="preserve"> (see Table 7)).</w:t>
      </w:r>
    </w:p>
    <w:p w:rsidR="008F097C" w:rsidRDefault="008F097C" w:rsidP="00574E23">
      <w:pPr>
        <w:jc w:val="both"/>
        <w:rPr>
          <w:color w:val="000000" w:themeColor="text1"/>
        </w:rPr>
      </w:pPr>
    </w:p>
    <w:p w:rsidR="0046059B" w:rsidRDefault="0046059B" w:rsidP="005E307C">
      <w:pPr>
        <w:pStyle w:val="Heading3"/>
      </w:pPr>
      <w:bookmarkStart w:id="103" w:name="_Toc469529164"/>
      <w:bookmarkStart w:id="104" w:name="_Toc477190182"/>
      <w:r>
        <w:t>4.</w:t>
      </w:r>
      <w:r w:rsidR="004B0055">
        <w:t>1.</w:t>
      </w:r>
      <w:r w:rsidR="007C6CF8">
        <w:t>2</w:t>
      </w:r>
      <w:r>
        <w:t xml:space="preserve"> Option 2: Adoption of local rules</w:t>
      </w:r>
      <w:bookmarkEnd w:id="103"/>
      <w:bookmarkEnd w:id="104"/>
      <w:r>
        <w:t xml:space="preserve"> </w:t>
      </w:r>
    </w:p>
    <w:p w:rsidR="00C867FB" w:rsidRPr="00574E23" w:rsidRDefault="00B308BA" w:rsidP="00C867FB">
      <w:pPr>
        <w:jc w:val="both"/>
        <w:rPr>
          <w:color w:val="000000" w:themeColor="text1"/>
        </w:rPr>
      </w:pPr>
      <w:r>
        <w:rPr>
          <w:color w:val="000000" w:themeColor="text1"/>
        </w:rPr>
        <w:t>Option 2 involves a</w:t>
      </w:r>
      <w:r w:rsidR="00C867FB" w:rsidRPr="00574E23">
        <w:rPr>
          <w:color w:val="000000" w:themeColor="text1"/>
        </w:rPr>
        <w:t xml:space="preserve">dopting </w:t>
      </w:r>
      <w:r>
        <w:rPr>
          <w:color w:val="000000" w:themeColor="text1"/>
        </w:rPr>
        <w:t>the</w:t>
      </w:r>
      <w:r w:rsidR="00293439">
        <w:rPr>
          <w:color w:val="000000" w:themeColor="text1"/>
        </w:rPr>
        <w:t xml:space="preserve"> proposed Code under the</w:t>
      </w:r>
      <w:r>
        <w:rPr>
          <w:color w:val="000000" w:themeColor="text1"/>
        </w:rPr>
        <w:t xml:space="preserve"> Local R</w:t>
      </w:r>
      <w:r w:rsidR="00C867FB" w:rsidRPr="00574E23">
        <w:rPr>
          <w:color w:val="000000" w:themeColor="text1"/>
        </w:rPr>
        <w:t xml:space="preserve">ules to be enforced by </w:t>
      </w:r>
      <w:r w:rsidR="00293439">
        <w:rPr>
          <w:color w:val="000000" w:themeColor="text1"/>
        </w:rPr>
        <w:t>GRV in a civil sense with fines and bans</w:t>
      </w:r>
      <w:r w:rsidR="005663C5">
        <w:rPr>
          <w:color w:val="000000" w:themeColor="text1"/>
        </w:rPr>
        <w:t>,</w:t>
      </w:r>
      <w:r w:rsidR="00167952">
        <w:rPr>
          <w:color w:val="000000" w:themeColor="text1"/>
        </w:rPr>
        <w:t xml:space="preserve"> </w:t>
      </w:r>
      <w:r>
        <w:rPr>
          <w:color w:val="000000" w:themeColor="text1"/>
        </w:rPr>
        <w:t>noting that such rules</w:t>
      </w:r>
      <w:r w:rsidR="00EE3C15">
        <w:rPr>
          <w:color w:val="000000" w:themeColor="text1"/>
        </w:rPr>
        <w:t xml:space="preserve"> </w:t>
      </w:r>
      <w:r>
        <w:rPr>
          <w:color w:val="000000" w:themeColor="text1"/>
        </w:rPr>
        <w:t>are designed to govern</w:t>
      </w:r>
      <w:r w:rsidR="00C867FB" w:rsidRPr="00574E23">
        <w:rPr>
          <w:color w:val="000000" w:themeColor="text1"/>
        </w:rPr>
        <w:t xml:space="preserve"> the racing aspect of the industry rather than the management and individual welfare of the greyhound </w:t>
      </w:r>
      <w:r w:rsidR="00B77725">
        <w:rPr>
          <w:color w:val="000000" w:themeColor="text1"/>
        </w:rPr>
        <w:t xml:space="preserve">– </w:t>
      </w:r>
      <w:r w:rsidR="00C867FB" w:rsidRPr="00574E23">
        <w:rPr>
          <w:color w:val="000000" w:themeColor="text1"/>
        </w:rPr>
        <w:t xml:space="preserve">apart from Part 12 </w:t>
      </w:r>
      <w:r w:rsidR="00B77725">
        <w:rPr>
          <w:color w:val="000000" w:themeColor="text1"/>
        </w:rPr>
        <w:t>‘Welfare of G</w:t>
      </w:r>
      <w:r w:rsidR="00C867FB" w:rsidRPr="00574E23">
        <w:rPr>
          <w:color w:val="000000" w:themeColor="text1"/>
        </w:rPr>
        <w:t>reyhounds</w:t>
      </w:r>
      <w:r w:rsidR="00B77725">
        <w:rPr>
          <w:color w:val="000000" w:themeColor="text1"/>
        </w:rPr>
        <w:t>’</w:t>
      </w:r>
      <w:r w:rsidR="00C867FB" w:rsidRPr="00574E23">
        <w:rPr>
          <w:color w:val="000000" w:themeColor="text1"/>
        </w:rPr>
        <w:t xml:space="preserve"> which specifically addresses welfare of greyhounds.</w:t>
      </w:r>
      <w:r w:rsidR="007B521C">
        <w:rPr>
          <w:color w:val="000000" w:themeColor="text1"/>
        </w:rPr>
        <w:t xml:space="preserve"> </w:t>
      </w:r>
      <w:r w:rsidR="006A151A">
        <w:rPr>
          <w:color w:val="000000" w:themeColor="text1"/>
        </w:rPr>
        <w:t xml:space="preserve">However, this will exclude prosecution in the </w:t>
      </w:r>
      <w:r w:rsidR="00330573">
        <w:rPr>
          <w:color w:val="000000" w:themeColor="text1"/>
        </w:rPr>
        <w:t>magistrate’s</w:t>
      </w:r>
      <w:r w:rsidR="006A151A">
        <w:rPr>
          <w:color w:val="000000" w:themeColor="text1"/>
        </w:rPr>
        <w:t xml:space="preserve"> court for a breach </w:t>
      </w:r>
      <w:r w:rsidR="005663C5">
        <w:rPr>
          <w:color w:val="000000" w:themeColor="text1"/>
        </w:rPr>
        <w:t xml:space="preserve">of specific provisions </w:t>
      </w:r>
      <w:r w:rsidR="00293439">
        <w:rPr>
          <w:color w:val="000000" w:themeColor="text1"/>
        </w:rPr>
        <w:t xml:space="preserve">in the proposed </w:t>
      </w:r>
      <w:r w:rsidR="006A151A">
        <w:rPr>
          <w:color w:val="000000" w:themeColor="text1"/>
        </w:rPr>
        <w:t>Code.</w:t>
      </w:r>
      <w:r w:rsidR="007B521C">
        <w:rPr>
          <w:color w:val="000000" w:themeColor="text1"/>
        </w:rPr>
        <w:t xml:space="preserve"> </w:t>
      </w:r>
      <w:r w:rsidR="006A151A">
        <w:rPr>
          <w:color w:val="000000" w:themeColor="text1"/>
        </w:rPr>
        <w:t xml:space="preserve">While, </w:t>
      </w:r>
      <w:r>
        <w:rPr>
          <w:color w:val="000000" w:themeColor="text1"/>
        </w:rPr>
        <w:t>Option</w:t>
      </w:r>
      <w:r w:rsidR="009703B5">
        <w:rPr>
          <w:color w:val="000000" w:themeColor="text1"/>
        </w:rPr>
        <w:t xml:space="preserve"> </w:t>
      </w:r>
      <w:r>
        <w:rPr>
          <w:color w:val="000000" w:themeColor="text1"/>
        </w:rPr>
        <w:t>2 represents a</w:t>
      </w:r>
      <w:r w:rsidR="00C867FB" w:rsidRPr="00574E23">
        <w:rPr>
          <w:color w:val="000000" w:themeColor="text1"/>
        </w:rPr>
        <w:t xml:space="preserve"> simple single piece of legislatio</w:t>
      </w:r>
      <w:r w:rsidR="006A151A">
        <w:rPr>
          <w:color w:val="000000" w:themeColor="text1"/>
        </w:rPr>
        <w:t>n which makes direction clearer, it fails to provide a criminal enforcement mechanism around speci</w:t>
      </w:r>
      <w:r w:rsidR="00293439">
        <w:rPr>
          <w:color w:val="000000" w:themeColor="text1"/>
        </w:rPr>
        <w:t xml:space="preserve">fic elements around the proposed </w:t>
      </w:r>
      <w:r w:rsidR="006A151A">
        <w:rPr>
          <w:color w:val="000000" w:themeColor="text1"/>
        </w:rPr>
        <w:t xml:space="preserve">Code notwithstanding its </w:t>
      </w:r>
      <w:r w:rsidR="00293439">
        <w:rPr>
          <w:color w:val="000000" w:themeColor="text1"/>
        </w:rPr>
        <w:t xml:space="preserve">additional </w:t>
      </w:r>
      <w:r w:rsidR="006A151A">
        <w:rPr>
          <w:color w:val="000000" w:themeColor="text1"/>
        </w:rPr>
        <w:t xml:space="preserve">coverage </w:t>
      </w:r>
      <w:r w:rsidR="00C867FB" w:rsidRPr="00574E23">
        <w:rPr>
          <w:color w:val="000000" w:themeColor="text1"/>
        </w:rPr>
        <w:t>for greyhound management &amp; socialisation as well as rehoming during the lifecycle of the dog.</w:t>
      </w:r>
      <w:r w:rsidR="007B521C">
        <w:rPr>
          <w:color w:val="000000" w:themeColor="text1"/>
        </w:rPr>
        <w:t xml:space="preserve"> </w:t>
      </w:r>
    </w:p>
    <w:p w:rsidR="00B308BA" w:rsidRDefault="00B308BA" w:rsidP="00C867FB">
      <w:pPr>
        <w:jc w:val="both"/>
        <w:rPr>
          <w:color w:val="000000" w:themeColor="text1"/>
        </w:rPr>
      </w:pPr>
    </w:p>
    <w:p w:rsidR="00C867FB" w:rsidRDefault="00C867FB" w:rsidP="00C867FB">
      <w:pPr>
        <w:jc w:val="both"/>
        <w:rPr>
          <w:color w:val="000000" w:themeColor="text1"/>
        </w:rPr>
      </w:pPr>
      <w:r w:rsidRPr="00574E23">
        <w:rPr>
          <w:color w:val="000000" w:themeColor="text1"/>
        </w:rPr>
        <w:t>By adopting the Local Rules (and subsequently the current Code of Practice) Local Government Authorities will be able to issue fines for breach</w:t>
      </w:r>
      <w:r w:rsidR="00293439">
        <w:rPr>
          <w:color w:val="000000" w:themeColor="text1"/>
        </w:rPr>
        <w:t xml:space="preserve">es of those Rules. The Rules under Option 2 would </w:t>
      </w:r>
      <w:r w:rsidRPr="00574E23">
        <w:rPr>
          <w:color w:val="000000" w:themeColor="text1"/>
        </w:rPr>
        <w:t>cover the minimum standards of staffing, accommodation, management, breeding, rehoming and care that are appropriate to the physical and behavioural needs throughout the life cycle of a racing greyhound.</w:t>
      </w:r>
      <w:r w:rsidR="00293439">
        <w:rPr>
          <w:color w:val="000000" w:themeColor="text1"/>
        </w:rPr>
        <w:t xml:space="preserve"> However</w:t>
      </w:r>
      <w:r w:rsidR="009703B5">
        <w:rPr>
          <w:color w:val="000000" w:themeColor="text1"/>
        </w:rPr>
        <w:t>, p</w:t>
      </w:r>
      <w:r w:rsidRPr="00574E23">
        <w:rPr>
          <w:color w:val="000000" w:themeColor="text1"/>
        </w:rPr>
        <w:t>rosecutions cannot be run through the Magistrates court f</w:t>
      </w:r>
      <w:r w:rsidR="00293439">
        <w:rPr>
          <w:color w:val="000000" w:themeColor="text1"/>
        </w:rPr>
        <w:t>or breaches of the proposed Code under Option 2 with leading to reduced incentive for behavioural change in the industry. Under Option 2 it is anticipated that a maximum of 17.7%</w:t>
      </w:r>
      <w:r w:rsidR="007E60EA">
        <w:rPr>
          <w:rStyle w:val="FootnoteReference"/>
          <w:color w:val="000000" w:themeColor="text1"/>
        </w:rPr>
        <w:footnoteReference w:id="104"/>
      </w:r>
      <w:r w:rsidR="00293439">
        <w:rPr>
          <w:color w:val="000000" w:themeColor="text1"/>
        </w:rPr>
        <w:t xml:space="preserve"> change in behaviour could be provided.</w:t>
      </w:r>
      <w:r w:rsidR="007B521C">
        <w:rPr>
          <w:color w:val="000000" w:themeColor="text1"/>
        </w:rPr>
        <w:t xml:space="preserve"> </w:t>
      </w:r>
      <w:r w:rsidR="00293439">
        <w:rPr>
          <w:color w:val="000000" w:themeColor="text1"/>
        </w:rPr>
        <w:t>DEDJTR notes that ‘effective’ compliance rate across all industry participants under Option 2, is likely to be higher than under the base case at 50% - however, only up to 3,707 greyhounds would be provided with reduced welfare risk, as shown in Table 15.</w:t>
      </w:r>
    </w:p>
    <w:p w:rsidR="00B308BA" w:rsidRDefault="00B308BA" w:rsidP="00C867FB">
      <w:pPr>
        <w:jc w:val="both"/>
        <w:rPr>
          <w:color w:val="000000" w:themeColor="text1"/>
        </w:rPr>
      </w:pPr>
    </w:p>
    <w:p w:rsidR="007E60EA" w:rsidRDefault="007E60EA" w:rsidP="007E60EA">
      <w:pPr>
        <w:jc w:val="both"/>
        <w:rPr>
          <w:color w:val="000000" w:themeColor="text1"/>
        </w:rPr>
      </w:pPr>
      <w:r>
        <w:rPr>
          <w:color w:val="000000" w:themeColor="text1"/>
        </w:rPr>
        <w:t>It is estimated that under Option 2 only 1,206 additional dogs would be rehabilitated (provided with improved rehoming potential) by owners, as compared to the base case – as shown in Table 16.</w:t>
      </w:r>
      <w:r w:rsidR="007B521C">
        <w:rPr>
          <w:color w:val="000000" w:themeColor="text1"/>
        </w:rPr>
        <w:t xml:space="preserve"> </w:t>
      </w:r>
      <w:r>
        <w:rPr>
          <w:color w:val="000000" w:themeColor="text1"/>
        </w:rPr>
        <w:t xml:space="preserve">Moreover, under Option 2 there would be the unintended consequence of an additional </w:t>
      </w:r>
      <w:r w:rsidR="00832E4E">
        <w:rPr>
          <w:color w:val="000000" w:themeColor="text1"/>
        </w:rPr>
        <w:t>68</w:t>
      </w:r>
      <w:r>
        <w:rPr>
          <w:color w:val="000000" w:themeColor="text1"/>
        </w:rPr>
        <w:t xml:space="preserve"> dogs euthanased </w:t>
      </w:r>
      <w:r w:rsidR="00832E4E">
        <w:rPr>
          <w:color w:val="000000" w:themeColor="text1"/>
        </w:rPr>
        <w:t xml:space="preserve">outside of GAP </w:t>
      </w:r>
      <w:r>
        <w:rPr>
          <w:color w:val="000000" w:themeColor="text1"/>
        </w:rPr>
        <w:t>as compared to the base case.</w:t>
      </w:r>
    </w:p>
    <w:p w:rsidR="005A2A37" w:rsidRDefault="005A2A37" w:rsidP="00574E23">
      <w:pPr>
        <w:jc w:val="both"/>
        <w:rPr>
          <w:color w:val="000000" w:themeColor="text1"/>
        </w:rPr>
      </w:pPr>
    </w:p>
    <w:p w:rsidR="009703B5" w:rsidRDefault="009703B5" w:rsidP="005E307C">
      <w:pPr>
        <w:pStyle w:val="Heading3"/>
      </w:pPr>
      <w:bookmarkStart w:id="105" w:name="_Toc469529165"/>
      <w:bookmarkStart w:id="106" w:name="_Toc477190183"/>
      <w:r>
        <w:t>4.</w:t>
      </w:r>
      <w:r w:rsidR="004B0055">
        <w:t>1.</w:t>
      </w:r>
      <w:r w:rsidR="007C6CF8">
        <w:t>3</w:t>
      </w:r>
      <w:r>
        <w:t xml:space="preserve"> Option 3: The proposed Code with industry enforcement</w:t>
      </w:r>
      <w:bookmarkEnd w:id="105"/>
      <w:bookmarkEnd w:id="106"/>
    </w:p>
    <w:p w:rsidR="00115C0A" w:rsidRDefault="00896FF7" w:rsidP="00896FF7">
      <w:pPr>
        <w:jc w:val="both"/>
        <w:rPr>
          <w:color w:val="000000" w:themeColor="text1"/>
        </w:rPr>
      </w:pPr>
      <w:r>
        <w:rPr>
          <w:color w:val="000000" w:themeColor="text1"/>
        </w:rPr>
        <w:t xml:space="preserve">Option 3, the proposed Code </w:t>
      </w:r>
      <w:r w:rsidRPr="002C026B">
        <w:rPr>
          <w:color w:val="000000" w:themeColor="text1"/>
        </w:rPr>
        <w:t>set</w:t>
      </w:r>
      <w:r>
        <w:rPr>
          <w:color w:val="000000" w:themeColor="text1"/>
        </w:rPr>
        <w:t>s</w:t>
      </w:r>
      <w:r w:rsidRPr="002C026B">
        <w:rPr>
          <w:color w:val="000000" w:themeColor="text1"/>
        </w:rPr>
        <w:t xml:space="preserve"> out minimum requirements for health, breeding, exercise, socialisation, behaviour and training for every single life stage of the greyhound in every environment – to all participants be they a hobby enthusiast through to a major commercial business.</w:t>
      </w:r>
      <w:r w:rsidR="007B521C">
        <w:rPr>
          <w:color w:val="000000" w:themeColor="text1"/>
        </w:rPr>
        <w:t xml:space="preserve"> </w:t>
      </w:r>
      <w:r w:rsidR="00E154DD">
        <w:rPr>
          <w:color w:val="000000" w:themeColor="text1"/>
        </w:rPr>
        <w:t>P</w:t>
      </w:r>
      <w:r w:rsidR="00E154DD" w:rsidRPr="004B0055">
        <w:t xml:space="preserve">rescriptive welfare requirements </w:t>
      </w:r>
      <w:r w:rsidR="00E154DD">
        <w:t xml:space="preserve">will be moved </w:t>
      </w:r>
      <w:r w:rsidR="00E154DD" w:rsidRPr="004B0055">
        <w:t xml:space="preserve">to a single </w:t>
      </w:r>
      <w:r w:rsidR="00E154DD" w:rsidRPr="004B0055">
        <w:lastRenderedPageBreak/>
        <w:t>document (proposed Code) enforced under the DAA.</w:t>
      </w:r>
      <w:r w:rsidR="00E154DD">
        <w:t xml:space="preserve"> </w:t>
      </w:r>
      <w:r w:rsidR="00115C0A">
        <w:rPr>
          <w:color w:val="000000" w:themeColor="text1"/>
        </w:rPr>
        <w:t xml:space="preserve">This option has been adopted in response to recommendations by the Chief Veterinary officer Charles Milne </w:t>
      </w:r>
      <w:r w:rsidR="00E154DD">
        <w:rPr>
          <w:color w:val="000000" w:themeColor="text1"/>
        </w:rPr>
        <w:t xml:space="preserve">in the 2015 report, </w:t>
      </w:r>
      <w:r w:rsidR="00115C0A">
        <w:rPr>
          <w:color w:val="000000" w:themeColor="text1"/>
        </w:rPr>
        <w:t>including that:</w:t>
      </w:r>
    </w:p>
    <w:p w:rsidR="00115C0A" w:rsidRPr="004B0055" w:rsidRDefault="00115C0A" w:rsidP="00896FF7">
      <w:pPr>
        <w:jc w:val="both"/>
        <w:rPr>
          <w:i/>
          <w:color w:val="000000" w:themeColor="text1"/>
        </w:rPr>
      </w:pPr>
    </w:p>
    <w:p w:rsidR="00115C0A" w:rsidRPr="00E66D8C" w:rsidRDefault="00115C0A" w:rsidP="00E154DD">
      <w:pPr>
        <w:ind w:left="567" w:right="567"/>
        <w:jc w:val="both"/>
        <w:rPr>
          <w:color w:val="000000" w:themeColor="text1"/>
        </w:rPr>
      </w:pPr>
      <w:r w:rsidRPr="004B0055">
        <w:rPr>
          <w:i/>
          <w:color w:val="000000" w:themeColor="text1"/>
          <w:sz w:val="20"/>
        </w:rPr>
        <w:t>“that</w:t>
      </w:r>
      <w:r w:rsidRPr="004B0055">
        <w:rPr>
          <w:i/>
          <w:sz w:val="20"/>
        </w:rPr>
        <w:t xml:space="preserve"> the current Code of Practice for the Operation of Greyhound Establishments be comprehensively revised to include animal welfare standards that reflect contemporary community expectations and industry best practice</w:t>
      </w:r>
      <w:r w:rsidR="00E154DD" w:rsidRPr="004B0055">
        <w:rPr>
          <w:i/>
          <w:sz w:val="20"/>
        </w:rPr>
        <w:t>”.</w:t>
      </w:r>
      <w:r w:rsidR="00E154DD">
        <w:rPr>
          <w:rStyle w:val="FootnoteReference"/>
          <w:i/>
          <w:sz w:val="20"/>
        </w:rPr>
        <w:footnoteReference w:id="105"/>
      </w:r>
    </w:p>
    <w:p w:rsidR="00115C0A" w:rsidRDefault="00115C0A" w:rsidP="00896FF7">
      <w:pPr>
        <w:jc w:val="both"/>
        <w:rPr>
          <w:color w:val="000000" w:themeColor="text1"/>
        </w:rPr>
      </w:pPr>
    </w:p>
    <w:p w:rsidR="00896FF7" w:rsidRDefault="00E154DD" w:rsidP="00896FF7">
      <w:pPr>
        <w:jc w:val="both"/>
        <w:rPr>
          <w:color w:val="000000" w:themeColor="text1"/>
        </w:rPr>
      </w:pPr>
      <w:r>
        <w:rPr>
          <w:color w:val="000000" w:themeColor="text1"/>
        </w:rPr>
        <w:t>In line with this recommendation, t</w:t>
      </w:r>
      <w:r w:rsidR="00896FF7">
        <w:rPr>
          <w:color w:val="000000" w:themeColor="text1"/>
        </w:rPr>
        <w:t>he introduction of the proposed Code states:</w:t>
      </w:r>
    </w:p>
    <w:p w:rsidR="00896FF7" w:rsidRDefault="00896FF7" w:rsidP="00896FF7">
      <w:pPr>
        <w:jc w:val="both"/>
        <w:rPr>
          <w:color w:val="000000" w:themeColor="text1"/>
        </w:rPr>
      </w:pPr>
    </w:p>
    <w:p w:rsidR="00896FF7" w:rsidRPr="00E66D8C" w:rsidRDefault="00896FF7" w:rsidP="00896FF7">
      <w:pPr>
        <w:ind w:left="567" w:right="425"/>
        <w:jc w:val="both"/>
        <w:rPr>
          <w:i/>
          <w:color w:val="000000" w:themeColor="text1"/>
          <w:sz w:val="20"/>
        </w:rPr>
      </w:pPr>
      <w:r w:rsidRPr="00E66D8C">
        <w:rPr>
          <w:i/>
          <w:color w:val="000000" w:themeColor="text1"/>
          <w:sz w:val="20"/>
        </w:rPr>
        <w:t xml:space="preserve"> “The purpose of the Code of Practice for the Keeping of Racing Greyhounds (Code) is to specify the minimum standards of staffing, accommodation, management, breeding and care that are appropriate to the physical and behavioural needs throughout the life cycle of a racing greyhound.”</w:t>
      </w:r>
    </w:p>
    <w:p w:rsidR="00896FF7" w:rsidRDefault="00896FF7" w:rsidP="009B618E">
      <w:pPr>
        <w:jc w:val="both"/>
        <w:rPr>
          <w:color w:val="000000" w:themeColor="text1"/>
        </w:rPr>
      </w:pPr>
    </w:p>
    <w:p w:rsidR="009B618E" w:rsidRPr="004B0055" w:rsidRDefault="00896FF7" w:rsidP="004B0055">
      <w:pPr>
        <w:jc w:val="both"/>
        <w:rPr>
          <w:i/>
          <w:color w:val="000000" w:themeColor="text1"/>
          <w:sz w:val="20"/>
        </w:rPr>
      </w:pPr>
      <w:r>
        <w:rPr>
          <w:color w:val="000000" w:themeColor="text1"/>
        </w:rPr>
        <w:t>Moreover, enforcement under the proposed Code under Option 3 would be undertaken by GRV.</w:t>
      </w:r>
      <w:r w:rsidR="007B521C">
        <w:rPr>
          <w:color w:val="000000" w:themeColor="text1"/>
        </w:rPr>
        <w:t xml:space="preserve"> </w:t>
      </w:r>
      <w:r>
        <w:rPr>
          <w:color w:val="000000" w:themeColor="text1"/>
        </w:rPr>
        <w:t>By establishing an adequate Code</w:t>
      </w:r>
      <w:r w:rsidRPr="002C026B">
        <w:rPr>
          <w:color w:val="000000" w:themeColor="text1"/>
        </w:rPr>
        <w:t xml:space="preserve"> of practice, containing minimum welfare standards that set the animal up for success and exiting the industry</w:t>
      </w:r>
      <w:r>
        <w:rPr>
          <w:color w:val="000000" w:themeColor="text1"/>
        </w:rPr>
        <w:t xml:space="preserve">, this would allow </w:t>
      </w:r>
      <w:r w:rsidRPr="002C026B">
        <w:rPr>
          <w:color w:val="000000" w:themeColor="text1"/>
        </w:rPr>
        <w:t xml:space="preserve">the DAA </w:t>
      </w:r>
      <w:r>
        <w:rPr>
          <w:color w:val="000000" w:themeColor="text1"/>
        </w:rPr>
        <w:t xml:space="preserve">to </w:t>
      </w:r>
      <w:r w:rsidRPr="002C026B">
        <w:rPr>
          <w:color w:val="000000" w:themeColor="text1"/>
        </w:rPr>
        <w:t xml:space="preserve">be effective in the area of animal welfare, improving quality of life and the transition to rehoming. </w:t>
      </w:r>
    </w:p>
    <w:p w:rsidR="009703B5" w:rsidRDefault="009703B5" w:rsidP="00574E23">
      <w:pPr>
        <w:jc w:val="both"/>
        <w:rPr>
          <w:color w:val="000000" w:themeColor="text1"/>
        </w:rPr>
      </w:pPr>
    </w:p>
    <w:p w:rsidR="001A64D9" w:rsidRDefault="00ED5373" w:rsidP="000E5815">
      <w:pPr>
        <w:jc w:val="both"/>
        <w:rPr>
          <w:color w:val="000000" w:themeColor="text1"/>
        </w:rPr>
      </w:pPr>
      <w:r>
        <w:rPr>
          <w:color w:val="000000" w:themeColor="text1"/>
        </w:rPr>
        <w:t xml:space="preserve">Option 3 </w:t>
      </w:r>
      <w:r w:rsidR="00896FF7">
        <w:rPr>
          <w:color w:val="000000" w:themeColor="text1"/>
        </w:rPr>
        <w:t>m</w:t>
      </w:r>
      <w:r w:rsidR="00896FF7" w:rsidRPr="00574E23">
        <w:rPr>
          <w:color w:val="000000" w:themeColor="text1"/>
        </w:rPr>
        <w:t>aximises greyhound management &amp; socialisation</w:t>
      </w:r>
      <w:r w:rsidR="00896FF7">
        <w:rPr>
          <w:color w:val="000000" w:themeColor="text1"/>
        </w:rPr>
        <w:t xml:space="preserve"> for greyhounds (welfare outcomes)</w:t>
      </w:r>
      <w:r w:rsidR="00896FF7" w:rsidRPr="00574E23">
        <w:rPr>
          <w:color w:val="000000" w:themeColor="text1"/>
        </w:rPr>
        <w:t xml:space="preserve"> as well as rehoming </w:t>
      </w:r>
      <w:r w:rsidR="00896FF7">
        <w:rPr>
          <w:color w:val="000000" w:themeColor="text1"/>
        </w:rPr>
        <w:t xml:space="preserve">as </w:t>
      </w:r>
      <w:r>
        <w:rPr>
          <w:color w:val="000000" w:themeColor="text1"/>
        </w:rPr>
        <w:t xml:space="preserve">enforcement </w:t>
      </w:r>
      <w:r w:rsidR="00896FF7">
        <w:rPr>
          <w:color w:val="000000" w:themeColor="text1"/>
        </w:rPr>
        <w:t xml:space="preserve">by GRV </w:t>
      </w:r>
      <w:r>
        <w:rPr>
          <w:color w:val="000000" w:themeColor="text1"/>
        </w:rPr>
        <w:t>is</w:t>
      </w:r>
      <w:r w:rsidRPr="00574E23">
        <w:rPr>
          <w:color w:val="000000" w:themeColor="text1"/>
        </w:rPr>
        <w:t xml:space="preserve"> likely to be effective due to greater expertise in the welfare and management of greyhounds and industry knowledge</w:t>
      </w:r>
      <w:r w:rsidR="000E5815">
        <w:rPr>
          <w:color w:val="000000" w:themeColor="text1"/>
        </w:rPr>
        <w:t xml:space="preserve">. </w:t>
      </w:r>
    </w:p>
    <w:p w:rsidR="001A64D9" w:rsidRDefault="001A64D9" w:rsidP="000E5815">
      <w:pPr>
        <w:jc w:val="both"/>
        <w:rPr>
          <w:color w:val="000000" w:themeColor="text1"/>
        </w:rPr>
      </w:pPr>
    </w:p>
    <w:p w:rsidR="001A64D9" w:rsidRDefault="001A64D9" w:rsidP="001A64D9">
      <w:pPr>
        <w:jc w:val="both"/>
        <w:rPr>
          <w:color w:val="9BBB59" w:themeColor="accent3"/>
        </w:rPr>
      </w:pPr>
      <w:r w:rsidRPr="00C357B6">
        <w:rPr>
          <w:color w:val="auto"/>
        </w:rPr>
        <w:t xml:space="preserve">Option 3 will be a complete enforcement package with streamlined regulation falling under the </w:t>
      </w:r>
      <w:r w:rsidR="009A5DEC">
        <w:rPr>
          <w:color w:val="auto"/>
        </w:rPr>
        <w:t>DAA</w:t>
      </w:r>
      <w:r w:rsidRPr="00C357B6">
        <w:rPr>
          <w:color w:val="auto"/>
        </w:rPr>
        <w:t xml:space="preserve"> with significant criminal penalties and a stand-alone integrity unit where GRV is overseen by the Racing Integrity Commissioner.</w:t>
      </w:r>
      <w:r w:rsidR="007B521C">
        <w:rPr>
          <w:color w:val="auto"/>
        </w:rPr>
        <w:t xml:space="preserve"> </w:t>
      </w:r>
      <w:r w:rsidRPr="00C357B6">
        <w:rPr>
          <w:color w:val="auto"/>
        </w:rPr>
        <w:t>There will be an audit of the entire industry in the first year alone</w:t>
      </w:r>
      <w:r w:rsidR="009A5DEC">
        <w:rPr>
          <w:color w:val="auto"/>
        </w:rPr>
        <w:t>,</w:t>
      </w:r>
      <w:r w:rsidRPr="00C357B6">
        <w:rPr>
          <w:color w:val="auto"/>
        </w:rPr>
        <w:t xml:space="preserve"> capturing all participants regardless of the source or reason for non-compliance.</w:t>
      </w:r>
      <w:r w:rsidR="007B521C">
        <w:rPr>
          <w:color w:val="auto"/>
        </w:rPr>
        <w:t xml:space="preserve"> </w:t>
      </w:r>
      <w:r>
        <w:rPr>
          <w:color w:val="000000" w:themeColor="text1"/>
        </w:rPr>
        <w:t xml:space="preserve">Furthermore, </w:t>
      </w:r>
      <w:r w:rsidR="000E5815">
        <w:rPr>
          <w:color w:val="000000" w:themeColor="text1"/>
        </w:rPr>
        <w:t>Option 3</w:t>
      </w:r>
      <w:r w:rsidR="00ED5373" w:rsidRPr="00574E23">
        <w:rPr>
          <w:color w:val="000000" w:themeColor="text1"/>
        </w:rPr>
        <w:t xml:space="preserve"> </w:t>
      </w:r>
      <w:r w:rsidR="000E5815">
        <w:rPr>
          <w:color w:val="000000" w:themeColor="text1"/>
        </w:rPr>
        <w:t>e</w:t>
      </w:r>
      <w:r w:rsidR="000E5815" w:rsidRPr="00574E23">
        <w:rPr>
          <w:color w:val="000000" w:themeColor="text1"/>
        </w:rPr>
        <w:t>nsures that the management and welfare of greyhounds is addressed and enforced by those in the industry that have specialised skills and experience relating to greyhounds</w:t>
      </w:r>
      <w:r w:rsidRPr="0033595E">
        <w:rPr>
          <w:rStyle w:val="FootnoteReference"/>
          <w:color w:val="auto"/>
        </w:rPr>
        <w:footnoteReference w:id="106"/>
      </w:r>
      <w:r w:rsidR="000E5815" w:rsidRPr="0033595E">
        <w:rPr>
          <w:color w:val="auto"/>
        </w:rPr>
        <w:t>.</w:t>
      </w:r>
      <w:r w:rsidR="000E5815" w:rsidRPr="00574E23">
        <w:rPr>
          <w:color w:val="000000" w:themeColor="text1"/>
        </w:rPr>
        <w:t xml:space="preserve"> </w:t>
      </w:r>
      <w:r w:rsidR="00E37182">
        <w:rPr>
          <w:color w:val="000000" w:themeColor="text1"/>
        </w:rPr>
        <w:t xml:space="preserve">As at 13 October 2016, </w:t>
      </w:r>
      <w:r>
        <w:t>GRV have employed 8 Investigators and 16 animal welfare inspectors who are dedicated to enforcement of the industry.</w:t>
      </w:r>
      <w:r w:rsidR="007B521C">
        <w:t xml:space="preserve"> </w:t>
      </w:r>
      <w:r>
        <w:t>These employees will be authorised under the DAA by the Minister for Agriculture and will be required to comply with the newly developed but not yet approved ‘Restricted Authorised Officer Appointment policy’</w:t>
      </w:r>
      <w:r>
        <w:rPr>
          <w:rStyle w:val="FootnoteReference"/>
        </w:rPr>
        <w:footnoteReference w:id="107"/>
      </w:r>
      <w:r>
        <w:t>.</w:t>
      </w:r>
    </w:p>
    <w:p w:rsidR="001A64D9" w:rsidRDefault="001A64D9" w:rsidP="000E5815">
      <w:pPr>
        <w:jc w:val="both"/>
      </w:pPr>
    </w:p>
    <w:p w:rsidR="002005DA" w:rsidRDefault="002005DA" w:rsidP="000E5815">
      <w:pPr>
        <w:jc w:val="both"/>
        <w:rPr>
          <w:color w:val="000000" w:themeColor="text1"/>
        </w:rPr>
      </w:pPr>
      <w:r>
        <w:t>GRV inspectors/investigators sole focus is the greyhound industry, with access to greyhound veterinary professionals and in house training. They are already proficient in identifying rule breaches which has some cross over with the proposed Code</w:t>
      </w:r>
      <w:r w:rsidR="009A5DEC">
        <w:t>.</w:t>
      </w:r>
      <w:r>
        <w:t xml:space="preserve"> </w:t>
      </w:r>
      <w:r w:rsidR="009A5DEC">
        <w:t>They</w:t>
      </w:r>
      <w:r>
        <w:t xml:space="preserve"> can view the industry holistically, whereas local council have competing priorities (i.e. dogs at large, dog attacks, general dog/cat issues such as registration and nuisance, livestock at large, patrolling responsibilities in parks and along beaches/waterways, local law issues) and have historically left GRV to regulate their participants. Local council also have resourcing issues.</w:t>
      </w:r>
      <w:r w:rsidR="007B521C">
        <w:t xml:space="preserve"> </w:t>
      </w:r>
    </w:p>
    <w:p w:rsidR="002005DA" w:rsidRDefault="002005DA" w:rsidP="000E5815">
      <w:pPr>
        <w:jc w:val="both"/>
        <w:rPr>
          <w:color w:val="000000" w:themeColor="text1"/>
        </w:rPr>
      </w:pPr>
    </w:p>
    <w:p w:rsidR="000E5815" w:rsidRPr="00574E23" w:rsidRDefault="000E5815" w:rsidP="000E5815">
      <w:pPr>
        <w:jc w:val="both"/>
        <w:rPr>
          <w:color w:val="000000" w:themeColor="text1"/>
        </w:rPr>
      </w:pPr>
      <w:r>
        <w:rPr>
          <w:color w:val="000000" w:themeColor="text1"/>
        </w:rPr>
        <w:lastRenderedPageBreak/>
        <w:t>Moreover, d</w:t>
      </w:r>
      <w:r w:rsidRPr="00574E23">
        <w:rPr>
          <w:color w:val="000000" w:themeColor="text1"/>
        </w:rPr>
        <w:t>ue to the skills and expertise of industry employees</w:t>
      </w:r>
      <w:r>
        <w:rPr>
          <w:color w:val="000000" w:themeColor="text1"/>
        </w:rPr>
        <w:t>,</w:t>
      </w:r>
      <w:r w:rsidRPr="00574E23">
        <w:rPr>
          <w:color w:val="000000" w:themeColor="text1"/>
        </w:rPr>
        <w:t xml:space="preserve"> intensive training will not be required. Enforcement or compliance action will be undertaken in a very professional and timely manner and breaches of the Rules and </w:t>
      </w:r>
      <w:r>
        <w:rPr>
          <w:color w:val="000000" w:themeColor="text1"/>
        </w:rPr>
        <w:t xml:space="preserve">proposed </w:t>
      </w:r>
      <w:r w:rsidRPr="00574E23">
        <w:rPr>
          <w:color w:val="000000" w:themeColor="text1"/>
        </w:rPr>
        <w:t>Code can be investigated by one authority at the same time, which will ensure greater compliance due to greater expectation being placed upon participants and the perception by participants that industry employees have significant knowledge of the racing industry. Industry employees will be solely focussed on greyhound racing participants and their establishments which will improve public confidence in the industry.</w:t>
      </w:r>
    </w:p>
    <w:p w:rsidR="000E5815" w:rsidRDefault="000E5815" w:rsidP="00ED5373">
      <w:pPr>
        <w:jc w:val="both"/>
        <w:rPr>
          <w:color w:val="000000" w:themeColor="text1"/>
        </w:rPr>
      </w:pPr>
    </w:p>
    <w:p w:rsidR="000F6582" w:rsidRPr="000F6582" w:rsidRDefault="000E5815" w:rsidP="000F6582">
      <w:pPr>
        <w:jc w:val="both"/>
        <w:rPr>
          <w:color w:val="000000" w:themeColor="text1"/>
        </w:rPr>
      </w:pPr>
      <w:r>
        <w:rPr>
          <w:color w:val="000000" w:themeColor="text1"/>
        </w:rPr>
        <w:t xml:space="preserve">Due to </w:t>
      </w:r>
      <w:r w:rsidR="00115C0A">
        <w:rPr>
          <w:color w:val="000000" w:themeColor="text1"/>
        </w:rPr>
        <w:t xml:space="preserve">an </w:t>
      </w:r>
      <w:r>
        <w:rPr>
          <w:color w:val="000000" w:themeColor="text1"/>
        </w:rPr>
        <w:t>adequate set of welfare standards</w:t>
      </w:r>
      <w:r w:rsidR="00115C0A">
        <w:rPr>
          <w:color w:val="000000" w:themeColor="text1"/>
        </w:rPr>
        <w:t xml:space="preserve"> which will be effectively enforced by 16 dedicated animal welfare inspectors and 8 investigations unit officers</w:t>
      </w:r>
      <w:r w:rsidRPr="000E5815">
        <w:rPr>
          <w:color w:val="000000" w:themeColor="text1"/>
        </w:rPr>
        <w:t xml:space="preserve">, DEDJTR notes that ‘effective’ compliance rate across all industry participants, is likely to be </w:t>
      </w:r>
      <w:r w:rsidR="00115C0A">
        <w:rPr>
          <w:color w:val="000000" w:themeColor="text1"/>
        </w:rPr>
        <w:t xml:space="preserve">maximised </w:t>
      </w:r>
      <w:r>
        <w:rPr>
          <w:color w:val="000000" w:themeColor="text1"/>
        </w:rPr>
        <w:t>under Option 3 (proposed Code enforced by GRV)</w:t>
      </w:r>
      <w:r w:rsidR="000F6582">
        <w:rPr>
          <w:color w:val="000000" w:themeColor="text1"/>
        </w:rPr>
        <w:t xml:space="preserve"> with a maximum change in behaviour of 67.7% across the industry.</w:t>
      </w:r>
      <w:r w:rsidR="007B521C">
        <w:rPr>
          <w:color w:val="000000" w:themeColor="text1"/>
        </w:rPr>
        <w:t xml:space="preserve"> </w:t>
      </w:r>
      <w:r w:rsidR="000F6582">
        <w:rPr>
          <w:color w:val="000000" w:themeColor="text1"/>
        </w:rPr>
        <w:t>Up to 14,185</w:t>
      </w:r>
      <w:r w:rsidR="000F6582" w:rsidRPr="000F6582">
        <w:rPr>
          <w:color w:val="000000" w:themeColor="text1"/>
        </w:rPr>
        <w:t xml:space="preserve"> greyhounds would be provided with reduced welfare risk, as shown in Table 15.</w:t>
      </w:r>
    </w:p>
    <w:p w:rsidR="000F6582" w:rsidRPr="000F6582" w:rsidRDefault="000F6582" w:rsidP="000F6582">
      <w:pPr>
        <w:jc w:val="both"/>
        <w:rPr>
          <w:color w:val="000000" w:themeColor="text1"/>
        </w:rPr>
      </w:pPr>
    </w:p>
    <w:p w:rsidR="009703B5" w:rsidRDefault="000F6582" w:rsidP="000F6582">
      <w:pPr>
        <w:jc w:val="both"/>
        <w:rPr>
          <w:color w:val="000000" w:themeColor="text1"/>
        </w:rPr>
      </w:pPr>
      <w:r w:rsidRPr="000F6582">
        <w:rPr>
          <w:color w:val="000000" w:themeColor="text1"/>
        </w:rPr>
        <w:t xml:space="preserve">It </w:t>
      </w:r>
      <w:r w:rsidR="00460786">
        <w:rPr>
          <w:color w:val="000000" w:themeColor="text1"/>
        </w:rPr>
        <w:t xml:space="preserve">is estimated that under Option 3, </w:t>
      </w:r>
      <w:r w:rsidR="00460786" w:rsidRPr="00460786">
        <w:rPr>
          <w:color w:val="000000" w:themeColor="text1"/>
        </w:rPr>
        <w:t>4,189</w:t>
      </w:r>
      <w:r w:rsidR="00460786">
        <w:rPr>
          <w:color w:val="000000" w:themeColor="text1"/>
        </w:rPr>
        <w:t xml:space="preserve"> </w:t>
      </w:r>
      <w:r w:rsidRPr="000F6582">
        <w:rPr>
          <w:color w:val="000000" w:themeColor="text1"/>
        </w:rPr>
        <w:t>additional dogs would be rehabilitated (provided with improved rehoming potential) by owners, as compared to the base case – as shown in Tab</w:t>
      </w:r>
      <w:r w:rsidR="00460786">
        <w:rPr>
          <w:color w:val="000000" w:themeColor="text1"/>
        </w:rPr>
        <w:t xml:space="preserve">le 16. </w:t>
      </w:r>
      <w:r w:rsidR="00CC4C63">
        <w:rPr>
          <w:color w:val="000000" w:themeColor="text1"/>
        </w:rPr>
        <w:t>This coincides with the fact that whilst GAP currently takes in 846 dogs per annum, the quicker turnover of dogs from 42 to 7 days by 500% means that GAP would be more than able to accommodate the 395% increase in dogs going to GAP.</w:t>
      </w:r>
      <w:r w:rsidR="007B521C">
        <w:rPr>
          <w:color w:val="000000" w:themeColor="text1"/>
        </w:rPr>
        <w:t xml:space="preserve"> </w:t>
      </w:r>
      <w:r w:rsidR="00460786">
        <w:rPr>
          <w:color w:val="000000" w:themeColor="text1"/>
        </w:rPr>
        <w:t>Moreover, under Option 3</w:t>
      </w:r>
      <w:r w:rsidRPr="000F6582">
        <w:rPr>
          <w:color w:val="000000" w:themeColor="text1"/>
        </w:rPr>
        <w:t xml:space="preserve"> there would be </w:t>
      </w:r>
      <w:r w:rsidR="00460786">
        <w:rPr>
          <w:color w:val="000000" w:themeColor="text1"/>
        </w:rPr>
        <w:t xml:space="preserve">an estimated 2,946 fewer </w:t>
      </w:r>
      <w:r w:rsidRPr="000F6582">
        <w:rPr>
          <w:color w:val="000000" w:themeColor="text1"/>
        </w:rPr>
        <w:t>dogs euthanased outside of GAP as compared to the base case.</w:t>
      </w:r>
    </w:p>
    <w:p w:rsidR="000F6582" w:rsidRDefault="000F6582" w:rsidP="000F6582">
      <w:pPr>
        <w:jc w:val="both"/>
        <w:rPr>
          <w:color w:val="000000" w:themeColor="text1"/>
        </w:rPr>
      </w:pPr>
    </w:p>
    <w:p w:rsidR="009703B5" w:rsidRDefault="009703B5" w:rsidP="005E307C">
      <w:pPr>
        <w:pStyle w:val="Heading3"/>
      </w:pPr>
      <w:bookmarkStart w:id="107" w:name="_Toc469529166"/>
      <w:bookmarkStart w:id="108" w:name="_Toc477190184"/>
      <w:r>
        <w:t>4.</w:t>
      </w:r>
      <w:r w:rsidR="004B0055">
        <w:t>1.</w:t>
      </w:r>
      <w:r w:rsidR="007C6CF8">
        <w:t>4</w:t>
      </w:r>
      <w:r>
        <w:t xml:space="preserve"> Option 4: </w:t>
      </w:r>
      <w:r w:rsidR="00115C0A">
        <w:t xml:space="preserve">The proposed Code with local </w:t>
      </w:r>
      <w:r>
        <w:t>council enforcement</w:t>
      </w:r>
      <w:bookmarkEnd w:id="107"/>
      <w:bookmarkEnd w:id="108"/>
    </w:p>
    <w:p w:rsidR="00115C0A" w:rsidRDefault="00115C0A" w:rsidP="00115C0A">
      <w:pPr>
        <w:jc w:val="both"/>
        <w:rPr>
          <w:color w:val="000000" w:themeColor="text1"/>
        </w:rPr>
      </w:pPr>
      <w:r>
        <w:rPr>
          <w:color w:val="000000" w:themeColor="text1"/>
        </w:rPr>
        <w:t>Option 4 involves the adoption of the proposed Code to be enforced by local council.</w:t>
      </w:r>
      <w:r w:rsidRPr="00115C0A">
        <w:rPr>
          <w:color w:val="000000" w:themeColor="text1"/>
        </w:rPr>
        <w:t xml:space="preserve"> </w:t>
      </w:r>
      <w:r w:rsidR="00E94F31">
        <w:rPr>
          <w:color w:val="000000" w:themeColor="text1"/>
        </w:rPr>
        <w:t xml:space="preserve">One of the numerous </w:t>
      </w:r>
      <w:r w:rsidRPr="00AB7BA4">
        <w:rPr>
          <w:color w:val="000000" w:themeColor="text1"/>
        </w:rPr>
        <w:t>recommendations</w:t>
      </w:r>
      <w:r>
        <w:rPr>
          <w:color w:val="000000" w:themeColor="text1"/>
        </w:rPr>
        <w:t xml:space="preserve"> </w:t>
      </w:r>
      <w:r w:rsidR="00E154DD">
        <w:rPr>
          <w:color w:val="000000" w:themeColor="text1"/>
        </w:rPr>
        <w:t xml:space="preserve">made by the Milne </w:t>
      </w:r>
      <w:r w:rsidR="00E154DD" w:rsidRPr="00AB7BA4">
        <w:rPr>
          <w:color w:val="000000" w:themeColor="text1"/>
        </w:rPr>
        <w:t>report</w:t>
      </w:r>
      <w:r w:rsidR="00E94F31">
        <w:rPr>
          <w:color w:val="000000" w:themeColor="text1"/>
        </w:rPr>
        <w:t xml:space="preserve"> included</w:t>
      </w:r>
      <w:r>
        <w:rPr>
          <w:color w:val="000000" w:themeColor="text1"/>
        </w:rPr>
        <w:t>:</w:t>
      </w:r>
    </w:p>
    <w:p w:rsidR="00115C0A" w:rsidRDefault="00115C0A" w:rsidP="00115C0A">
      <w:pPr>
        <w:jc w:val="both"/>
        <w:rPr>
          <w:color w:val="000000" w:themeColor="text1"/>
        </w:rPr>
      </w:pPr>
    </w:p>
    <w:p w:rsidR="00115C0A" w:rsidRPr="004B0055" w:rsidRDefault="00115C0A" w:rsidP="00115C0A">
      <w:pPr>
        <w:ind w:left="567" w:right="567"/>
        <w:jc w:val="both"/>
        <w:rPr>
          <w:i/>
          <w:color w:val="000000" w:themeColor="text1"/>
          <w:sz w:val="20"/>
        </w:rPr>
      </w:pPr>
      <w:r w:rsidRPr="004B0055">
        <w:rPr>
          <w:i/>
          <w:color w:val="000000" w:themeColor="text1"/>
          <w:sz w:val="20"/>
        </w:rPr>
        <w:t>“</w:t>
      </w:r>
      <w:r w:rsidRPr="004B0055">
        <w:rPr>
          <w:i/>
          <w:sz w:val="20"/>
        </w:rPr>
        <w:t>that the audit and inspectorate functions be removed from Greyhound Racing Victoria.</w:t>
      </w:r>
      <w:r w:rsidR="00E154DD" w:rsidRPr="004B0055">
        <w:rPr>
          <w:i/>
          <w:sz w:val="20"/>
        </w:rPr>
        <w:t>”</w:t>
      </w:r>
      <w:r w:rsidRPr="004B0055">
        <w:rPr>
          <w:rStyle w:val="FootnoteReference"/>
          <w:i/>
          <w:color w:val="000000" w:themeColor="text1"/>
          <w:sz w:val="20"/>
        </w:rPr>
        <w:footnoteReference w:id="108"/>
      </w:r>
    </w:p>
    <w:p w:rsidR="009703B5" w:rsidRDefault="009703B5" w:rsidP="00574E23">
      <w:pPr>
        <w:jc w:val="both"/>
        <w:rPr>
          <w:color w:val="000000" w:themeColor="text1"/>
        </w:rPr>
      </w:pPr>
    </w:p>
    <w:p w:rsidR="001471B6" w:rsidRDefault="00E94F31" w:rsidP="00E36B0B">
      <w:pPr>
        <w:jc w:val="both"/>
        <w:rPr>
          <w:color w:val="000000" w:themeColor="text1"/>
        </w:rPr>
      </w:pPr>
      <w:r>
        <w:rPr>
          <w:color w:val="000000" w:themeColor="text1"/>
        </w:rPr>
        <w:t xml:space="preserve">As with Option 3, Option 4 would seek to maximise </w:t>
      </w:r>
      <w:r w:rsidRPr="00574E23">
        <w:rPr>
          <w:color w:val="000000" w:themeColor="text1"/>
        </w:rPr>
        <w:t>greyhound management &amp; socialisation</w:t>
      </w:r>
      <w:r>
        <w:rPr>
          <w:color w:val="000000" w:themeColor="text1"/>
        </w:rPr>
        <w:t>,</w:t>
      </w:r>
      <w:r w:rsidRPr="00574E23">
        <w:rPr>
          <w:color w:val="000000" w:themeColor="text1"/>
        </w:rPr>
        <w:t xml:space="preserve"> as well as rehoming</w:t>
      </w:r>
      <w:r>
        <w:rPr>
          <w:color w:val="000000" w:themeColor="text1"/>
        </w:rPr>
        <w:t xml:space="preserve"> by providing for a more comprehensive and prescriptive set of standards in one clear piece of legislation.</w:t>
      </w:r>
      <w:r w:rsidR="007B521C">
        <w:rPr>
          <w:color w:val="000000" w:themeColor="text1"/>
        </w:rPr>
        <w:t xml:space="preserve"> </w:t>
      </w:r>
      <w:r w:rsidR="00206560">
        <w:rPr>
          <w:color w:val="000000" w:themeColor="text1"/>
        </w:rPr>
        <w:t xml:space="preserve">However, </w:t>
      </w:r>
      <w:r w:rsidR="00574E23" w:rsidRPr="00574E23">
        <w:rPr>
          <w:color w:val="000000" w:themeColor="text1"/>
        </w:rPr>
        <w:t xml:space="preserve">enforcement </w:t>
      </w:r>
      <w:r w:rsidR="00206560">
        <w:rPr>
          <w:color w:val="000000" w:themeColor="text1"/>
        </w:rPr>
        <w:t xml:space="preserve">under Option 4 by Local Council is </w:t>
      </w:r>
      <w:r w:rsidR="00574E23" w:rsidRPr="00574E23">
        <w:rPr>
          <w:color w:val="000000" w:themeColor="text1"/>
        </w:rPr>
        <w:t>likely to be less effective due to less expertise in the welfare and management of greyhounds and less industry knowledge</w:t>
      </w:r>
      <w:r w:rsidR="000C00CB">
        <w:rPr>
          <w:color w:val="000000" w:themeColor="text1"/>
        </w:rPr>
        <w:t>.</w:t>
      </w:r>
      <w:r w:rsidR="007B521C">
        <w:rPr>
          <w:color w:val="000000" w:themeColor="text1"/>
        </w:rPr>
        <w:t xml:space="preserve"> </w:t>
      </w:r>
      <w:r w:rsidR="00574E23" w:rsidRPr="00574E23">
        <w:rPr>
          <w:color w:val="000000" w:themeColor="text1"/>
        </w:rPr>
        <w:t>Councils have competing priorities</w:t>
      </w:r>
      <w:r w:rsidR="00206560">
        <w:rPr>
          <w:rStyle w:val="FootnoteReference"/>
          <w:color w:val="000000" w:themeColor="text1"/>
        </w:rPr>
        <w:footnoteReference w:id="109"/>
      </w:r>
      <w:r w:rsidR="00574E23" w:rsidRPr="00574E23">
        <w:rPr>
          <w:color w:val="000000" w:themeColor="text1"/>
        </w:rPr>
        <w:t xml:space="preserve"> when it comes to compliance and enforcement activities which changes throughout the year. For instance</w:t>
      </w:r>
      <w:r>
        <w:rPr>
          <w:color w:val="000000" w:themeColor="text1"/>
        </w:rPr>
        <w:t>,</w:t>
      </w:r>
      <w:r w:rsidR="00574E23" w:rsidRPr="00574E23">
        <w:rPr>
          <w:color w:val="000000" w:themeColor="text1"/>
        </w:rPr>
        <w:t xml:space="preserve"> Councils with areas of coastline will focus their resources on these locations during the summer months due to the influx of holiday makers. They will conduct regular patrols and other compliance activities. Council officers will not have the expertise and skills in greyhound management and welfare and will require comprehensive training, likely in an ongoing capacity (yearly), due to staff turnover and the potential for complacency (as greyhounds will not be their sole focus</w:t>
      </w:r>
      <w:r w:rsidR="00A33818">
        <w:rPr>
          <w:color w:val="000000" w:themeColor="text1"/>
        </w:rPr>
        <w:t xml:space="preserve"> as discussed earlier</w:t>
      </w:r>
      <w:r w:rsidR="00574E23" w:rsidRPr="00574E23">
        <w:rPr>
          <w:color w:val="000000" w:themeColor="text1"/>
        </w:rPr>
        <w:t>).</w:t>
      </w:r>
      <w:r w:rsidR="007B521C">
        <w:rPr>
          <w:color w:val="000000" w:themeColor="text1"/>
        </w:rPr>
        <w:t xml:space="preserve"> </w:t>
      </w:r>
      <w:r w:rsidR="00574E23" w:rsidRPr="00574E23">
        <w:rPr>
          <w:color w:val="000000" w:themeColor="text1"/>
        </w:rPr>
        <w:t xml:space="preserve">Council officers will not be able to enforce the Local Rules and would likely request assistance from industry when auditing or inspecting greyhound establishments, leading to a doubling up of attendances. This could conceivably lead to a reduction in compliance due to participants </w:t>
      </w:r>
      <w:r w:rsidR="00574E23" w:rsidRPr="00574E23">
        <w:rPr>
          <w:color w:val="000000" w:themeColor="text1"/>
        </w:rPr>
        <w:lastRenderedPageBreak/>
        <w:t>playing on</w:t>
      </w:r>
      <w:r>
        <w:rPr>
          <w:color w:val="000000" w:themeColor="text1"/>
        </w:rPr>
        <w:t>e</w:t>
      </w:r>
      <w:r w:rsidR="00574E23" w:rsidRPr="00574E23">
        <w:rPr>
          <w:color w:val="000000" w:themeColor="text1"/>
        </w:rPr>
        <w:t xml:space="preserve"> organisation off against the other. Industry participants will also be more likely to try and ‘bluff’ Council officers due to their perceived lack of knowledge of the industry.</w:t>
      </w:r>
    </w:p>
    <w:p w:rsidR="001471B6" w:rsidRDefault="001471B6" w:rsidP="00E36B0B">
      <w:pPr>
        <w:jc w:val="both"/>
        <w:rPr>
          <w:color w:val="000000" w:themeColor="text1"/>
        </w:rPr>
      </w:pPr>
    </w:p>
    <w:p w:rsidR="000A5577" w:rsidRPr="000F6582" w:rsidRDefault="001471B6" w:rsidP="000A5577">
      <w:pPr>
        <w:jc w:val="both"/>
        <w:rPr>
          <w:color w:val="000000" w:themeColor="text1"/>
        </w:rPr>
      </w:pPr>
      <w:r>
        <w:rPr>
          <w:color w:val="000000" w:themeColor="text1"/>
        </w:rPr>
        <w:t xml:space="preserve">DEDJTR </w:t>
      </w:r>
      <w:r w:rsidR="00B92BAD">
        <w:rPr>
          <w:color w:val="000000" w:themeColor="text1"/>
        </w:rPr>
        <w:t xml:space="preserve">considers </w:t>
      </w:r>
      <w:r>
        <w:rPr>
          <w:color w:val="000000" w:themeColor="text1"/>
        </w:rPr>
        <w:t xml:space="preserve">that </w:t>
      </w:r>
      <w:r w:rsidR="00206560" w:rsidRPr="00206560">
        <w:rPr>
          <w:color w:val="000000" w:themeColor="text1"/>
        </w:rPr>
        <w:t xml:space="preserve">in time </w:t>
      </w:r>
      <w:r>
        <w:rPr>
          <w:color w:val="000000" w:themeColor="text1"/>
        </w:rPr>
        <w:t xml:space="preserve">enforcement of the proposed Code under Option 4 </w:t>
      </w:r>
      <w:r w:rsidR="00206560" w:rsidRPr="00206560">
        <w:rPr>
          <w:color w:val="000000" w:themeColor="text1"/>
        </w:rPr>
        <w:t>will ensure some improved compliance but not at the rate of</w:t>
      </w:r>
      <w:r>
        <w:rPr>
          <w:color w:val="000000" w:themeColor="text1"/>
        </w:rPr>
        <w:t xml:space="preserve"> enforcement by</w:t>
      </w:r>
      <w:r w:rsidR="00206560" w:rsidRPr="00206560">
        <w:rPr>
          <w:color w:val="000000" w:themeColor="text1"/>
        </w:rPr>
        <w:t xml:space="preserve"> GRV</w:t>
      </w:r>
      <w:r>
        <w:rPr>
          <w:color w:val="000000" w:themeColor="text1"/>
        </w:rPr>
        <w:t xml:space="preserve"> under Option 3.</w:t>
      </w:r>
      <w:r w:rsidR="00B92BAD" w:rsidRPr="00B92BAD">
        <w:t xml:space="preserve"> </w:t>
      </w:r>
      <w:r w:rsidR="00B92BAD">
        <w:t xml:space="preserve">Advice from </w:t>
      </w:r>
      <w:r w:rsidR="00B92BAD" w:rsidRPr="00B92BAD">
        <w:rPr>
          <w:color w:val="000000" w:themeColor="text1"/>
        </w:rPr>
        <w:t>DEDJTR notes that ‘effective’ compliance rate across all industry participants, is likely to be high</w:t>
      </w:r>
      <w:r w:rsidR="00B92BAD">
        <w:rPr>
          <w:color w:val="000000" w:themeColor="text1"/>
        </w:rPr>
        <w:t>e</w:t>
      </w:r>
      <w:r w:rsidR="000A5577">
        <w:rPr>
          <w:color w:val="000000" w:themeColor="text1"/>
        </w:rPr>
        <w:t>r than under the base case at 75</w:t>
      </w:r>
      <w:r w:rsidR="00B92BAD">
        <w:rPr>
          <w:color w:val="000000" w:themeColor="text1"/>
        </w:rPr>
        <w:t>%</w:t>
      </w:r>
      <w:r w:rsidR="00B92BAD" w:rsidRPr="00B92BAD">
        <w:rPr>
          <w:color w:val="000000" w:themeColor="text1"/>
        </w:rPr>
        <w:t>.</w:t>
      </w:r>
      <w:r w:rsidR="007B521C">
        <w:rPr>
          <w:color w:val="000000" w:themeColor="text1"/>
        </w:rPr>
        <w:t xml:space="preserve"> </w:t>
      </w:r>
      <w:r w:rsidR="000A5577">
        <w:rPr>
          <w:color w:val="000000" w:themeColor="text1"/>
        </w:rPr>
        <w:t>Up to 8,946</w:t>
      </w:r>
      <w:r w:rsidR="000A5577" w:rsidRPr="000F6582">
        <w:rPr>
          <w:color w:val="000000" w:themeColor="text1"/>
        </w:rPr>
        <w:t xml:space="preserve"> greyhounds would be provided with reduced welfare risk</w:t>
      </w:r>
      <w:r w:rsidR="000A5577">
        <w:rPr>
          <w:color w:val="000000" w:themeColor="text1"/>
        </w:rPr>
        <w:t xml:space="preserve"> under Option 4</w:t>
      </w:r>
      <w:r w:rsidR="000A5577" w:rsidRPr="000F6582">
        <w:rPr>
          <w:color w:val="000000" w:themeColor="text1"/>
        </w:rPr>
        <w:t>, as shown in Table 15.</w:t>
      </w:r>
    </w:p>
    <w:p w:rsidR="000A5577" w:rsidRPr="000F6582" w:rsidRDefault="000A5577" w:rsidP="000A5577">
      <w:pPr>
        <w:jc w:val="both"/>
        <w:rPr>
          <w:color w:val="000000" w:themeColor="text1"/>
        </w:rPr>
      </w:pPr>
    </w:p>
    <w:p w:rsidR="000A5577" w:rsidRDefault="000A5577" w:rsidP="000A5577">
      <w:pPr>
        <w:jc w:val="both"/>
        <w:rPr>
          <w:color w:val="000000" w:themeColor="text1"/>
        </w:rPr>
      </w:pPr>
      <w:r w:rsidRPr="000F6582">
        <w:rPr>
          <w:color w:val="000000" w:themeColor="text1"/>
        </w:rPr>
        <w:t xml:space="preserve">It </w:t>
      </w:r>
      <w:r>
        <w:rPr>
          <w:color w:val="000000" w:themeColor="text1"/>
        </w:rPr>
        <w:t xml:space="preserve">is estimated that under Option 4, 2,698 </w:t>
      </w:r>
      <w:r w:rsidRPr="000F6582">
        <w:rPr>
          <w:color w:val="000000" w:themeColor="text1"/>
        </w:rPr>
        <w:t>additional dogs would be rehabilitated (provided with improved rehoming potential) by owners, as compared to the base case – as shown in Tab</w:t>
      </w:r>
      <w:r>
        <w:rPr>
          <w:color w:val="000000" w:themeColor="text1"/>
        </w:rPr>
        <w:t>le 16.</w:t>
      </w:r>
      <w:r w:rsidR="007B521C">
        <w:rPr>
          <w:color w:val="000000" w:themeColor="text1"/>
        </w:rPr>
        <w:t xml:space="preserve"> </w:t>
      </w:r>
      <w:r>
        <w:rPr>
          <w:color w:val="000000" w:themeColor="text1"/>
        </w:rPr>
        <w:t>Moreover, under Option 4</w:t>
      </w:r>
      <w:r w:rsidRPr="000F6582">
        <w:rPr>
          <w:color w:val="000000" w:themeColor="text1"/>
        </w:rPr>
        <w:t xml:space="preserve"> there would be </w:t>
      </w:r>
      <w:r>
        <w:rPr>
          <w:color w:val="000000" w:themeColor="text1"/>
        </w:rPr>
        <w:t xml:space="preserve">an estimated 1,439 fewer </w:t>
      </w:r>
      <w:r w:rsidRPr="000F6582">
        <w:rPr>
          <w:color w:val="000000" w:themeColor="text1"/>
        </w:rPr>
        <w:t>dogs euthanased outside of GAP as compared to the base case.</w:t>
      </w:r>
    </w:p>
    <w:p w:rsidR="000A5577" w:rsidRDefault="000A5577" w:rsidP="00E36B0B">
      <w:pPr>
        <w:jc w:val="both"/>
        <w:rPr>
          <w:color w:val="000000" w:themeColor="text1"/>
        </w:rPr>
      </w:pPr>
    </w:p>
    <w:p w:rsidR="001D0C26" w:rsidRDefault="001D0C26" w:rsidP="005E307C">
      <w:pPr>
        <w:pStyle w:val="Heading3"/>
      </w:pPr>
      <w:bookmarkStart w:id="109" w:name="_Toc469529167"/>
      <w:bookmarkStart w:id="110" w:name="_Toc477190185"/>
      <w:r>
        <w:t>4.1.</w:t>
      </w:r>
      <w:r w:rsidR="007C6CF8">
        <w:t>5</w:t>
      </w:r>
      <w:r>
        <w:t xml:space="preserve"> Option 5: The proposed Code with industry enforcement and no additional health checks</w:t>
      </w:r>
      <w:bookmarkEnd w:id="109"/>
      <w:bookmarkEnd w:id="110"/>
    </w:p>
    <w:p w:rsidR="001C7CE8" w:rsidRDefault="001D0C26" w:rsidP="001C7CE8">
      <w:pPr>
        <w:jc w:val="both"/>
        <w:rPr>
          <w:color w:val="000000" w:themeColor="text1"/>
        </w:rPr>
      </w:pPr>
      <w:r>
        <w:rPr>
          <w:color w:val="000000" w:themeColor="text1"/>
        </w:rPr>
        <w:t xml:space="preserve">As with Option 3, Option 5 would seek to maximise </w:t>
      </w:r>
      <w:r w:rsidRPr="00574E23">
        <w:rPr>
          <w:color w:val="000000" w:themeColor="text1"/>
        </w:rPr>
        <w:t>greyhound management &amp; socialisation</w:t>
      </w:r>
      <w:r>
        <w:rPr>
          <w:color w:val="000000" w:themeColor="text1"/>
        </w:rPr>
        <w:t>,</w:t>
      </w:r>
      <w:r w:rsidRPr="00574E23">
        <w:rPr>
          <w:color w:val="000000" w:themeColor="text1"/>
        </w:rPr>
        <w:t xml:space="preserve"> as well as rehoming</w:t>
      </w:r>
      <w:r>
        <w:rPr>
          <w:color w:val="000000" w:themeColor="text1"/>
        </w:rPr>
        <w:t xml:space="preserve"> by providing for a more comprehensive and prescriptive set of standards in one clear piece of legislation with industry enforcement.</w:t>
      </w:r>
      <w:r w:rsidR="007B521C">
        <w:rPr>
          <w:color w:val="000000" w:themeColor="text1"/>
        </w:rPr>
        <w:t xml:space="preserve"> </w:t>
      </w:r>
    </w:p>
    <w:p w:rsidR="001C7CE8" w:rsidRDefault="001C7CE8" w:rsidP="001C7CE8">
      <w:pPr>
        <w:jc w:val="both"/>
        <w:rPr>
          <w:color w:val="000000" w:themeColor="text1"/>
        </w:rPr>
      </w:pPr>
    </w:p>
    <w:p w:rsidR="00267F47" w:rsidRDefault="001C7CE8" w:rsidP="00072C49">
      <w:pPr>
        <w:widowControl w:val="0"/>
        <w:tabs>
          <w:tab w:val="left" w:pos="220"/>
          <w:tab w:val="left" w:pos="720"/>
        </w:tabs>
        <w:autoSpaceDE w:val="0"/>
        <w:autoSpaceDN w:val="0"/>
        <w:adjustRightInd w:val="0"/>
        <w:jc w:val="both"/>
      </w:pPr>
      <w:r>
        <w:t>With regards to the role of veterinarians</w:t>
      </w:r>
      <w:r w:rsidR="00E60FB7">
        <w:t>,</w:t>
      </w:r>
      <w:r>
        <w:t xml:space="preserve"> the annual cost of health checks and treatment plans for every dog at every stage of lifecycle</w:t>
      </w:r>
      <w:r w:rsidR="00055CC7">
        <w:t>, including breeding females,</w:t>
      </w:r>
      <w:r>
        <w:t xml:space="preserve"> is estimated to be $</w:t>
      </w:r>
      <w:r w:rsidR="00055CC7">
        <w:t xml:space="preserve">15.73m </w:t>
      </w:r>
      <w:r>
        <w:t>under proposed st</w:t>
      </w:r>
      <w:r w:rsidR="00055CC7">
        <w:t>andard 6.2.3 (see Table</w:t>
      </w:r>
      <w:r w:rsidR="00DF086B">
        <w:t xml:space="preserve"> 18</w:t>
      </w:r>
      <w:r>
        <w:t>).</w:t>
      </w:r>
      <w:r w:rsidR="007B521C">
        <w:t xml:space="preserve"> </w:t>
      </w:r>
      <w:r w:rsidR="00055CC7">
        <w:t xml:space="preserve">Option 5 takes into consideration of the fact </w:t>
      </w:r>
      <w:r w:rsidR="00EA7B71">
        <w:t xml:space="preserve">that </w:t>
      </w:r>
      <w:r w:rsidR="00055CC7">
        <w:t xml:space="preserve">in order to race, dogs must be vaccinated </w:t>
      </w:r>
      <w:r w:rsidR="00055CC7" w:rsidRPr="00055CC7">
        <w:rPr>
          <w:i/>
        </w:rPr>
        <w:t xml:space="preserve">annually </w:t>
      </w:r>
      <w:r w:rsidR="00055CC7">
        <w:t>(C4/5 vaccinations) which would be undertaken by a Veterinarian</w:t>
      </w:r>
      <w:r w:rsidR="00E60FB7">
        <w:t xml:space="preserve">, </w:t>
      </w:r>
      <w:r w:rsidR="00055CC7">
        <w:t xml:space="preserve">who would provide a </w:t>
      </w:r>
      <w:r w:rsidR="00E60FB7">
        <w:t>health check at the same time.</w:t>
      </w:r>
      <w:r w:rsidR="007B521C">
        <w:t xml:space="preserve"> </w:t>
      </w:r>
      <w:r w:rsidR="00E60FB7">
        <w:t xml:space="preserve">Consequently, </w:t>
      </w:r>
      <w:r w:rsidR="00055CC7">
        <w:t xml:space="preserve">Option 5 removes the need for </w:t>
      </w:r>
      <w:r w:rsidR="00055CC7" w:rsidRPr="00055CC7">
        <w:rPr>
          <w:i/>
        </w:rPr>
        <w:t xml:space="preserve">one additional annual </w:t>
      </w:r>
      <w:r w:rsidR="00E60FB7">
        <w:rPr>
          <w:i/>
        </w:rPr>
        <w:t>health check per annum</w:t>
      </w:r>
      <w:r w:rsidR="00055CC7" w:rsidRPr="00055CC7">
        <w:rPr>
          <w:i/>
        </w:rPr>
        <w:t xml:space="preserve"> for all dogs</w:t>
      </w:r>
      <w:r w:rsidR="00055CC7">
        <w:t xml:space="preserve"> over and above those undertaken during vaccination and the need for </w:t>
      </w:r>
      <w:r w:rsidR="00055CC7" w:rsidRPr="00055CC7">
        <w:rPr>
          <w:i/>
        </w:rPr>
        <w:t>three additional checks for breeding females</w:t>
      </w:r>
      <w:r w:rsidR="00E60FB7">
        <w:rPr>
          <w:i/>
        </w:rPr>
        <w:t xml:space="preserve"> per annum</w:t>
      </w:r>
      <w:r w:rsidR="00055CC7">
        <w:t>.</w:t>
      </w:r>
      <w:r w:rsidR="007B521C">
        <w:t xml:space="preserve"> </w:t>
      </w:r>
    </w:p>
    <w:p w:rsidR="00267F47" w:rsidRDefault="00267F47" w:rsidP="00072C49">
      <w:pPr>
        <w:widowControl w:val="0"/>
        <w:tabs>
          <w:tab w:val="left" w:pos="220"/>
          <w:tab w:val="left" w:pos="720"/>
        </w:tabs>
        <w:autoSpaceDE w:val="0"/>
        <w:autoSpaceDN w:val="0"/>
        <w:adjustRightInd w:val="0"/>
        <w:jc w:val="both"/>
      </w:pPr>
    </w:p>
    <w:p w:rsidR="001D0C26" w:rsidRPr="00072C49" w:rsidRDefault="00E60FB7" w:rsidP="00072C49">
      <w:pPr>
        <w:widowControl w:val="0"/>
        <w:tabs>
          <w:tab w:val="left" w:pos="220"/>
          <w:tab w:val="left" w:pos="720"/>
        </w:tabs>
        <w:autoSpaceDE w:val="0"/>
        <w:autoSpaceDN w:val="0"/>
        <w:adjustRightInd w:val="0"/>
        <w:jc w:val="both"/>
      </w:pPr>
      <w:r>
        <w:t>The removal of</w:t>
      </w:r>
      <w:r w:rsidR="00055CC7">
        <w:t xml:space="preserve"> proposed standard </w:t>
      </w:r>
      <w:r>
        <w:t xml:space="preserve">6.2.3 </w:t>
      </w:r>
      <w:r w:rsidR="00055CC7">
        <w:t>under Option 5 diminishes the protection of g</w:t>
      </w:r>
      <w:r>
        <w:t>reyhounds against injury and disease.</w:t>
      </w:r>
      <w:r w:rsidR="007B521C">
        <w:t xml:space="preserve"> </w:t>
      </w:r>
      <w:r>
        <w:t xml:space="preserve">Therefore, the ability of Option 5 to </w:t>
      </w:r>
      <w:r w:rsidR="001C7CE8">
        <w:t>meet the objective of improving the quality of life and welfare ‘throughout the lifecycle’ with ‘consistent management’ thereby ‘allowing for transition of the greyhound to a pet’</w:t>
      </w:r>
      <w:r>
        <w:t xml:space="preserve"> would be diminished not in scale but in scope</w:t>
      </w:r>
      <w:r w:rsidR="001C7CE8">
        <w:t>.</w:t>
      </w:r>
      <w:r w:rsidR="007B521C">
        <w:t xml:space="preserve"> </w:t>
      </w:r>
      <w:r w:rsidR="00072C49">
        <w:t xml:space="preserve">That is to say </w:t>
      </w:r>
      <w:r w:rsidR="00072C49">
        <w:rPr>
          <w:color w:val="000000" w:themeColor="text1"/>
        </w:rPr>
        <w:t>u</w:t>
      </w:r>
      <w:r>
        <w:rPr>
          <w:color w:val="000000" w:themeColor="text1"/>
        </w:rPr>
        <w:t>p to 14,185</w:t>
      </w:r>
      <w:r w:rsidR="001D0C26" w:rsidRPr="000F6582">
        <w:rPr>
          <w:color w:val="000000" w:themeColor="text1"/>
        </w:rPr>
        <w:t xml:space="preserve"> greyhounds would be provided with reduced welfare risk</w:t>
      </w:r>
      <w:r>
        <w:rPr>
          <w:color w:val="000000" w:themeColor="text1"/>
        </w:rPr>
        <w:t xml:space="preserve"> under Option 5, as shown in Table 15, however, the reduction to welfare risk would be less than under Option 3</w:t>
      </w:r>
      <w:r w:rsidR="00C40A63">
        <w:rPr>
          <w:color w:val="000000" w:themeColor="text1"/>
        </w:rPr>
        <w:t xml:space="preserve"> given the removal of additional health checks</w:t>
      </w:r>
      <w:r w:rsidR="00072C49">
        <w:rPr>
          <w:color w:val="000000" w:themeColor="text1"/>
        </w:rPr>
        <w:t>.</w:t>
      </w:r>
    </w:p>
    <w:p w:rsidR="001D0C26" w:rsidRPr="000F6582" w:rsidRDefault="001D0C26" w:rsidP="001D0C26">
      <w:pPr>
        <w:jc w:val="both"/>
        <w:rPr>
          <w:color w:val="000000" w:themeColor="text1"/>
        </w:rPr>
      </w:pPr>
    </w:p>
    <w:p w:rsidR="00E60FB7" w:rsidRDefault="00E60FB7" w:rsidP="001D0C26">
      <w:pPr>
        <w:jc w:val="both"/>
        <w:rPr>
          <w:color w:val="000000" w:themeColor="text1"/>
        </w:rPr>
      </w:pPr>
      <w:r w:rsidRPr="007072A6">
        <w:rPr>
          <w:color w:val="000000" w:themeColor="text1"/>
        </w:rPr>
        <w:t>Identical to Option 3, i</w:t>
      </w:r>
      <w:r w:rsidR="001D0C26" w:rsidRPr="007072A6">
        <w:rPr>
          <w:color w:val="000000" w:themeColor="text1"/>
        </w:rPr>
        <w:t>t is esti</w:t>
      </w:r>
      <w:r w:rsidRPr="007072A6">
        <w:rPr>
          <w:color w:val="000000" w:themeColor="text1"/>
        </w:rPr>
        <w:t xml:space="preserve">mated that under Option 5, 4,189 additional dogs would </w:t>
      </w:r>
      <w:r w:rsidR="00753110">
        <w:rPr>
          <w:color w:val="000000" w:themeColor="text1"/>
        </w:rPr>
        <w:br/>
      </w:r>
      <w:r w:rsidRPr="007072A6">
        <w:rPr>
          <w:color w:val="000000" w:themeColor="text1"/>
        </w:rPr>
        <w:t>be rehabilitated (provided with improved rehoming potential) by owners, as compared to the base case – as shown in Table 16. Moreover, as with Option 3</w:t>
      </w:r>
      <w:r w:rsidR="0022699D" w:rsidRPr="007072A6">
        <w:rPr>
          <w:color w:val="000000" w:themeColor="text1"/>
        </w:rPr>
        <w:t>, under Option 5</w:t>
      </w:r>
      <w:r w:rsidRPr="007072A6">
        <w:rPr>
          <w:color w:val="000000" w:themeColor="text1"/>
        </w:rPr>
        <w:t xml:space="preserve"> there would be an estimated 2,946 fewer dogs euthanased outside of GAP as compared to the base case</w:t>
      </w:r>
      <w:r w:rsidR="0022699D" w:rsidRPr="007072A6">
        <w:rPr>
          <w:color w:val="000000" w:themeColor="text1"/>
        </w:rPr>
        <w:t>.</w:t>
      </w:r>
    </w:p>
    <w:p w:rsidR="00E60FB7" w:rsidRDefault="00E60FB7" w:rsidP="001D0C26">
      <w:pPr>
        <w:jc w:val="both"/>
        <w:rPr>
          <w:color w:val="000000" w:themeColor="text1"/>
        </w:rPr>
      </w:pPr>
    </w:p>
    <w:p w:rsidR="00B645E2" w:rsidRDefault="00B645E2">
      <w:pPr>
        <w:rPr>
          <w:rFonts w:asciiTheme="majorHAnsi" w:eastAsiaTheme="majorEastAsia" w:hAnsiTheme="majorHAnsi" w:cstheme="majorBidi"/>
          <w:i/>
          <w:color w:val="365F91" w:themeColor="accent1" w:themeShade="BF"/>
          <w:sz w:val="24"/>
          <w:szCs w:val="24"/>
        </w:rPr>
      </w:pPr>
      <w:bookmarkStart w:id="111" w:name="_Toc469529168"/>
      <w:r>
        <w:br w:type="page"/>
      </w:r>
    </w:p>
    <w:p w:rsidR="00E60FB7" w:rsidRDefault="00E60FB7" w:rsidP="005E307C">
      <w:pPr>
        <w:pStyle w:val="Heading3"/>
      </w:pPr>
      <w:bookmarkStart w:id="112" w:name="_Toc477190186"/>
      <w:r>
        <w:lastRenderedPageBreak/>
        <w:t>4.1.</w:t>
      </w:r>
      <w:r w:rsidR="007C6CF8">
        <w:t>6</w:t>
      </w:r>
      <w:r>
        <w:t xml:space="preserve"> Option 6: The proposed Code with industry enforcement and reduced rearing requirements for dogs 16 weeks to 18 months</w:t>
      </w:r>
      <w:bookmarkEnd w:id="111"/>
      <w:bookmarkEnd w:id="112"/>
    </w:p>
    <w:p w:rsidR="00C40A63" w:rsidRDefault="00C40A63" w:rsidP="00C40A63">
      <w:pPr>
        <w:jc w:val="both"/>
        <w:rPr>
          <w:color w:val="000000" w:themeColor="text1"/>
        </w:rPr>
      </w:pPr>
      <w:r>
        <w:rPr>
          <w:color w:val="000000" w:themeColor="text1"/>
        </w:rPr>
        <w:t xml:space="preserve">As with Option 3, Option 6 would seek to maximise </w:t>
      </w:r>
      <w:r w:rsidRPr="00574E23">
        <w:rPr>
          <w:color w:val="000000" w:themeColor="text1"/>
        </w:rPr>
        <w:t>greyhound management &amp; socialisation</w:t>
      </w:r>
      <w:r>
        <w:rPr>
          <w:color w:val="000000" w:themeColor="text1"/>
        </w:rPr>
        <w:t>,</w:t>
      </w:r>
      <w:r w:rsidRPr="00574E23">
        <w:rPr>
          <w:color w:val="000000" w:themeColor="text1"/>
        </w:rPr>
        <w:t xml:space="preserve"> as well as rehoming</w:t>
      </w:r>
      <w:r>
        <w:rPr>
          <w:color w:val="000000" w:themeColor="text1"/>
        </w:rPr>
        <w:t xml:space="preserve"> by providing for a more comprehensive and prescriptive set of standards in one clear piece of legislation with industry enforcement.</w:t>
      </w:r>
    </w:p>
    <w:p w:rsidR="00C40A63" w:rsidRDefault="00C40A63" w:rsidP="00C40A63">
      <w:pPr>
        <w:jc w:val="both"/>
        <w:rPr>
          <w:color w:val="000000" w:themeColor="text1"/>
        </w:rPr>
      </w:pPr>
    </w:p>
    <w:p w:rsidR="00C40A63" w:rsidRDefault="00C40A63" w:rsidP="00C40A63">
      <w:pPr>
        <w:jc w:val="both"/>
        <w:rPr>
          <w:color w:val="000000" w:themeColor="text1"/>
        </w:rPr>
      </w:pPr>
      <w:r>
        <w:rPr>
          <w:color w:val="000000" w:themeColor="text1"/>
        </w:rPr>
        <w:t xml:space="preserve">The annual cost of rearing activities (16 weeks to 18 months) under proposed standard 6.3.9 </w:t>
      </w:r>
      <w:r w:rsidR="00267F47">
        <w:rPr>
          <w:color w:val="000000" w:themeColor="text1"/>
        </w:rPr>
        <w:t xml:space="preserve">at $37.42m </w:t>
      </w:r>
      <w:r w:rsidR="00DF086B">
        <w:rPr>
          <w:color w:val="000000" w:themeColor="text1"/>
        </w:rPr>
        <w:t xml:space="preserve">(see Table 18) </w:t>
      </w:r>
      <w:r>
        <w:rPr>
          <w:color w:val="000000" w:themeColor="text1"/>
        </w:rPr>
        <w:t>involve</w:t>
      </w:r>
      <w:r w:rsidR="00267F47">
        <w:rPr>
          <w:color w:val="000000" w:themeColor="text1"/>
        </w:rPr>
        <w:t>s</w:t>
      </w:r>
      <w:r>
        <w:rPr>
          <w:color w:val="000000" w:themeColor="text1"/>
        </w:rPr>
        <w:t xml:space="preserve"> </w:t>
      </w:r>
      <w:r w:rsidRPr="00267F47">
        <w:rPr>
          <w:i/>
          <w:color w:val="000000" w:themeColor="text1"/>
        </w:rPr>
        <w:t>117 minutes per group of dogs per week</w:t>
      </w:r>
      <w:r w:rsidR="00267F47">
        <w:rPr>
          <w:color w:val="000000" w:themeColor="text1"/>
        </w:rPr>
        <w:t>.</w:t>
      </w:r>
      <w:r w:rsidR="007B521C">
        <w:rPr>
          <w:color w:val="000000" w:themeColor="text1"/>
        </w:rPr>
        <w:t xml:space="preserve"> </w:t>
      </w:r>
      <w:r w:rsidR="00267F47">
        <w:rPr>
          <w:color w:val="000000" w:themeColor="text1"/>
        </w:rPr>
        <w:t>Option 6 seeks to reduce this cost by removing the following socialisation activities under this option, including:</w:t>
      </w:r>
    </w:p>
    <w:p w:rsidR="00267F47" w:rsidRPr="00381CDC" w:rsidRDefault="00267F47" w:rsidP="00CA7E5B">
      <w:pPr>
        <w:pStyle w:val="ListParagraph"/>
        <w:numPr>
          <w:ilvl w:val="0"/>
          <w:numId w:val="19"/>
        </w:numPr>
        <w:ind w:left="426" w:hanging="426"/>
        <w:rPr>
          <w:color w:val="000000" w:themeColor="text1"/>
        </w:rPr>
      </w:pPr>
      <w:r w:rsidRPr="00381CDC">
        <w:t>30 minutes of human handling/play</w:t>
      </w:r>
    </w:p>
    <w:p w:rsidR="00267F47" w:rsidRPr="00381CDC" w:rsidRDefault="00267F47" w:rsidP="00CA7E5B">
      <w:pPr>
        <w:pStyle w:val="ListParagraph"/>
        <w:numPr>
          <w:ilvl w:val="0"/>
          <w:numId w:val="19"/>
        </w:numPr>
        <w:ind w:left="426" w:hanging="426"/>
        <w:rPr>
          <w:color w:val="000000" w:themeColor="text1"/>
        </w:rPr>
      </w:pPr>
      <w:r w:rsidRPr="00381CDC">
        <w:rPr>
          <w:color w:val="000000" w:themeColor="text1"/>
        </w:rPr>
        <w:t>15 minutes of acclimatisation away from littermates</w:t>
      </w:r>
    </w:p>
    <w:p w:rsidR="00267F47" w:rsidRPr="00381CDC" w:rsidRDefault="00267F47" w:rsidP="00CA7E5B">
      <w:pPr>
        <w:pStyle w:val="ListParagraph"/>
        <w:numPr>
          <w:ilvl w:val="0"/>
          <w:numId w:val="19"/>
        </w:numPr>
        <w:ind w:left="426" w:hanging="426"/>
        <w:rPr>
          <w:color w:val="000000" w:themeColor="text1"/>
        </w:rPr>
      </w:pPr>
      <w:r w:rsidRPr="00381CDC">
        <w:rPr>
          <w:color w:val="000000" w:themeColor="text1"/>
        </w:rPr>
        <w:t>5 minutes of moving greyhounds to race day cages/bathing/food-treats etc.</w:t>
      </w:r>
    </w:p>
    <w:p w:rsidR="00E60FB7" w:rsidRDefault="00E60FB7" w:rsidP="001D0C26">
      <w:pPr>
        <w:jc w:val="both"/>
        <w:rPr>
          <w:color w:val="000000" w:themeColor="text1"/>
        </w:rPr>
      </w:pPr>
    </w:p>
    <w:p w:rsidR="00267F47" w:rsidRDefault="00582552" w:rsidP="001D0C26">
      <w:pPr>
        <w:jc w:val="both"/>
        <w:rPr>
          <w:color w:val="000000" w:themeColor="text1"/>
        </w:rPr>
      </w:pPr>
      <w:r>
        <w:rPr>
          <w:color w:val="000000" w:themeColor="text1"/>
        </w:rPr>
        <w:t xml:space="preserve">These additional activities have been deemed to be beneficial for good socialisation and recommended by the GRV and the industry </w:t>
      </w:r>
      <w:r w:rsidR="007F59D9">
        <w:rPr>
          <w:color w:val="000000" w:themeColor="text1"/>
        </w:rPr>
        <w:t xml:space="preserve">as ‘best practice’ </w:t>
      </w:r>
      <w:r>
        <w:rPr>
          <w:color w:val="000000" w:themeColor="text1"/>
        </w:rPr>
        <w:t>however represents the maximum that can be removed without causing a greyhound welfare harm.</w:t>
      </w:r>
      <w:r w:rsidR="007B521C">
        <w:rPr>
          <w:color w:val="000000" w:themeColor="text1"/>
        </w:rPr>
        <w:t xml:space="preserve"> </w:t>
      </w:r>
      <w:r w:rsidR="00267F47">
        <w:rPr>
          <w:color w:val="000000" w:themeColor="text1"/>
        </w:rPr>
        <w:t xml:space="preserve">The time required for socialisation activities with rearing dogs 16 weeks to 18 months is therefore reduced under Option 6 to </w:t>
      </w:r>
      <w:r w:rsidR="00267F47" w:rsidRPr="00267F47">
        <w:rPr>
          <w:i/>
          <w:color w:val="000000" w:themeColor="text1"/>
        </w:rPr>
        <w:t>61 minutes per group of dogs per week</w:t>
      </w:r>
      <w:r w:rsidR="00267F47">
        <w:rPr>
          <w:color w:val="000000" w:themeColor="text1"/>
        </w:rPr>
        <w:t>.</w:t>
      </w:r>
    </w:p>
    <w:p w:rsidR="00E60FB7" w:rsidRDefault="00E60FB7" w:rsidP="001D0C26">
      <w:pPr>
        <w:jc w:val="both"/>
        <w:rPr>
          <w:color w:val="000000" w:themeColor="text1"/>
        </w:rPr>
      </w:pPr>
    </w:p>
    <w:p w:rsidR="00267F47" w:rsidRPr="00072C49" w:rsidRDefault="00267F47" w:rsidP="00267F47">
      <w:pPr>
        <w:widowControl w:val="0"/>
        <w:tabs>
          <w:tab w:val="left" w:pos="220"/>
          <w:tab w:val="left" w:pos="720"/>
        </w:tabs>
        <w:autoSpaceDE w:val="0"/>
        <w:autoSpaceDN w:val="0"/>
        <w:adjustRightInd w:val="0"/>
        <w:jc w:val="both"/>
      </w:pPr>
      <w:r>
        <w:t>The reduced requirements under proposed standard 6.3.9 under Option 6 reduces the access of greyhounds to a broader scope of socialisation activities.</w:t>
      </w:r>
      <w:r w:rsidR="007B521C">
        <w:t xml:space="preserve"> </w:t>
      </w:r>
      <w:r>
        <w:t>Therefore, the ability of Option 6 to meet the objective of improving the quality of life and welfare ‘</w:t>
      </w:r>
      <w:r w:rsidR="00582552">
        <w:t xml:space="preserve">throughout the lifecycle’ with consistent management thereby </w:t>
      </w:r>
      <w:r>
        <w:t>allowing for trans</w:t>
      </w:r>
      <w:r w:rsidR="00582552">
        <w:t>ition of the greyhound to a pet</w:t>
      </w:r>
      <w:r>
        <w:t xml:space="preserve"> would be diminished not in scale but in scope.</w:t>
      </w:r>
      <w:r w:rsidR="007B521C">
        <w:t xml:space="preserve"> </w:t>
      </w:r>
      <w:r>
        <w:t>That is to say</w:t>
      </w:r>
      <w:r w:rsidR="00582552">
        <w:t>, just as with Option 3, up</w:t>
      </w:r>
      <w:r>
        <w:rPr>
          <w:color w:val="000000" w:themeColor="text1"/>
        </w:rPr>
        <w:t xml:space="preserve"> to 14,185</w:t>
      </w:r>
      <w:r w:rsidRPr="000F6582">
        <w:rPr>
          <w:color w:val="000000" w:themeColor="text1"/>
        </w:rPr>
        <w:t xml:space="preserve"> greyhounds would be provided with reduced welfare risk</w:t>
      </w:r>
      <w:r w:rsidR="00582552">
        <w:rPr>
          <w:color w:val="000000" w:themeColor="text1"/>
        </w:rPr>
        <w:t xml:space="preserve"> under Option 6</w:t>
      </w:r>
      <w:r>
        <w:rPr>
          <w:color w:val="000000" w:themeColor="text1"/>
        </w:rPr>
        <w:t>, as shown in Table 15, however, the reduction to welfare risk would be less than under Option 3 given the</w:t>
      </w:r>
      <w:r w:rsidR="00582552">
        <w:rPr>
          <w:color w:val="000000" w:themeColor="text1"/>
        </w:rPr>
        <w:t xml:space="preserve"> reduced requirements around socialisation</w:t>
      </w:r>
      <w:r>
        <w:rPr>
          <w:color w:val="000000" w:themeColor="text1"/>
        </w:rPr>
        <w:t>.</w:t>
      </w:r>
    </w:p>
    <w:p w:rsidR="00267F47" w:rsidRPr="000F6582" w:rsidRDefault="00267F47" w:rsidP="00267F47">
      <w:pPr>
        <w:jc w:val="both"/>
        <w:rPr>
          <w:color w:val="000000" w:themeColor="text1"/>
        </w:rPr>
      </w:pPr>
    </w:p>
    <w:p w:rsidR="00267F47" w:rsidRDefault="007072A6" w:rsidP="00267F47">
      <w:pPr>
        <w:jc w:val="both"/>
        <w:rPr>
          <w:color w:val="000000" w:themeColor="text1"/>
        </w:rPr>
      </w:pPr>
      <w:r w:rsidRPr="00C357B6">
        <w:rPr>
          <w:color w:val="000000" w:themeColor="text1"/>
        </w:rPr>
        <w:t>U</w:t>
      </w:r>
      <w:r w:rsidR="00582552" w:rsidRPr="007072A6">
        <w:rPr>
          <w:color w:val="000000" w:themeColor="text1"/>
        </w:rPr>
        <w:t>nder Option 6</w:t>
      </w:r>
      <w:r w:rsidR="00267F47" w:rsidRPr="007072A6">
        <w:rPr>
          <w:color w:val="000000" w:themeColor="text1"/>
        </w:rPr>
        <w:t xml:space="preserve">, </w:t>
      </w:r>
      <w:r w:rsidRPr="00C357B6">
        <w:rPr>
          <w:color w:val="000000" w:themeColor="text1"/>
        </w:rPr>
        <w:t>2,170</w:t>
      </w:r>
      <w:r w:rsidR="00267F47" w:rsidRPr="007072A6">
        <w:rPr>
          <w:color w:val="000000" w:themeColor="text1"/>
        </w:rPr>
        <w:t xml:space="preserve"> additional dogs would be rehabilitated (provided with improved rehoming potential) by owners, as compared to the base case – as shown in Table 16. Moreover, </w:t>
      </w:r>
      <w:r w:rsidRPr="00C357B6">
        <w:rPr>
          <w:color w:val="000000" w:themeColor="text1"/>
        </w:rPr>
        <w:t xml:space="preserve">under </w:t>
      </w:r>
      <w:r w:rsidR="00582552" w:rsidRPr="007072A6">
        <w:rPr>
          <w:color w:val="000000" w:themeColor="text1"/>
        </w:rPr>
        <w:t>Option 6</w:t>
      </w:r>
      <w:r w:rsidR="00267F47" w:rsidRPr="007072A6">
        <w:rPr>
          <w:color w:val="000000" w:themeColor="text1"/>
        </w:rPr>
        <w:t xml:space="preserve"> there would be an estimated </w:t>
      </w:r>
      <w:r w:rsidRPr="00C357B6">
        <w:rPr>
          <w:color w:val="000000" w:themeColor="text1"/>
        </w:rPr>
        <w:t>906</w:t>
      </w:r>
      <w:r w:rsidR="00267F47" w:rsidRPr="007072A6">
        <w:rPr>
          <w:color w:val="000000" w:themeColor="text1"/>
        </w:rPr>
        <w:t xml:space="preserve"> fewer dogs euthanased outside of GAP as compared to the base case.</w:t>
      </w:r>
    </w:p>
    <w:p w:rsidR="00E60FB7" w:rsidRDefault="00E60FB7" w:rsidP="001D0C26">
      <w:pPr>
        <w:jc w:val="both"/>
        <w:rPr>
          <w:color w:val="000000" w:themeColor="text1"/>
        </w:rPr>
      </w:pPr>
    </w:p>
    <w:p w:rsidR="00B92BAD" w:rsidRPr="005F3BA9" w:rsidRDefault="004B0055" w:rsidP="00B92BAD">
      <w:pPr>
        <w:pStyle w:val="Heading2"/>
      </w:pPr>
      <w:bookmarkStart w:id="113" w:name="_Toc469529169"/>
      <w:bookmarkStart w:id="114" w:name="_Toc477190187"/>
      <w:r w:rsidRPr="005F3BA9">
        <w:t>4.2</w:t>
      </w:r>
      <w:r w:rsidR="00B92BAD" w:rsidRPr="005F3BA9">
        <w:t xml:space="preserve"> Options not considered in this RIS</w:t>
      </w:r>
      <w:bookmarkEnd w:id="113"/>
      <w:bookmarkEnd w:id="114"/>
    </w:p>
    <w:p w:rsidR="00627A36" w:rsidRDefault="00627A36" w:rsidP="00055CC7">
      <w:pPr>
        <w:widowControl w:val="0"/>
        <w:tabs>
          <w:tab w:val="left" w:pos="220"/>
          <w:tab w:val="left" w:pos="720"/>
        </w:tabs>
        <w:autoSpaceDE w:val="0"/>
        <w:autoSpaceDN w:val="0"/>
        <w:adjustRightInd w:val="0"/>
        <w:jc w:val="both"/>
      </w:pPr>
      <w:r>
        <w:t>Some key regulatory dimensions not considered for alternative options to standards in the proposed Code include:</w:t>
      </w:r>
      <w:r w:rsidR="008F74D7">
        <w:t xml:space="preserve"> the potential for less prescriptive standards for participants that demonstrate consistent positive welfare outcomes for greyhounds</w:t>
      </w:r>
      <w:r>
        <w:t xml:space="preserve">, </w:t>
      </w:r>
      <w:r w:rsidR="000A0249">
        <w:t>alternative staff ratios,</w:t>
      </w:r>
      <w:r w:rsidR="00B918EB">
        <w:t xml:space="preserve"> </w:t>
      </w:r>
      <w:r w:rsidR="00F36A59">
        <w:t xml:space="preserve">alternative to the </w:t>
      </w:r>
      <w:r w:rsidR="00B918EB">
        <w:t xml:space="preserve">GAP reforms, </w:t>
      </w:r>
      <w:r>
        <w:t>perimeter fencing</w:t>
      </w:r>
      <w:r w:rsidR="008F74D7">
        <w:t xml:space="preserve"> size</w:t>
      </w:r>
      <w:r>
        <w:t>, and kennel/pen sizes.</w:t>
      </w:r>
    </w:p>
    <w:p w:rsidR="00627A36" w:rsidRDefault="00627A36" w:rsidP="008744B2">
      <w:pPr>
        <w:widowControl w:val="0"/>
        <w:tabs>
          <w:tab w:val="left" w:pos="220"/>
          <w:tab w:val="left" w:pos="720"/>
        </w:tabs>
        <w:autoSpaceDE w:val="0"/>
        <w:autoSpaceDN w:val="0"/>
        <w:adjustRightInd w:val="0"/>
        <w:jc w:val="both"/>
      </w:pPr>
    </w:p>
    <w:p w:rsidR="00627A36" w:rsidRPr="008A02E4" w:rsidRDefault="00627A36" w:rsidP="008A02E4">
      <w:pPr>
        <w:pStyle w:val="Heading3"/>
        <w:jc w:val="left"/>
        <w:rPr>
          <w:spacing w:val="-8"/>
        </w:rPr>
      </w:pPr>
      <w:bookmarkStart w:id="115" w:name="_Toc469529170"/>
      <w:bookmarkStart w:id="116" w:name="_Toc477190188"/>
      <w:r w:rsidRPr="008A02E4">
        <w:rPr>
          <w:spacing w:val="-8"/>
        </w:rPr>
        <w:t xml:space="preserve">4.2.1 </w:t>
      </w:r>
      <w:r w:rsidR="000A0249" w:rsidRPr="008A02E4">
        <w:rPr>
          <w:spacing w:val="-8"/>
        </w:rPr>
        <w:t>Less prescriptive standards for participants with good greyhound welfare track record</w:t>
      </w:r>
      <w:bookmarkEnd w:id="115"/>
      <w:bookmarkEnd w:id="116"/>
    </w:p>
    <w:p w:rsidR="00751466" w:rsidRDefault="00624431" w:rsidP="00055CC7">
      <w:pPr>
        <w:widowControl w:val="0"/>
        <w:tabs>
          <w:tab w:val="left" w:pos="220"/>
          <w:tab w:val="left" w:pos="720"/>
        </w:tabs>
        <w:autoSpaceDE w:val="0"/>
        <w:autoSpaceDN w:val="0"/>
        <w:adjustRightInd w:val="0"/>
        <w:jc w:val="both"/>
      </w:pPr>
      <w:r>
        <w:t>An option was considered around having a more flexible less prescriptive</w:t>
      </w:r>
      <w:r w:rsidR="00DF3329">
        <w:t xml:space="preserve"> set of</w:t>
      </w:r>
      <w:r>
        <w:t xml:space="preserve"> standards for participants who have demonstrated a track record of good greyhound welfare/rehabilitation.</w:t>
      </w:r>
      <w:r w:rsidR="007B521C">
        <w:t xml:space="preserve"> </w:t>
      </w:r>
      <w:r>
        <w:t>However, i</w:t>
      </w:r>
      <w:r w:rsidR="00F14660">
        <w:t>t is noted by DEDJTR that participants failed to abide by their regulatory requirements under the current Code</w:t>
      </w:r>
      <w:r w:rsidR="007F59D9">
        <w:t xml:space="preserve"> which was more</w:t>
      </w:r>
      <w:r w:rsidR="00DF3329">
        <w:t xml:space="preserve"> flexible</w:t>
      </w:r>
      <w:r w:rsidR="007F59D9">
        <w:t>.</w:t>
      </w:r>
      <w:r w:rsidR="007B521C">
        <w:t xml:space="preserve"> </w:t>
      </w:r>
      <w:r w:rsidR="00DF3329">
        <w:t>M</w:t>
      </w:r>
      <w:r w:rsidR="007F59D9">
        <w:t xml:space="preserve">oving to a new code with the possibility of </w:t>
      </w:r>
      <w:r w:rsidR="00DF3329">
        <w:t xml:space="preserve">flexible </w:t>
      </w:r>
      <w:r w:rsidR="007F59D9">
        <w:t>standards for those who demonstrate good welfare creates several issues.</w:t>
      </w:r>
      <w:r w:rsidR="007B521C">
        <w:t xml:space="preserve"> </w:t>
      </w:r>
      <w:r w:rsidR="007F59D9">
        <w:t xml:space="preserve">Firstly, </w:t>
      </w:r>
      <w:r w:rsidR="00DF3329">
        <w:t xml:space="preserve">based on DEDJTR advice, </w:t>
      </w:r>
      <w:r w:rsidR="007F59D9">
        <w:t>such an option would not be deemed to be acceptable by either government, industry or the community.</w:t>
      </w:r>
      <w:r w:rsidR="007B521C">
        <w:t xml:space="preserve"> </w:t>
      </w:r>
      <w:r w:rsidR="001735A9">
        <w:t>DEDJT</w:t>
      </w:r>
      <w:r w:rsidR="00EA7B71">
        <w:t>R</w:t>
      </w:r>
      <w:r w:rsidR="001735A9">
        <w:t xml:space="preserve"> is </w:t>
      </w:r>
      <w:r w:rsidR="001735A9">
        <w:lastRenderedPageBreak/>
        <w:t xml:space="preserve">inviting </w:t>
      </w:r>
      <w:r w:rsidR="001735A9" w:rsidRPr="00CD066F">
        <w:t>feedback through consultation</w:t>
      </w:r>
      <w:r w:rsidR="00CD066F">
        <w:t xml:space="preserve"> process</w:t>
      </w:r>
      <w:r w:rsidR="001735A9" w:rsidRPr="00CD066F">
        <w:t xml:space="preserve"> </w:t>
      </w:r>
      <w:r w:rsidR="00633DF7" w:rsidRPr="00CD066F">
        <w:t xml:space="preserve">on other ways to provide for </w:t>
      </w:r>
      <w:r w:rsidR="00B918EB" w:rsidRPr="00CD066F">
        <w:t xml:space="preserve">socialisation </w:t>
      </w:r>
      <w:r w:rsidR="00633DF7" w:rsidRPr="00CD066F">
        <w:t>for example</w:t>
      </w:r>
      <w:r w:rsidR="00DF3329" w:rsidRPr="00CD066F">
        <w:t>,</w:t>
      </w:r>
      <w:r w:rsidR="00633DF7" w:rsidRPr="00CD066F">
        <w:t xml:space="preserve"> that provides</w:t>
      </w:r>
      <w:r w:rsidR="00DF3329" w:rsidRPr="00CD066F">
        <w:t xml:space="preserve"> for</w:t>
      </w:r>
      <w:r w:rsidR="00633DF7" w:rsidRPr="00CD066F">
        <w:t xml:space="preserve"> flexibility</w:t>
      </w:r>
      <w:r w:rsidR="00DF3329" w:rsidRPr="00CD066F">
        <w:t>,</w:t>
      </w:r>
      <w:r w:rsidR="00633DF7" w:rsidRPr="00CD066F">
        <w:t xml:space="preserve"> </w:t>
      </w:r>
      <w:r w:rsidR="00CD066F" w:rsidRPr="00CD066F">
        <w:t>in a credible way which will provide</w:t>
      </w:r>
      <w:r w:rsidR="00633DF7" w:rsidRPr="00CD066F">
        <w:t xml:space="preserve"> the ability </w:t>
      </w:r>
      <w:r w:rsidR="00B918EB" w:rsidRPr="00CD066F">
        <w:t xml:space="preserve">of a standard </w:t>
      </w:r>
      <w:r w:rsidR="00633DF7" w:rsidRPr="00CD066F">
        <w:t>to be enforced.</w:t>
      </w:r>
      <w:r w:rsidR="007B521C">
        <w:t xml:space="preserve"> </w:t>
      </w:r>
      <w:r w:rsidR="00633DF7">
        <w:t xml:space="preserve">Indeed, the </w:t>
      </w:r>
      <w:r w:rsidR="007F59D9">
        <w:t>question remains – ‘what does GRV enforce against under such an Option when issues arise?</w:t>
      </w:r>
      <w:r w:rsidR="008A02E4">
        <w:t xml:space="preserve"> </w:t>
      </w:r>
      <w:r w:rsidR="00B918EB">
        <w:t>According to the Milne report, it is important for any new code to be feasible, cost effective and enforceable.</w:t>
      </w:r>
      <w:r w:rsidR="007B521C">
        <w:t xml:space="preserve"> </w:t>
      </w:r>
    </w:p>
    <w:p w:rsidR="00751466" w:rsidRPr="00302CA9" w:rsidRDefault="00751466" w:rsidP="00055CC7">
      <w:pPr>
        <w:widowControl w:val="0"/>
        <w:tabs>
          <w:tab w:val="left" w:pos="220"/>
          <w:tab w:val="left" w:pos="720"/>
        </w:tabs>
        <w:autoSpaceDE w:val="0"/>
        <w:autoSpaceDN w:val="0"/>
        <w:adjustRightInd w:val="0"/>
        <w:jc w:val="both"/>
        <w:rPr>
          <w:sz w:val="20"/>
          <w:szCs w:val="20"/>
        </w:rPr>
      </w:pPr>
    </w:p>
    <w:p w:rsidR="00633DF7" w:rsidRDefault="00B918EB" w:rsidP="00055CC7">
      <w:pPr>
        <w:widowControl w:val="0"/>
        <w:tabs>
          <w:tab w:val="left" w:pos="220"/>
          <w:tab w:val="left" w:pos="720"/>
        </w:tabs>
        <w:autoSpaceDE w:val="0"/>
        <w:autoSpaceDN w:val="0"/>
        <w:adjustRightInd w:val="0"/>
        <w:jc w:val="both"/>
      </w:pPr>
      <w:r>
        <w:t>Additionally, with respect to socialisation/rearing</w:t>
      </w:r>
      <w:r w:rsidR="00AA723E">
        <w:t>, the proposed Code has been prescriptive because it is important to ensure that dogs are managed well early in the life cycle and not until the last minute where the stress of change is more severe.</w:t>
      </w:r>
      <w:r w:rsidR="007B521C">
        <w:t xml:space="preserve"> </w:t>
      </w:r>
      <w:r w:rsidR="00AA723E">
        <w:t>Currently</w:t>
      </w:r>
      <w:r w:rsidR="00DF3329">
        <w:t>,</w:t>
      </w:r>
      <w:r w:rsidR="00AA723E">
        <w:t xml:space="preserve"> flexibility means </w:t>
      </w:r>
      <w:r>
        <w:t xml:space="preserve">participants </w:t>
      </w:r>
      <w:r w:rsidR="00AA723E">
        <w:t xml:space="preserve">are not getting </w:t>
      </w:r>
      <w:r>
        <w:t xml:space="preserve">rearing activities </w:t>
      </w:r>
      <w:r w:rsidR="00AA723E">
        <w:t>right early enough from the beginning.</w:t>
      </w:r>
      <w:r w:rsidR="007B521C">
        <w:t xml:space="preserve"> </w:t>
      </w:r>
    </w:p>
    <w:p w:rsidR="00633DF7" w:rsidRPr="00302CA9" w:rsidRDefault="00633DF7" w:rsidP="00055CC7">
      <w:pPr>
        <w:widowControl w:val="0"/>
        <w:tabs>
          <w:tab w:val="left" w:pos="220"/>
          <w:tab w:val="left" w:pos="720"/>
        </w:tabs>
        <w:autoSpaceDE w:val="0"/>
        <w:autoSpaceDN w:val="0"/>
        <w:adjustRightInd w:val="0"/>
        <w:jc w:val="both"/>
        <w:rPr>
          <w:sz w:val="20"/>
          <w:szCs w:val="20"/>
        </w:rPr>
      </w:pPr>
    </w:p>
    <w:p w:rsidR="007F59D9" w:rsidRDefault="00DF3329" w:rsidP="00055CC7">
      <w:pPr>
        <w:widowControl w:val="0"/>
        <w:tabs>
          <w:tab w:val="left" w:pos="220"/>
          <w:tab w:val="left" w:pos="720"/>
        </w:tabs>
        <w:autoSpaceDE w:val="0"/>
        <w:autoSpaceDN w:val="0"/>
        <w:adjustRightInd w:val="0"/>
        <w:jc w:val="both"/>
      </w:pPr>
      <w:r>
        <w:t>A</w:t>
      </w:r>
      <w:r w:rsidR="00B918EB">
        <w:t>nother complication</w:t>
      </w:r>
      <w:r>
        <w:t xml:space="preserve"> to the feasibility of flexible </w:t>
      </w:r>
      <w:r w:rsidR="007D7A02">
        <w:t>standards</w:t>
      </w:r>
      <w:r>
        <w:t xml:space="preserve"> is that GRV does not </w:t>
      </w:r>
      <w:r w:rsidR="00EA7B71">
        <w:t xml:space="preserve">currently </w:t>
      </w:r>
      <w:r>
        <w:t>intend to</w:t>
      </w:r>
      <w:r w:rsidR="007F59D9">
        <w:t xml:space="preserve"> undertake annual audits</w:t>
      </w:r>
      <w:r w:rsidR="007F59D9">
        <w:rPr>
          <w:rStyle w:val="FootnoteReference"/>
        </w:rPr>
        <w:footnoteReference w:id="110"/>
      </w:r>
      <w:r w:rsidR="007F59D9">
        <w:t xml:space="preserve">. </w:t>
      </w:r>
      <w:r>
        <w:t xml:space="preserve">Instead, </w:t>
      </w:r>
      <w:r w:rsidR="007F59D9">
        <w:t xml:space="preserve">GRV intends to </w:t>
      </w:r>
      <w:r w:rsidR="00633DF7">
        <w:t>audit about</w:t>
      </w:r>
      <w:r w:rsidR="007F59D9">
        <w:t xml:space="preserve"> 5,000 properties in the next 2 y</w:t>
      </w:r>
      <w:r w:rsidR="00B918EB">
        <w:t>ears based on a risk assessment</w:t>
      </w:r>
      <w:r w:rsidR="007F59D9">
        <w:t xml:space="preserve"> with a rotation of 3 to 4 years</w:t>
      </w:r>
      <w:r w:rsidR="00633DF7">
        <w:t>.</w:t>
      </w:r>
      <w:r w:rsidR="007B521C">
        <w:t xml:space="preserve"> </w:t>
      </w:r>
      <w:r w:rsidR="00B918EB">
        <w:t>This means that it would be difficult to ascertain ‘good welfare’ track record particularly with delays of 3 to 4 years between audits.</w:t>
      </w:r>
    </w:p>
    <w:p w:rsidR="00302CA9" w:rsidRPr="00302CA9" w:rsidRDefault="00302CA9" w:rsidP="00302CA9">
      <w:pPr>
        <w:widowControl w:val="0"/>
        <w:tabs>
          <w:tab w:val="left" w:pos="220"/>
          <w:tab w:val="left" w:pos="720"/>
        </w:tabs>
        <w:autoSpaceDE w:val="0"/>
        <w:autoSpaceDN w:val="0"/>
        <w:adjustRightInd w:val="0"/>
        <w:jc w:val="both"/>
        <w:rPr>
          <w:sz w:val="20"/>
          <w:szCs w:val="20"/>
        </w:rPr>
      </w:pPr>
      <w:bookmarkStart w:id="117" w:name="_Toc469529171"/>
      <w:bookmarkStart w:id="118" w:name="_Toc477190189"/>
    </w:p>
    <w:p w:rsidR="008744B2" w:rsidRDefault="008744B2" w:rsidP="005E307C">
      <w:pPr>
        <w:pStyle w:val="Heading3"/>
      </w:pPr>
      <w:r>
        <w:t>4.2.2 Alternative staff ratios</w:t>
      </w:r>
      <w:bookmarkEnd w:id="117"/>
      <w:bookmarkEnd w:id="118"/>
    </w:p>
    <w:p w:rsidR="00F36A59" w:rsidRDefault="00B847DC" w:rsidP="008744B2">
      <w:pPr>
        <w:widowControl w:val="0"/>
        <w:tabs>
          <w:tab w:val="left" w:pos="220"/>
          <w:tab w:val="left" w:pos="720"/>
        </w:tabs>
        <w:autoSpaceDE w:val="0"/>
        <w:autoSpaceDN w:val="0"/>
        <w:adjustRightInd w:val="0"/>
        <w:jc w:val="both"/>
      </w:pPr>
      <w:r>
        <w:t>Under proposed standard 3.1 there is an additional cost of having a staff ratio of 1:25 of $7.94m (see Table</w:t>
      </w:r>
      <w:r w:rsidR="00DF086B">
        <w:t xml:space="preserve"> 18</w:t>
      </w:r>
      <w:r w:rsidR="00F36A59">
        <w:t>) and implies the hiring of 14 additional FTE across large breeders who may have more than 25 dogs</w:t>
      </w:r>
      <w:r>
        <w:t>.</w:t>
      </w:r>
      <w:r w:rsidR="007B521C">
        <w:t xml:space="preserve"> </w:t>
      </w:r>
    </w:p>
    <w:p w:rsidR="00302CA9" w:rsidRPr="00302CA9" w:rsidRDefault="00302CA9" w:rsidP="00302CA9">
      <w:pPr>
        <w:widowControl w:val="0"/>
        <w:tabs>
          <w:tab w:val="left" w:pos="220"/>
          <w:tab w:val="left" w:pos="720"/>
        </w:tabs>
        <w:autoSpaceDE w:val="0"/>
        <w:autoSpaceDN w:val="0"/>
        <w:adjustRightInd w:val="0"/>
        <w:jc w:val="both"/>
        <w:rPr>
          <w:sz w:val="20"/>
          <w:szCs w:val="20"/>
        </w:rPr>
      </w:pPr>
    </w:p>
    <w:p w:rsidR="00C36110" w:rsidRPr="0006052B" w:rsidRDefault="00102892" w:rsidP="008744B2">
      <w:pPr>
        <w:widowControl w:val="0"/>
        <w:tabs>
          <w:tab w:val="left" w:pos="220"/>
          <w:tab w:val="left" w:pos="720"/>
        </w:tabs>
        <w:autoSpaceDE w:val="0"/>
        <w:autoSpaceDN w:val="0"/>
        <w:adjustRightInd w:val="0"/>
        <w:jc w:val="both"/>
        <w:rPr>
          <w:color w:val="auto"/>
        </w:rPr>
      </w:pPr>
      <w:r w:rsidRPr="0006052B">
        <w:rPr>
          <w:color w:val="auto"/>
        </w:rPr>
        <w:t>An option around having different staff ratios</w:t>
      </w:r>
      <w:r w:rsidR="0006052B" w:rsidRPr="0006052B">
        <w:rPr>
          <w:color w:val="auto"/>
        </w:rPr>
        <w:t xml:space="preserve"> was considered.</w:t>
      </w:r>
      <w:r w:rsidRPr="0006052B">
        <w:rPr>
          <w:color w:val="auto"/>
        </w:rPr>
        <w:t xml:space="preserve"> </w:t>
      </w:r>
      <w:r w:rsidR="0006052B" w:rsidRPr="0006052B">
        <w:rPr>
          <w:color w:val="auto"/>
        </w:rPr>
        <w:t>H</w:t>
      </w:r>
      <w:r w:rsidRPr="0006052B">
        <w:rPr>
          <w:color w:val="auto"/>
        </w:rPr>
        <w:t>owever</w:t>
      </w:r>
      <w:r w:rsidR="008A6453">
        <w:rPr>
          <w:color w:val="auto"/>
        </w:rPr>
        <w:t>,</w:t>
      </w:r>
      <w:r w:rsidRPr="0006052B">
        <w:rPr>
          <w:color w:val="auto"/>
        </w:rPr>
        <w:t xml:space="preserve"> </w:t>
      </w:r>
      <w:r w:rsidR="0006052B" w:rsidRPr="0006052B">
        <w:rPr>
          <w:color w:val="auto"/>
        </w:rPr>
        <w:t xml:space="preserve">such an option would create </w:t>
      </w:r>
      <w:r w:rsidRPr="0006052B">
        <w:rPr>
          <w:color w:val="auto"/>
        </w:rPr>
        <w:t>inconsis</w:t>
      </w:r>
      <w:r w:rsidR="0006052B" w:rsidRPr="0006052B">
        <w:rPr>
          <w:color w:val="auto"/>
        </w:rPr>
        <w:t>tencies</w:t>
      </w:r>
      <w:r w:rsidRPr="0006052B">
        <w:rPr>
          <w:color w:val="auto"/>
        </w:rPr>
        <w:t xml:space="preserve"> with the staffing requirements of the current mandatory </w:t>
      </w:r>
      <w:r w:rsidRPr="0006052B">
        <w:rPr>
          <w:i/>
          <w:color w:val="auto"/>
        </w:rPr>
        <w:t>Code of Practice for the Operation of Breeding and Rearing Establishments.</w:t>
      </w:r>
      <w:r w:rsidRPr="0006052B">
        <w:rPr>
          <w:color w:val="auto"/>
        </w:rPr>
        <w:t xml:space="preserve"> This could result in a perceived bias towards the greyhound racing industry impacting</w:t>
      </w:r>
      <w:r w:rsidR="0006052B" w:rsidRPr="0006052B">
        <w:rPr>
          <w:color w:val="auto"/>
        </w:rPr>
        <w:t xml:space="preserve"> on</w:t>
      </w:r>
      <w:r w:rsidRPr="0006052B">
        <w:rPr>
          <w:color w:val="auto"/>
        </w:rPr>
        <w:t xml:space="preserve"> social license. </w:t>
      </w:r>
      <w:r w:rsidR="008C1020" w:rsidRPr="0006052B">
        <w:rPr>
          <w:color w:val="auto"/>
        </w:rPr>
        <w:t>Moreover, t</w:t>
      </w:r>
      <w:r w:rsidRPr="0006052B">
        <w:rPr>
          <w:color w:val="auto"/>
        </w:rPr>
        <w:t xml:space="preserve">he </w:t>
      </w:r>
      <w:r w:rsidR="0006052B" w:rsidRPr="0006052B">
        <w:rPr>
          <w:color w:val="auto"/>
        </w:rPr>
        <w:t>impact</w:t>
      </w:r>
      <w:r w:rsidR="007238AD" w:rsidRPr="0006052B">
        <w:rPr>
          <w:color w:val="auto"/>
        </w:rPr>
        <w:t xml:space="preserve"> that</w:t>
      </w:r>
      <w:r w:rsidRPr="0006052B">
        <w:rPr>
          <w:color w:val="auto"/>
        </w:rPr>
        <w:t xml:space="preserve"> </w:t>
      </w:r>
      <w:r w:rsidR="007238AD" w:rsidRPr="0006052B">
        <w:rPr>
          <w:color w:val="auto"/>
        </w:rPr>
        <w:t xml:space="preserve">different staff ratios </w:t>
      </w:r>
      <w:r w:rsidR="0006052B" w:rsidRPr="0006052B">
        <w:rPr>
          <w:color w:val="auto"/>
        </w:rPr>
        <w:t>c</w:t>
      </w:r>
      <w:r w:rsidR="007238AD" w:rsidRPr="0006052B">
        <w:rPr>
          <w:color w:val="auto"/>
        </w:rPr>
        <w:t>ould have on</w:t>
      </w:r>
      <w:r w:rsidR="0006052B" w:rsidRPr="0006052B">
        <w:rPr>
          <w:color w:val="auto"/>
        </w:rPr>
        <w:t xml:space="preserve"> the quality of life for greyhounds</w:t>
      </w:r>
      <w:r w:rsidRPr="0006052B">
        <w:rPr>
          <w:color w:val="auto"/>
        </w:rPr>
        <w:t>, particularly during the rearing stage of their lives</w:t>
      </w:r>
      <w:r w:rsidRPr="0006052B">
        <w:rPr>
          <w:i/>
          <w:color w:val="auto"/>
        </w:rPr>
        <w:t xml:space="preserve"> </w:t>
      </w:r>
      <w:r w:rsidRPr="0006052B">
        <w:rPr>
          <w:color w:val="auto"/>
        </w:rPr>
        <w:t>(16 weeks to 18 months as compared to puppies in breeding establishments),</w:t>
      </w:r>
      <w:r w:rsidR="00E17DB9" w:rsidRPr="0006052B">
        <w:rPr>
          <w:color w:val="auto"/>
        </w:rPr>
        <w:t xml:space="preserve"> </w:t>
      </w:r>
      <w:r w:rsidR="0006052B" w:rsidRPr="0006052B">
        <w:rPr>
          <w:color w:val="auto"/>
        </w:rPr>
        <w:t>c</w:t>
      </w:r>
      <w:r w:rsidR="00E17DB9" w:rsidRPr="0006052B">
        <w:rPr>
          <w:color w:val="auto"/>
        </w:rPr>
        <w:t>ould</w:t>
      </w:r>
      <w:r w:rsidR="0006052B" w:rsidRPr="0006052B">
        <w:rPr>
          <w:color w:val="auto"/>
        </w:rPr>
        <w:t xml:space="preserve"> lead to</w:t>
      </w:r>
      <w:r w:rsidR="007238AD" w:rsidRPr="0006052B">
        <w:rPr>
          <w:color w:val="auto"/>
        </w:rPr>
        <w:t xml:space="preserve"> a reduction in overall welfare</w:t>
      </w:r>
      <w:r w:rsidR="008C1020" w:rsidRPr="0006052B">
        <w:rPr>
          <w:color w:val="auto"/>
        </w:rPr>
        <w:t xml:space="preserve"> of</w:t>
      </w:r>
      <w:r w:rsidR="007238AD" w:rsidRPr="0006052B">
        <w:rPr>
          <w:color w:val="auto"/>
        </w:rPr>
        <w:t xml:space="preserve"> the greyhound</w:t>
      </w:r>
      <w:r w:rsidR="008C1020" w:rsidRPr="0006052B">
        <w:rPr>
          <w:color w:val="auto"/>
        </w:rPr>
        <w:t>s</w:t>
      </w:r>
      <w:r w:rsidR="0006052B" w:rsidRPr="0006052B">
        <w:rPr>
          <w:color w:val="auto"/>
        </w:rPr>
        <w:t xml:space="preserve">. This reduction in welfare would be directly related to; </w:t>
      </w:r>
      <w:r w:rsidR="008C1020" w:rsidRPr="0006052B">
        <w:rPr>
          <w:color w:val="auto"/>
        </w:rPr>
        <w:t>delays i</w:t>
      </w:r>
      <w:r w:rsidR="0006052B" w:rsidRPr="0006052B">
        <w:rPr>
          <w:color w:val="auto"/>
        </w:rPr>
        <w:t>n identifying illness or injury;</w:t>
      </w:r>
      <w:r w:rsidR="008C1020" w:rsidRPr="0006052B">
        <w:rPr>
          <w:color w:val="auto"/>
        </w:rPr>
        <w:t xml:space="preserve"> reduced enrichment and socialisation</w:t>
      </w:r>
      <w:r w:rsidR="0006052B" w:rsidRPr="0006052B">
        <w:rPr>
          <w:color w:val="auto"/>
        </w:rPr>
        <w:t>;</w:t>
      </w:r>
      <w:r w:rsidR="008C1020" w:rsidRPr="0006052B">
        <w:rPr>
          <w:color w:val="auto"/>
        </w:rPr>
        <w:t xml:space="preserve"> the development of behavioural stereotypies</w:t>
      </w:r>
      <w:r w:rsidR="0006052B" w:rsidRPr="0006052B">
        <w:rPr>
          <w:color w:val="auto"/>
        </w:rPr>
        <w:t>;</w:t>
      </w:r>
      <w:r w:rsidR="008C1020" w:rsidRPr="0006052B">
        <w:rPr>
          <w:color w:val="auto"/>
        </w:rPr>
        <w:t xml:space="preserve"> a reduction in establishment hygiene</w:t>
      </w:r>
      <w:r w:rsidR="0006052B" w:rsidRPr="0006052B">
        <w:rPr>
          <w:color w:val="auto"/>
        </w:rPr>
        <w:t>; and</w:t>
      </w:r>
      <w:r w:rsidR="008C1020" w:rsidRPr="0006052B">
        <w:rPr>
          <w:color w:val="auto"/>
        </w:rPr>
        <w:t xml:space="preserve"> poo</w:t>
      </w:r>
      <w:r w:rsidR="0006052B" w:rsidRPr="0006052B">
        <w:rPr>
          <w:color w:val="auto"/>
        </w:rPr>
        <w:t xml:space="preserve">r record keeping. Further, reduced human interaction may impact on the </w:t>
      </w:r>
      <w:r w:rsidR="00B10C40">
        <w:rPr>
          <w:color w:val="auto"/>
        </w:rPr>
        <w:t xml:space="preserve">greyhound’s rehoming potential </w:t>
      </w:r>
      <w:r w:rsidR="0006052B" w:rsidRPr="0006052B">
        <w:rPr>
          <w:color w:val="auto"/>
        </w:rPr>
        <w:t>and ability to cope with the racetrack environment.</w:t>
      </w:r>
      <w:r w:rsidR="007B521C">
        <w:rPr>
          <w:color w:val="auto"/>
        </w:rPr>
        <w:t xml:space="preserve"> </w:t>
      </w:r>
    </w:p>
    <w:p w:rsidR="00302CA9" w:rsidRPr="00302CA9" w:rsidRDefault="00302CA9" w:rsidP="00302CA9">
      <w:pPr>
        <w:widowControl w:val="0"/>
        <w:tabs>
          <w:tab w:val="left" w:pos="220"/>
          <w:tab w:val="left" w:pos="720"/>
        </w:tabs>
        <w:autoSpaceDE w:val="0"/>
        <w:autoSpaceDN w:val="0"/>
        <w:adjustRightInd w:val="0"/>
        <w:jc w:val="both"/>
        <w:rPr>
          <w:sz w:val="20"/>
          <w:szCs w:val="20"/>
        </w:rPr>
      </w:pPr>
      <w:bookmarkStart w:id="119" w:name="_Toc469529172"/>
      <w:bookmarkStart w:id="120" w:name="_Toc477190190"/>
    </w:p>
    <w:p w:rsidR="00F36A59" w:rsidRDefault="00F36A59" w:rsidP="005E307C">
      <w:pPr>
        <w:pStyle w:val="Heading3"/>
      </w:pPr>
      <w:r>
        <w:t>4.2.3 Alternative to GAP reform</w:t>
      </w:r>
      <w:bookmarkEnd w:id="119"/>
      <w:bookmarkEnd w:id="120"/>
    </w:p>
    <w:p w:rsidR="00264592" w:rsidRDefault="00F36A59" w:rsidP="008744B2">
      <w:pPr>
        <w:widowControl w:val="0"/>
        <w:tabs>
          <w:tab w:val="left" w:pos="220"/>
          <w:tab w:val="left" w:pos="720"/>
        </w:tabs>
        <w:autoSpaceDE w:val="0"/>
        <w:autoSpaceDN w:val="0"/>
        <w:adjustRightInd w:val="0"/>
        <w:jc w:val="both"/>
      </w:pPr>
      <w:r>
        <w:t>One potential unintended consequence of the GAP reform and transfer of the rehabilitation responsibility onto owners is the potential for owners to euthanase their dogs (@ $120 per dog</w:t>
      </w:r>
      <w:r w:rsidR="00264592">
        <w:rPr>
          <w:rStyle w:val="FootnoteReference"/>
        </w:rPr>
        <w:footnoteReference w:id="111"/>
      </w:r>
      <w:r>
        <w:t>) as opposed to rehabilitate them (@$556/per dog</w:t>
      </w:r>
      <w:r w:rsidR="00264592">
        <w:rPr>
          <w:rStyle w:val="FootnoteReference"/>
        </w:rPr>
        <w:footnoteReference w:id="112"/>
      </w:r>
      <w:r>
        <w:t>)</w:t>
      </w:r>
      <w:r w:rsidR="00264592">
        <w:t>,</w:t>
      </w:r>
      <w:r>
        <w:t xml:space="preserve"> as well as</w:t>
      </w:r>
      <w:r w:rsidR="00264592">
        <w:t>,</w:t>
      </w:r>
      <w:r>
        <w:t xml:space="preserve"> </w:t>
      </w:r>
      <w:r w:rsidR="00264592">
        <w:t>rehome</w:t>
      </w:r>
      <w:r>
        <w:t xml:space="preserve"> them (</w:t>
      </w:r>
      <w:r w:rsidR="00264592">
        <w:t>@</w:t>
      </w:r>
      <w:r>
        <w:t>$300/per dog</w:t>
      </w:r>
      <w:r w:rsidR="00264592">
        <w:rPr>
          <w:rStyle w:val="FootnoteReference"/>
        </w:rPr>
        <w:footnoteReference w:id="113"/>
      </w:r>
      <w:r>
        <w:t>)</w:t>
      </w:r>
      <w:r w:rsidR="00264592">
        <w:t>.</w:t>
      </w:r>
      <w:r w:rsidR="007B521C">
        <w:t xml:space="preserve"> </w:t>
      </w:r>
      <w:r w:rsidR="00264592">
        <w:t xml:space="preserve">The cumulative effect would therefore be </w:t>
      </w:r>
      <w:r w:rsidR="00264592" w:rsidRPr="000E079A">
        <w:rPr>
          <w:i/>
        </w:rPr>
        <w:t>$856 per dog</w:t>
      </w:r>
      <w:r w:rsidR="00264592">
        <w:t>.</w:t>
      </w:r>
      <w:r w:rsidR="007B521C">
        <w:t xml:space="preserve"> </w:t>
      </w:r>
      <w:r w:rsidR="00264592">
        <w:t>Owners may pay attention to this</w:t>
      </w:r>
      <w:r w:rsidR="000E079A">
        <w:t xml:space="preserve"> cumulative effect</w:t>
      </w:r>
      <w:r w:rsidR="00264592">
        <w:t xml:space="preserve"> as opposed to considering the ‘net effect’ of the reform to the GAP program</w:t>
      </w:r>
      <w:r w:rsidR="000E079A">
        <w:t xml:space="preserve"> and any cost savings from the reform</w:t>
      </w:r>
      <w:r w:rsidR="00264592">
        <w:t xml:space="preserve"> (i.e. a net incremental cost of $2.55m</w:t>
      </w:r>
      <w:r w:rsidR="00264592">
        <w:rPr>
          <w:rStyle w:val="FootnoteReference"/>
        </w:rPr>
        <w:footnoteReference w:id="114"/>
      </w:r>
      <w:r w:rsidR="00264592">
        <w:t xml:space="preserve"> per annum against 4,925 dogs or </w:t>
      </w:r>
      <w:r w:rsidR="00264592" w:rsidRPr="000E079A">
        <w:rPr>
          <w:i/>
        </w:rPr>
        <w:t>$518.44 per dog</w:t>
      </w:r>
      <w:r w:rsidR="00BC0CB6">
        <w:rPr>
          <w:rStyle w:val="FootnoteReference"/>
          <w:i/>
        </w:rPr>
        <w:footnoteReference w:id="115"/>
      </w:r>
      <w:r w:rsidR="00264592">
        <w:t>).</w:t>
      </w:r>
      <w:r w:rsidR="00D62A61">
        <w:t xml:space="preserve"> As discussed in </w:t>
      </w:r>
      <w:r w:rsidR="00D62A61">
        <w:lastRenderedPageBreak/>
        <w:t xml:space="preserve">Section 1.2 in this RIS, according to GRV the average price of a greyhound in a 2014 auction in Bendigo was $5,800. The </w:t>
      </w:r>
      <w:r w:rsidR="00DA6504">
        <w:t>‘</w:t>
      </w:r>
      <w:r w:rsidR="00D62A61">
        <w:t>cumulative</w:t>
      </w:r>
      <w:r w:rsidR="00DA6504">
        <w:t>’</w:t>
      </w:r>
      <w:r w:rsidR="00D62A61">
        <w:t xml:space="preserve"> and </w:t>
      </w:r>
      <w:r w:rsidR="00DA6504">
        <w:t>‘</w:t>
      </w:r>
      <w:r w:rsidR="00D62A61">
        <w:t>net</w:t>
      </w:r>
      <w:r w:rsidR="00DA6504">
        <w:t>’</w:t>
      </w:r>
      <w:r w:rsidR="00D62A61">
        <w:t xml:space="preserve"> effects </w:t>
      </w:r>
      <w:r w:rsidR="00DA6504">
        <w:t xml:space="preserve">of the GAP program reforms </w:t>
      </w:r>
      <w:r w:rsidR="00D62A61">
        <w:t>would represent 14.75% and 8.9% of this average price, respectively.</w:t>
      </w:r>
    </w:p>
    <w:p w:rsidR="00264592" w:rsidRDefault="00264592" w:rsidP="008744B2">
      <w:pPr>
        <w:widowControl w:val="0"/>
        <w:tabs>
          <w:tab w:val="left" w:pos="220"/>
          <w:tab w:val="left" w:pos="720"/>
        </w:tabs>
        <w:autoSpaceDE w:val="0"/>
        <w:autoSpaceDN w:val="0"/>
        <w:adjustRightInd w:val="0"/>
        <w:jc w:val="both"/>
      </w:pPr>
    </w:p>
    <w:p w:rsidR="00F36A59" w:rsidRDefault="00264592" w:rsidP="008744B2">
      <w:pPr>
        <w:widowControl w:val="0"/>
        <w:tabs>
          <w:tab w:val="left" w:pos="220"/>
          <w:tab w:val="left" w:pos="720"/>
        </w:tabs>
        <w:autoSpaceDE w:val="0"/>
        <w:autoSpaceDN w:val="0"/>
        <w:adjustRightInd w:val="0"/>
        <w:jc w:val="both"/>
      </w:pPr>
      <w:r w:rsidRPr="0033595E">
        <w:t>However, such unintended consequences are not likely to occur as the owner would have to provide a 14-day notification to GRV before euthanasia</w:t>
      </w:r>
      <w:r w:rsidR="009C0FDE" w:rsidRPr="0033595E">
        <w:rPr>
          <w:rStyle w:val="FootnoteReference"/>
        </w:rPr>
        <w:footnoteReference w:id="116"/>
      </w:r>
      <w:r w:rsidRPr="0033595E">
        <w:t xml:space="preserve"> was </w:t>
      </w:r>
      <w:r w:rsidR="0033595E">
        <w:t>carried out</w:t>
      </w:r>
      <w:r w:rsidRPr="0033595E">
        <w:t xml:space="preserve"> and</w:t>
      </w:r>
      <w:r w:rsidR="0033595E">
        <w:t xml:space="preserve"> euthanasia</w:t>
      </w:r>
      <w:r w:rsidRPr="0033595E">
        <w:t xml:space="preserve"> could only </w:t>
      </w:r>
      <w:r w:rsidR="0033595E">
        <w:t>occur</w:t>
      </w:r>
      <w:r w:rsidRPr="0033595E">
        <w:t xml:space="preserve"> with a veterinary certificate.</w:t>
      </w:r>
      <w:r w:rsidR="007B521C">
        <w:t xml:space="preserve"> </w:t>
      </w:r>
      <w:r w:rsidR="008A6453" w:rsidRPr="0033595E">
        <w:t>Whilst e</w:t>
      </w:r>
      <w:r w:rsidR="00706059" w:rsidRPr="0033595E">
        <w:t>uthanasia is allowed</w:t>
      </w:r>
      <w:r w:rsidR="008A6453" w:rsidRPr="0033595E">
        <w:t>,</w:t>
      </w:r>
      <w:r w:rsidR="00706059" w:rsidRPr="0033595E">
        <w:t xml:space="preserve"> the 14-day notification means that GRV has the chance to recomm</w:t>
      </w:r>
      <w:r w:rsidR="009C0FDE" w:rsidRPr="0033595E">
        <w:t>end rehoming and rehabilitation</w:t>
      </w:r>
      <w:r w:rsidR="009A5DEC" w:rsidRPr="0033595E">
        <w:t xml:space="preserve"> options</w:t>
      </w:r>
      <w:r w:rsidR="009C0FDE" w:rsidRPr="0033595E">
        <w:t>.</w:t>
      </w:r>
      <w:r w:rsidR="007B521C">
        <w:t xml:space="preserve"> </w:t>
      </w:r>
      <w:r w:rsidR="009A5DEC" w:rsidRPr="0033595E">
        <w:t>T</w:t>
      </w:r>
      <w:r w:rsidR="00706059" w:rsidRPr="0033595E">
        <w:t xml:space="preserve">he owner may still choose to euthanase a dog humanely for non-medical reasons or where dogs do </w:t>
      </w:r>
      <w:r w:rsidR="00747BBF">
        <w:t>n</w:t>
      </w:r>
      <w:r w:rsidR="00706059" w:rsidRPr="0033595E">
        <w:t xml:space="preserve">ot have behavioural concerns or stress </w:t>
      </w:r>
      <w:r w:rsidR="009C0FDE" w:rsidRPr="0033595E">
        <w:rPr>
          <w:i/>
        </w:rPr>
        <w:t xml:space="preserve">if and </w:t>
      </w:r>
      <w:r w:rsidR="00706059" w:rsidRPr="0033595E">
        <w:rPr>
          <w:i/>
        </w:rPr>
        <w:t>only if</w:t>
      </w:r>
      <w:r w:rsidR="00706059" w:rsidRPr="0033595E">
        <w:t xml:space="preserve"> rehoming options have been exhausted (See Section 6.3.13 of the proposed Code). Participants </w:t>
      </w:r>
      <w:r w:rsidR="009A5DEC" w:rsidRPr="0033595E">
        <w:t>are</w:t>
      </w:r>
      <w:r w:rsidR="00706059" w:rsidRPr="0033595E">
        <w:t xml:space="preserve"> unlikely to try to save $736 (cumulative cost) per dog or $398.44 (marginal cost) per dog to risk being in </w:t>
      </w:r>
      <w:r w:rsidR="009C0FDE" w:rsidRPr="0033595E">
        <w:t>breach of the proposed Code</w:t>
      </w:r>
      <w:r w:rsidR="009A5DEC" w:rsidRPr="0033595E">
        <w:t>.</w:t>
      </w:r>
      <w:r w:rsidR="009C0FDE" w:rsidRPr="0033595E">
        <w:t xml:space="preserve"> </w:t>
      </w:r>
      <w:r w:rsidR="009A5DEC" w:rsidRPr="0033595E">
        <w:t>Any Code breach can</w:t>
      </w:r>
      <w:r w:rsidR="009C0FDE" w:rsidRPr="0033595E">
        <w:t xml:space="preserve"> incur</w:t>
      </w:r>
      <w:r w:rsidR="00B97E2C" w:rsidRPr="0033595E">
        <w:t xml:space="preserve"> a fine of up to</w:t>
      </w:r>
      <w:r w:rsidR="009A5DEC" w:rsidRPr="0033595E">
        <w:t xml:space="preserve"> either</w:t>
      </w:r>
      <w:r w:rsidR="00706059" w:rsidRPr="0033595E">
        <w:t xml:space="preserve"> 246 penalty units </w:t>
      </w:r>
      <w:r w:rsidR="00B97E2C" w:rsidRPr="0033595E">
        <w:t>(</w:t>
      </w:r>
      <w:r w:rsidR="00706059" w:rsidRPr="0033595E">
        <w:t xml:space="preserve">for </w:t>
      </w:r>
      <w:r w:rsidR="009C0FDE" w:rsidRPr="0033595E">
        <w:t xml:space="preserve">an </w:t>
      </w:r>
      <w:r w:rsidR="00706059" w:rsidRPr="0033595E">
        <w:t>individual</w:t>
      </w:r>
      <w:r w:rsidR="00B97E2C" w:rsidRPr="0033595E">
        <w:t>)</w:t>
      </w:r>
      <w:r w:rsidR="00706059" w:rsidRPr="0033595E">
        <w:t xml:space="preserve"> or 600</w:t>
      </w:r>
      <w:r w:rsidR="00B97E2C" w:rsidRPr="0033595E">
        <w:t xml:space="preserve"> penalty units</w:t>
      </w:r>
      <w:r w:rsidR="00706059" w:rsidRPr="0033595E">
        <w:t xml:space="preserve"> </w:t>
      </w:r>
      <w:r w:rsidR="00B97E2C" w:rsidRPr="0033595E">
        <w:t>(</w:t>
      </w:r>
      <w:r w:rsidR="009C0FDE" w:rsidRPr="0033595E">
        <w:t xml:space="preserve">for a </w:t>
      </w:r>
      <w:r w:rsidR="00706059" w:rsidRPr="0033595E">
        <w:t>body corporate</w:t>
      </w:r>
      <w:r w:rsidR="00B97E2C" w:rsidRPr="0033595E">
        <w:t>)</w:t>
      </w:r>
      <w:r w:rsidR="009C0FDE" w:rsidRPr="0033595E">
        <w:rPr>
          <w:rStyle w:val="FootnoteReference"/>
        </w:rPr>
        <w:footnoteReference w:id="117"/>
      </w:r>
      <w:r w:rsidR="00706059" w:rsidRPr="0033595E">
        <w:t>.</w:t>
      </w:r>
      <w:r w:rsidR="007B521C">
        <w:t xml:space="preserve"> </w:t>
      </w:r>
      <w:r w:rsidR="00706059" w:rsidRPr="0033595E">
        <w:t>T</w:t>
      </w:r>
      <w:r w:rsidRPr="0033595E">
        <w:t xml:space="preserve">he likelihood of misadventure is </w:t>
      </w:r>
      <w:r w:rsidR="00706059" w:rsidRPr="0033595E">
        <w:t xml:space="preserve">therefore </w:t>
      </w:r>
      <w:r w:rsidRPr="0033595E">
        <w:t xml:space="preserve">considered </w:t>
      </w:r>
      <w:r w:rsidR="00706059" w:rsidRPr="0033595E">
        <w:t xml:space="preserve">by DEDJTR </w:t>
      </w:r>
      <w:r w:rsidRPr="0033595E">
        <w:t>to be low and therefore an alternative</w:t>
      </w:r>
      <w:r w:rsidR="000E079A" w:rsidRPr="0033595E">
        <w:t xml:space="preserve"> option</w:t>
      </w:r>
      <w:r w:rsidRPr="0033595E">
        <w:t xml:space="preserve"> </w:t>
      </w:r>
      <w:r w:rsidR="002A5FEF" w:rsidRPr="0033595E">
        <w:t xml:space="preserve">around GAP reform </w:t>
      </w:r>
      <w:r w:rsidRPr="0033595E">
        <w:t>has not been considered.</w:t>
      </w:r>
    </w:p>
    <w:p w:rsidR="00F36A59" w:rsidRDefault="00F36A59" w:rsidP="008744B2">
      <w:pPr>
        <w:widowControl w:val="0"/>
        <w:tabs>
          <w:tab w:val="left" w:pos="220"/>
          <w:tab w:val="left" w:pos="720"/>
        </w:tabs>
        <w:autoSpaceDE w:val="0"/>
        <w:autoSpaceDN w:val="0"/>
        <w:adjustRightInd w:val="0"/>
        <w:jc w:val="both"/>
      </w:pPr>
    </w:p>
    <w:p w:rsidR="00627A36" w:rsidRDefault="00F36A59" w:rsidP="005E307C">
      <w:pPr>
        <w:pStyle w:val="Heading3"/>
      </w:pPr>
      <w:bookmarkStart w:id="121" w:name="_Toc469529173"/>
      <w:bookmarkStart w:id="122" w:name="_Toc477190191"/>
      <w:r>
        <w:t>4.2.4</w:t>
      </w:r>
      <w:r w:rsidR="00627A36">
        <w:t xml:space="preserve"> Perimeter fencing</w:t>
      </w:r>
      <w:bookmarkEnd w:id="121"/>
      <w:bookmarkEnd w:id="122"/>
    </w:p>
    <w:p w:rsidR="00627A36" w:rsidRDefault="00627A36" w:rsidP="00055CC7">
      <w:pPr>
        <w:widowControl w:val="0"/>
        <w:tabs>
          <w:tab w:val="left" w:pos="220"/>
          <w:tab w:val="left" w:pos="720"/>
        </w:tabs>
        <w:autoSpaceDE w:val="0"/>
        <w:autoSpaceDN w:val="0"/>
        <w:adjustRightInd w:val="0"/>
        <w:jc w:val="both"/>
      </w:pPr>
      <w:r>
        <w:t xml:space="preserve">An alternative option around perimeter property fencing (proposed standard 6.6.4) with 1.8m minimum height (amount required </w:t>
      </w:r>
      <w:r w:rsidR="005707A7">
        <w:t xml:space="preserve">in </w:t>
      </w:r>
      <w:r>
        <w:t>the current Breeding Code) as opposed to the proposed standard of 1.5m minimum height was initially considered (with an estimated one-off</w:t>
      </w:r>
      <w:r w:rsidR="000A0249">
        <w:t xml:space="preserve"> cost of $11.18m (see Table</w:t>
      </w:r>
      <w:r w:rsidR="00DF086B">
        <w:t xml:space="preserve"> 18</w:t>
      </w:r>
      <w:r>
        <w:t>).</w:t>
      </w:r>
      <w:r w:rsidR="007B521C">
        <w:t xml:space="preserve"> </w:t>
      </w:r>
      <w:r>
        <w:t>However, both approaches were seen to result in identical effectiveness in preventing a greyhound from getting out of the premises and minimising negative welfare consequences of such events.</w:t>
      </w:r>
      <w:r w:rsidR="007B521C">
        <w:t xml:space="preserve"> </w:t>
      </w:r>
      <w:r>
        <w:t>A 1.5m height fence under the proposed standard would not be as effective as a 1.8m height fence, in preventing animals</w:t>
      </w:r>
      <w:r w:rsidR="00DF086B">
        <w:t xml:space="preserve"> or people from entering the </w:t>
      </w:r>
      <w:r w:rsidR="000A0249">
        <w:t>premises</w:t>
      </w:r>
      <w:r>
        <w:t>.</w:t>
      </w:r>
      <w:r w:rsidR="007B521C">
        <w:t xml:space="preserve"> </w:t>
      </w:r>
      <w:r>
        <w:t>The welfare consequences to either greyhounds or individuals/other dogs might be high</w:t>
      </w:r>
      <w:r w:rsidR="00C31C6C">
        <w:t>,</w:t>
      </w:r>
      <w:r>
        <w:t xml:space="preserve"> however the likelihood of such an event occurring is negligible and therefore not worth considering as an alternative option.</w:t>
      </w:r>
    </w:p>
    <w:p w:rsidR="00627A36" w:rsidRDefault="00627A36" w:rsidP="00627A36">
      <w:pPr>
        <w:widowControl w:val="0"/>
        <w:tabs>
          <w:tab w:val="left" w:pos="220"/>
          <w:tab w:val="left" w:pos="720"/>
        </w:tabs>
        <w:autoSpaceDE w:val="0"/>
        <w:autoSpaceDN w:val="0"/>
        <w:adjustRightInd w:val="0"/>
        <w:ind w:left="60"/>
        <w:jc w:val="both"/>
      </w:pPr>
    </w:p>
    <w:p w:rsidR="00627A36" w:rsidRDefault="00F36A59" w:rsidP="005E307C">
      <w:pPr>
        <w:pStyle w:val="Heading3"/>
      </w:pPr>
      <w:bookmarkStart w:id="123" w:name="_Toc469529174"/>
      <w:bookmarkStart w:id="124" w:name="_Toc477190192"/>
      <w:r>
        <w:t>4.2.5</w:t>
      </w:r>
      <w:r w:rsidR="00627A36">
        <w:t xml:space="preserve"> Kennels</w:t>
      </w:r>
      <w:bookmarkEnd w:id="123"/>
      <w:bookmarkEnd w:id="124"/>
    </w:p>
    <w:p w:rsidR="00E93B3A" w:rsidRDefault="00627A36" w:rsidP="008A02E4">
      <w:pPr>
        <w:widowControl w:val="0"/>
        <w:tabs>
          <w:tab w:val="left" w:pos="220"/>
          <w:tab w:val="left" w:pos="720"/>
        </w:tabs>
        <w:autoSpaceDE w:val="0"/>
        <w:autoSpaceDN w:val="0"/>
        <w:adjustRightInd w:val="0"/>
        <w:jc w:val="both"/>
      </w:pPr>
      <w:r>
        <w:t>With regards to outdoor or indoor kennels (under proposed standards 6.6.5 and 6.6.6), issues of alternative pen sizes have not been taken into consideration as a basis of having alternative options for the following reasons.</w:t>
      </w:r>
      <w:r w:rsidR="007B521C">
        <w:t xml:space="preserve"> </w:t>
      </w:r>
      <w:r>
        <w:t xml:space="preserve">Firstly, with regards to outdoor kennels under proposed standard 6.6.5, the </w:t>
      </w:r>
      <w:r w:rsidR="000E079A">
        <w:t xml:space="preserve">one-off cost </w:t>
      </w:r>
      <w:r w:rsidR="000B29C9">
        <w:t xml:space="preserve">of construction of a dwelling is </w:t>
      </w:r>
      <w:r w:rsidR="000E079A">
        <w:t>estimated to be $7.</w:t>
      </w:r>
      <w:r>
        <w:t>71</w:t>
      </w:r>
      <w:r w:rsidR="000E079A">
        <w:t>m</w:t>
      </w:r>
      <w:r>
        <w:t xml:space="preserve"> (see </w:t>
      </w:r>
      <w:r w:rsidR="000E079A">
        <w:t>Table</w:t>
      </w:r>
      <w:r w:rsidR="00DF086B">
        <w:t xml:space="preserve"> 18</w:t>
      </w:r>
      <w:r>
        <w:t>) is driven by the need to provide a relevant group of affected dogs that are housed outside with adequate shelter/shade etc. as opposed to minimum pen sizes.</w:t>
      </w:r>
      <w:r w:rsidR="007B521C">
        <w:t xml:space="preserve"> </w:t>
      </w:r>
      <w:r>
        <w:t>Considering an option which does not provide for adequate outdoor housing would fail to meet the objectives of welfare and rehoming potential for around 2,706 dogs.</w:t>
      </w:r>
      <w:r w:rsidR="007B521C">
        <w:t xml:space="preserve"> </w:t>
      </w:r>
      <w:r>
        <w:t>Secondly, with regards to indoor kennels under proposed standard 6.6.6, the one-off estimated cost of meeting requirements for solid partitions to a height of 1.5m on three sides for sleeping areas for around 3,374 dogs, is estimated to be only $</w:t>
      </w:r>
      <w:r w:rsidR="000E079A">
        <w:t>0.09m</w:t>
      </w:r>
      <w:r>
        <w:t xml:space="preserve"> (see </w:t>
      </w:r>
      <w:r w:rsidR="000E079A">
        <w:t>Table</w:t>
      </w:r>
      <w:r w:rsidR="00DF086B">
        <w:t xml:space="preserve"> 18</w:t>
      </w:r>
      <w:r>
        <w:t xml:space="preserve">) and considered to be </w:t>
      </w:r>
      <w:r w:rsidR="00E02BFF">
        <w:t xml:space="preserve">a negligible cost under </w:t>
      </w:r>
      <w:r>
        <w:t>the proposed Code.</w:t>
      </w:r>
      <w:r w:rsidR="007B521C">
        <w:t xml:space="preserve"> </w:t>
      </w:r>
      <w:r>
        <w:t xml:space="preserve">Therefore, alternative options around this proposed standard </w:t>
      </w:r>
      <w:r w:rsidR="000E079A">
        <w:t xml:space="preserve">have not been </w:t>
      </w:r>
      <w:r>
        <w:t>considered.</w:t>
      </w:r>
    </w:p>
    <w:p w:rsidR="00BE5930" w:rsidRDefault="00BE5930">
      <w:pPr>
        <w:rPr>
          <w:rFonts w:asciiTheme="majorHAnsi" w:eastAsiaTheme="majorEastAsia" w:hAnsiTheme="majorHAnsi" w:cstheme="majorBidi"/>
          <w:color w:val="1F497D" w:themeColor="text2"/>
          <w:sz w:val="32"/>
          <w:szCs w:val="32"/>
        </w:rPr>
      </w:pPr>
      <w:r>
        <w:br w:type="page"/>
      </w:r>
    </w:p>
    <w:p w:rsidR="00620946" w:rsidRDefault="00620946" w:rsidP="005F3125">
      <w:pPr>
        <w:pStyle w:val="Heading1"/>
      </w:pPr>
      <w:bookmarkStart w:id="125" w:name="_Toc456126063"/>
      <w:bookmarkStart w:id="126" w:name="_Toc469529175"/>
      <w:bookmarkStart w:id="127" w:name="_Toc477190193"/>
      <w:r w:rsidRPr="00070EEF">
        <w:lastRenderedPageBreak/>
        <w:t xml:space="preserve">Section </w:t>
      </w:r>
      <w:r>
        <w:t>5</w:t>
      </w:r>
      <w:r w:rsidRPr="00070EEF">
        <w:t xml:space="preserve"> </w:t>
      </w:r>
      <w:r>
        <w:t>Costs and benefits of options</w:t>
      </w:r>
      <w:bookmarkEnd w:id="125"/>
      <w:r w:rsidR="00520740">
        <w:t xml:space="preserve"> 1 to </w:t>
      </w:r>
      <w:r w:rsidR="00E779FB">
        <w:t>6</w:t>
      </w:r>
      <w:bookmarkEnd w:id="126"/>
      <w:bookmarkEnd w:id="127"/>
    </w:p>
    <w:p w:rsidR="00585C2F" w:rsidRPr="005F3BA9" w:rsidRDefault="00D4445D" w:rsidP="00D4445D">
      <w:pPr>
        <w:pStyle w:val="Heading2"/>
        <w:rPr>
          <w:lang w:eastAsia="en-AU"/>
        </w:rPr>
      </w:pPr>
      <w:bookmarkStart w:id="128" w:name="_Toc469529176"/>
      <w:bookmarkStart w:id="129" w:name="_Toc477190194"/>
      <w:r w:rsidRPr="005F3BA9">
        <w:rPr>
          <w:lang w:eastAsia="en-AU"/>
        </w:rPr>
        <w:t xml:space="preserve">5.1 Introduction </w:t>
      </w:r>
      <w:r w:rsidR="00797BC5" w:rsidRPr="005F3BA9">
        <w:rPr>
          <w:lang w:eastAsia="en-AU"/>
        </w:rPr>
        <w:t xml:space="preserve">and </w:t>
      </w:r>
      <w:r w:rsidRPr="005F3BA9">
        <w:rPr>
          <w:lang w:eastAsia="en-AU"/>
        </w:rPr>
        <w:t xml:space="preserve">cost benefit </w:t>
      </w:r>
      <w:r w:rsidR="00797BC5" w:rsidRPr="005F3BA9">
        <w:rPr>
          <w:lang w:eastAsia="en-AU"/>
        </w:rPr>
        <w:t>approach</w:t>
      </w:r>
      <w:bookmarkEnd w:id="128"/>
      <w:bookmarkEnd w:id="129"/>
    </w:p>
    <w:p w:rsidR="00585C2F" w:rsidRDefault="00585C2F" w:rsidP="00620946">
      <w:pPr>
        <w:pStyle w:val="BodyText20"/>
        <w:rPr>
          <w:rFonts w:ascii="Calibri" w:hAnsi="Calibri"/>
          <w:sz w:val="22"/>
          <w:szCs w:val="22"/>
        </w:rPr>
      </w:pPr>
      <w:r>
        <w:rPr>
          <w:rFonts w:ascii="Calibri" w:hAnsi="Calibri" w:cs="Courier New"/>
          <w:sz w:val="22"/>
          <w:szCs w:val="22"/>
          <w:lang w:eastAsia="en-AU"/>
        </w:rPr>
        <w:t xml:space="preserve">The purpose of </w:t>
      </w:r>
      <w:r w:rsidR="00620946">
        <w:rPr>
          <w:rFonts w:ascii="Calibri" w:hAnsi="Calibri" w:cs="Courier New"/>
          <w:sz w:val="22"/>
          <w:szCs w:val="22"/>
          <w:lang w:eastAsia="en-AU"/>
        </w:rPr>
        <w:t xml:space="preserve">Section 5 of the RIS </w:t>
      </w:r>
      <w:r>
        <w:rPr>
          <w:rFonts w:ascii="Calibri" w:hAnsi="Calibri" w:cs="Courier New"/>
          <w:sz w:val="22"/>
          <w:szCs w:val="22"/>
          <w:lang w:eastAsia="en-AU"/>
        </w:rPr>
        <w:t xml:space="preserve">is </w:t>
      </w:r>
      <w:r w:rsidR="00620946">
        <w:rPr>
          <w:rFonts w:ascii="Calibri" w:hAnsi="Calibri" w:cs="Courier New"/>
          <w:sz w:val="22"/>
          <w:szCs w:val="22"/>
          <w:lang w:eastAsia="en-AU"/>
        </w:rPr>
        <w:t xml:space="preserve">to </w:t>
      </w:r>
      <w:r w:rsidR="00620946" w:rsidRPr="00706A78">
        <w:rPr>
          <w:rFonts w:ascii="Calibri" w:hAnsi="Calibri" w:cs="Courier New"/>
          <w:sz w:val="22"/>
          <w:szCs w:val="22"/>
          <w:lang w:eastAsia="en-AU"/>
        </w:rPr>
        <w:t xml:space="preserve">compare and contrast the costs and benefits of the proposed </w:t>
      </w:r>
      <w:r w:rsidR="00620946">
        <w:rPr>
          <w:rFonts w:ascii="Calibri" w:hAnsi="Calibri" w:cs="Courier New"/>
          <w:sz w:val="22"/>
          <w:szCs w:val="22"/>
          <w:lang w:eastAsia="en-AU"/>
        </w:rPr>
        <w:t xml:space="preserve">code and alternative options </w:t>
      </w:r>
      <w:r w:rsidR="00620946" w:rsidRPr="00706A78">
        <w:rPr>
          <w:rFonts w:ascii="Calibri" w:hAnsi="Calibri" w:cs="Courier New"/>
          <w:sz w:val="22"/>
          <w:szCs w:val="22"/>
          <w:lang w:eastAsia="en-AU"/>
        </w:rPr>
        <w:t>against the ‘base case’</w:t>
      </w:r>
      <w:r w:rsidR="00620946">
        <w:rPr>
          <w:rFonts w:ascii="Calibri" w:hAnsi="Calibri" w:cs="Courier New"/>
          <w:sz w:val="22"/>
          <w:szCs w:val="22"/>
          <w:lang w:eastAsia="en-AU"/>
        </w:rPr>
        <w:t>,</w:t>
      </w:r>
      <w:r>
        <w:rPr>
          <w:rFonts w:ascii="Calibri" w:hAnsi="Calibri"/>
          <w:sz w:val="22"/>
          <w:szCs w:val="22"/>
        </w:rPr>
        <w:t xml:space="preserve"> as identified in Section 2.4</w:t>
      </w:r>
      <w:r w:rsidR="00620946" w:rsidRPr="006D229E">
        <w:rPr>
          <w:rFonts w:ascii="Calibri" w:hAnsi="Calibri"/>
          <w:sz w:val="22"/>
          <w:szCs w:val="22"/>
        </w:rPr>
        <w:t xml:space="preserve"> of this </w:t>
      </w:r>
      <w:r w:rsidR="00620946">
        <w:rPr>
          <w:rFonts w:ascii="Calibri" w:hAnsi="Calibri"/>
          <w:sz w:val="22"/>
          <w:szCs w:val="22"/>
        </w:rPr>
        <w:t>RIS</w:t>
      </w:r>
      <w:r w:rsidR="00620946" w:rsidRPr="006D229E">
        <w:rPr>
          <w:rFonts w:ascii="Calibri" w:hAnsi="Calibri"/>
          <w:sz w:val="22"/>
          <w:szCs w:val="22"/>
        </w:rPr>
        <w:t>.</w:t>
      </w:r>
      <w:r w:rsidR="007B521C">
        <w:rPr>
          <w:rFonts w:ascii="Calibri" w:hAnsi="Calibri"/>
          <w:sz w:val="22"/>
          <w:szCs w:val="22"/>
        </w:rPr>
        <w:t xml:space="preserve"> </w:t>
      </w:r>
    </w:p>
    <w:p w:rsidR="00585C2F" w:rsidRDefault="00585C2F" w:rsidP="00585C2F">
      <w:pPr>
        <w:pStyle w:val="BodyText20"/>
        <w:rPr>
          <w:rFonts w:ascii="Calibri" w:hAnsi="Calibri"/>
          <w:sz w:val="22"/>
          <w:szCs w:val="22"/>
        </w:rPr>
      </w:pPr>
    </w:p>
    <w:p w:rsidR="00585C2F" w:rsidRDefault="00585C2F" w:rsidP="00585C2F">
      <w:pPr>
        <w:pStyle w:val="BodyText20"/>
        <w:rPr>
          <w:rFonts w:ascii="Calibri" w:hAnsi="Calibri"/>
          <w:sz w:val="22"/>
          <w:szCs w:val="22"/>
        </w:rPr>
      </w:pPr>
      <w:r w:rsidRPr="00585C2F">
        <w:rPr>
          <w:rFonts w:ascii="Calibri" w:hAnsi="Calibri"/>
          <w:sz w:val="22"/>
          <w:szCs w:val="22"/>
        </w:rPr>
        <w:t xml:space="preserve">The evaluation of the relative benefits and costs for the proposed </w:t>
      </w:r>
      <w:r>
        <w:rPr>
          <w:rFonts w:ascii="Calibri" w:hAnsi="Calibri"/>
          <w:sz w:val="22"/>
          <w:szCs w:val="22"/>
        </w:rPr>
        <w:t xml:space="preserve">Code </w:t>
      </w:r>
      <w:r w:rsidRPr="00585C2F">
        <w:rPr>
          <w:rFonts w:ascii="Calibri" w:hAnsi="Calibri"/>
          <w:sz w:val="22"/>
          <w:szCs w:val="22"/>
        </w:rPr>
        <w:t xml:space="preserve">and alternative options is conducted in relation to how well the policy </w:t>
      </w:r>
      <w:r>
        <w:rPr>
          <w:rFonts w:ascii="Calibri" w:hAnsi="Calibri"/>
          <w:sz w:val="22"/>
          <w:szCs w:val="22"/>
        </w:rPr>
        <w:t>objective identified in Section 3</w:t>
      </w:r>
      <w:r w:rsidRPr="00585C2F">
        <w:rPr>
          <w:rFonts w:ascii="Calibri" w:hAnsi="Calibri"/>
          <w:sz w:val="22"/>
          <w:szCs w:val="22"/>
        </w:rPr>
        <w:t xml:space="preserve"> of this </w:t>
      </w:r>
      <w:r>
        <w:rPr>
          <w:rFonts w:ascii="Calibri" w:hAnsi="Calibri"/>
          <w:sz w:val="22"/>
          <w:szCs w:val="22"/>
        </w:rPr>
        <w:t xml:space="preserve">RIS </w:t>
      </w:r>
      <w:r w:rsidRPr="00585C2F">
        <w:rPr>
          <w:rFonts w:ascii="Calibri" w:hAnsi="Calibri"/>
          <w:sz w:val="22"/>
          <w:szCs w:val="22"/>
        </w:rPr>
        <w:t>is likely to be achieved.</w:t>
      </w:r>
      <w:r w:rsidR="007B521C">
        <w:rPr>
          <w:rFonts w:ascii="Calibri" w:hAnsi="Calibri"/>
          <w:sz w:val="22"/>
          <w:szCs w:val="22"/>
        </w:rPr>
        <w:t xml:space="preserve"> </w:t>
      </w:r>
    </w:p>
    <w:p w:rsidR="00585C2F" w:rsidRDefault="00585C2F" w:rsidP="00620946">
      <w:pPr>
        <w:pStyle w:val="BodyText20"/>
        <w:rPr>
          <w:rFonts w:ascii="Calibri" w:hAnsi="Calibri"/>
          <w:sz w:val="22"/>
          <w:szCs w:val="22"/>
        </w:rPr>
      </w:pPr>
    </w:p>
    <w:p w:rsidR="00585C2F" w:rsidRPr="00585C2F" w:rsidRDefault="00585C2F" w:rsidP="00620946">
      <w:pPr>
        <w:pStyle w:val="BodyText20"/>
        <w:rPr>
          <w:rFonts w:ascii="Calibri" w:hAnsi="Calibri"/>
          <w:i/>
          <w:sz w:val="22"/>
          <w:szCs w:val="22"/>
        </w:rPr>
      </w:pPr>
      <w:r w:rsidRPr="00585C2F">
        <w:rPr>
          <w:rFonts w:ascii="Calibri" w:hAnsi="Calibri"/>
          <w:i/>
          <w:sz w:val="22"/>
          <w:szCs w:val="22"/>
        </w:rPr>
        <w:t>To increase (improve) the quality of life and welfare of greyhounds, throughout their lifecycle and provide consistent management and which will alleviate stress to and therefore enable an easy, smooth and rapid, transition to a pet at any time point in its lifecycle.</w:t>
      </w:r>
    </w:p>
    <w:p w:rsidR="00585C2F" w:rsidRDefault="00585C2F" w:rsidP="00620946">
      <w:pPr>
        <w:pStyle w:val="BodyText20"/>
        <w:rPr>
          <w:rFonts w:ascii="Calibri" w:hAnsi="Calibri"/>
          <w:sz w:val="22"/>
          <w:szCs w:val="22"/>
        </w:rPr>
      </w:pPr>
    </w:p>
    <w:p w:rsidR="00585C2F" w:rsidRDefault="00585C2F" w:rsidP="00620946">
      <w:pPr>
        <w:pStyle w:val="BodyText20"/>
        <w:rPr>
          <w:rFonts w:ascii="Calibri" w:hAnsi="Calibri"/>
          <w:sz w:val="22"/>
          <w:szCs w:val="22"/>
        </w:rPr>
      </w:pPr>
      <w:r w:rsidRPr="00585C2F">
        <w:rPr>
          <w:rFonts w:ascii="Calibri" w:hAnsi="Calibri"/>
          <w:sz w:val="22"/>
          <w:szCs w:val="22"/>
        </w:rPr>
        <w:t>Where data exists, discounted</w:t>
      </w:r>
      <w:r w:rsidR="00DD6DAF" w:rsidRPr="005B6015">
        <w:rPr>
          <w:rFonts w:ascii="Calibri" w:hAnsi="Calibri" w:cs="Courier New"/>
          <w:sz w:val="22"/>
          <w:szCs w:val="22"/>
          <w:vertAlign w:val="superscript"/>
          <w:lang w:eastAsia="en-AU"/>
        </w:rPr>
        <w:footnoteReference w:id="118"/>
      </w:r>
      <w:r w:rsidRPr="00585C2F">
        <w:rPr>
          <w:rFonts w:ascii="Calibri" w:hAnsi="Calibri"/>
          <w:sz w:val="22"/>
          <w:szCs w:val="22"/>
        </w:rPr>
        <w:t xml:space="preserve"> quantitative estimates of costs and benefits have been made over the life of the proposed code or other options, using stated reasonable assumptions to fill in any essential data gaps.</w:t>
      </w:r>
      <w:r w:rsidR="007B521C">
        <w:rPr>
          <w:rFonts w:ascii="Calibri" w:hAnsi="Calibri"/>
          <w:sz w:val="22"/>
          <w:szCs w:val="22"/>
        </w:rPr>
        <w:t xml:space="preserve"> </w:t>
      </w:r>
      <w:r w:rsidRPr="00585C2F">
        <w:rPr>
          <w:rFonts w:ascii="Calibri" w:hAnsi="Calibri"/>
          <w:sz w:val="22"/>
          <w:szCs w:val="22"/>
        </w:rPr>
        <w:t>However, where sufficient cost and benefit data was not available, the evaluation is made using qualitative criteria regarding the achievement of the policy objective.</w:t>
      </w:r>
      <w:r w:rsidR="007B521C">
        <w:rPr>
          <w:rFonts w:ascii="Calibri" w:hAnsi="Calibri"/>
          <w:sz w:val="22"/>
          <w:szCs w:val="22"/>
        </w:rPr>
        <w:t xml:space="preserve"> </w:t>
      </w:r>
      <w:r w:rsidRPr="00585C2F">
        <w:rPr>
          <w:rFonts w:ascii="Calibri" w:hAnsi="Calibri"/>
          <w:sz w:val="22"/>
          <w:szCs w:val="22"/>
        </w:rPr>
        <w:t>Qualitative benefit (including</w:t>
      </w:r>
      <w:r>
        <w:rPr>
          <w:rFonts w:ascii="Calibri" w:hAnsi="Calibri"/>
          <w:sz w:val="22"/>
          <w:szCs w:val="22"/>
        </w:rPr>
        <w:t xml:space="preserve"> animal welfare and rehoming potential</w:t>
      </w:r>
      <w:r w:rsidRPr="00585C2F">
        <w:rPr>
          <w:rFonts w:ascii="Calibri" w:hAnsi="Calibri"/>
          <w:sz w:val="22"/>
          <w:szCs w:val="22"/>
        </w:rPr>
        <w:t xml:space="preserve">) and cost criteria </w:t>
      </w:r>
      <w:r>
        <w:rPr>
          <w:rFonts w:ascii="Calibri" w:hAnsi="Calibri"/>
          <w:sz w:val="22"/>
          <w:szCs w:val="22"/>
        </w:rPr>
        <w:t xml:space="preserve">is </w:t>
      </w:r>
      <w:r w:rsidRPr="00585C2F">
        <w:rPr>
          <w:rFonts w:ascii="Calibri" w:hAnsi="Calibri"/>
          <w:sz w:val="22"/>
          <w:szCs w:val="22"/>
        </w:rPr>
        <w:t xml:space="preserve">applied </w:t>
      </w:r>
      <w:r w:rsidR="00DD6DAF" w:rsidRPr="006D229E">
        <w:rPr>
          <w:rFonts w:ascii="Calibri" w:hAnsi="Calibri"/>
          <w:sz w:val="22"/>
          <w:szCs w:val="22"/>
        </w:rPr>
        <w:t>to a</w:t>
      </w:r>
      <w:r w:rsidR="00DD6DAF">
        <w:rPr>
          <w:rFonts w:ascii="Calibri" w:hAnsi="Calibri"/>
          <w:i/>
          <w:sz w:val="22"/>
          <w:szCs w:val="22"/>
        </w:rPr>
        <w:t xml:space="preserve"> Multi-Criteria Analysis (MCA)</w:t>
      </w:r>
      <w:r w:rsidR="00854038">
        <w:rPr>
          <w:rFonts w:ascii="Calibri" w:hAnsi="Calibri"/>
          <w:sz w:val="22"/>
          <w:szCs w:val="22"/>
        </w:rPr>
        <w:t>, as shown in Table 17</w:t>
      </w:r>
      <w:r w:rsidR="00BC73F1">
        <w:rPr>
          <w:rFonts w:ascii="Calibri" w:hAnsi="Calibri"/>
          <w:sz w:val="22"/>
          <w:szCs w:val="22"/>
        </w:rPr>
        <w:t>.</w:t>
      </w:r>
    </w:p>
    <w:p w:rsidR="00046943" w:rsidRDefault="00046943" w:rsidP="00620946">
      <w:pPr>
        <w:pStyle w:val="BodyText20"/>
        <w:rPr>
          <w:rFonts w:ascii="Calibri" w:hAnsi="Calibri"/>
          <w:sz w:val="22"/>
          <w:szCs w:val="22"/>
        </w:rPr>
      </w:pPr>
    </w:p>
    <w:p w:rsidR="00046943" w:rsidRPr="004560C7" w:rsidRDefault="00046943" w:rsidP="00046943">
      <w:pPr>
        <w:jc w:val="both"/>
      </w:pPr>
      <w:r w:rsidRPr="004560C7">
        <w:t xml:space="preserve">Given that the economic value of improved welfare </w:t>
      </w:r>
      <w:r>
        <w:t xml:space="preserve">or rehabilitation/rehoming </w:t>
      </w:r>
      <w:r w:rsidRPr="004560C7">
        <w:t xml:space="preserve">per dog remains unknown, the </w:t>
      </w:r>
      <w:r w:rsidRPr="004560C7">
        <w:rPr>
          <w:i/>
        </w:rPr>
        <w:t>number dogs affected</w:t>
      </w:r>
      <w:r w:rsidRPr="004560C7">
        <w:t xml:space="preserve"> by improved standards of care under the </w:t>
      </w:r>
      <w:r>
        <w:t xml:space="preserve">proposed </w:t>
      </w:r>
      <w:r w:rsidRPr="004560C7">
        <w:t xml:space="preserve">Code, is used as a proxy value for welfare </w:t>
      </w:r>
      <w:r>
        <w:t xml:space="preserve">and rehoming </w:t>
      </w:r>
      <w:r w:rsidRPr="004560C7">
        <w:t>potential.</w:t>
      </w:r>
    </w:p>
    <w:p w:rsidR="00046943" w:rsidRDefault="00046943" w:rsidP="00620946">
      <w:pPr>
        <w:pStyle w:val="BodyText20"/>
        <w:rPr>
          <w:rFonts w:ascii="Calibri" w:hAnsi="Calibri"/>
          <w:sz w:val="22"/>
          <w:szCs w:val="22"/>
        </w:rPr>
      </w:pPr>
    </w:p>
    <w:p w:rsidR="00F47A97" w:rsidRPr="00253C74" w:rsidRDefault="00F47A97" w:rsidP="00F47A97">
      <w:pPr>
        <w:pStyle w:val="BodyText20"/>
        <w:rPr>
          <w:rFonts w:ascii="Calibri" w:hAnsi="Calibri"/>
          <w:sz w:val="22"/>
          <w:szCs w:val="22"/>
          <w:lang w:val="en-US"/>
        </w:rPr>
      </w:pPr>
      <w:r>
        <w:rPr>
          <w:rFonts w:ascii="Calibri" w:hAnsi="Calibri"/>
          <w:sz w:val="22"/>
          <w:szCs w:val="22"/>
          <w:lang w:val="en-US"/>
        </w:rPr>
        <w:t>Having regard to the main purpose of regulations being animal welfare and rehoming potential, equal priorities have been given to these outcomes.</w:t>
      </w:r>
      <w:r w:rsidR="007B521C">
        <w:rPr>
          <w:rFonts w:ascii="Calibri" w:hAnsi="Calibri"/>
          <w:sz w:val="22"/>
          <w:szCs w:val="22"/>
          <w:lang w:val="en-US"/>
        </w:rPr>
        <w:t xml:space="preserve"> </w:t>
      </w:r>
      <w:r>
        <w:rPr>
          <w:rFonts w:ascii="Calibri" w:hAnsi="Calibri"/>
          <w:sz w:val="22"/>
          <w:szCs w:val="22"/>
          <w:lang w:val="en-US"/>
        </w:rPr>
        <w:t>They are therefore assigned a weighting of 25% each.</w:t>
      </w:r>
      <w:r w:rsidR="007B521C">
        <w:rPr>
          <w:rFonts w:ascii="Calibri" w:hAnsi="Calibri"/>
          <w:sz w:val="22"/>
          <w:szCs w:val="22"/>
          <w:lang w:val="en-US"/>
        </w:rPr>
        <w:t xml:space="preserve"> </w:t>
      </w:r>
      <w:r>
        <w:rPr>
          <w:rFonts w:ascii="Calibri" w:hAnsi="Calibri"/>
          <w:sz w:val="22"/>
          <w:szCs w:val="22"/>
          <w:lang w:val="en-US"/>
        </w:rPr>
        <w:t>The remaining 50% is allocated to the cost of compliance to industry and government.</w:t>
      </w:r>
    </w:p>
    <w:p w:rsidR="00F47A97" w:rsidRDefault="00F47A97" w:rsidP="00BC73F1">
      <w:pPr>
        <w:pStyle w:val="BodyText20"/>
        <w:spacing w:after="120"/>
        <w:jc w:val="left"/>
        <w:rPr>
          <w:rFonts w:ascii="Calibri" w:hAnsi="Calibri" w:cs="Courier New"/>
          <w:b/>
          <w:sz w:val="20"/>
          <w:szCs w:val="22"/>
          <w:lang w:eastAsia="en-AU"/>
        </w:rPr>
      </w:pPr>
    </w:p>
    <w:p w:rsidR="00BC73F1" w:rsidRPr="0011694A" w:rsidRDefault="00854038" w:rsidP="00BC73F1">
      <w:pPr>
        <w:pStyle w:val="BodyText20"/>
        <w:spacing w:after="120"/>
        <w:jc w:val="center"/>
        <w:rPr>
          <w:rFonts w:ascii="Calibri" w:hAnsi="Calibri" w:cs="Courier New"/>
          <w:sz w:val="22"/>
          <w:szCs w:val="22"/>
          <w:lang w:eastAsia="en-AU"/>
        </w:rPr>
      </w:pPr>
      <w:r>
        <w:rPr>
          <w:rFonts w:ascii="Calibri" w:hAnsi="Calibri" w:cs="Courier New"/>
          <w:b/>
          <w:sz w:val="20"/>
          <w:szCs w:val="22"/>
          <w:lang w:eastAsia="en-AU"/>
        </w:rPr>
        <w:t>Table 17</w:t>
      </w:r>
      <w:r w:rsidR="00BC73F1" w:rsidRPr="004D060C">
        <w:rPr>
          <w:rFonts w:ascii="Calibri" w:hAnsi="Calibri" w:cs="Courier New"/>
          <w:b/>
          <w:sz w:val="20"/>
          <w:szCs w:val="22"/>
          <w:lang w:eastAsia="en-AU"/>
        </w:rPr>
        <w:t>:</w:t>
      </w:r>
      <w:r w:rsidR="00BC73F1" w:rsidRPr="008D7690">
        <w:rPr>
          <w:rFonts w:ascii="Calibri" w:hAnsi="Calibri" w:cs="Courier New"/>
          <w:b/>
          <w:sz w:val="20"/>
          <w:szCs w:val="22"/>
          <w:lang w:eastAsia="en-AU"/>
        </w:rPr>
        <w:t xml:space="preserve"> Crit</w:t>
      </w:r>
      <w:r w:rsidR="00BC73F1" w:rsidRPr="0011694A">
        <w:rPr>
          <w:rFonts w:ascii="Calibri" w:hAnsi="Calibri" w:cs="Courier New"/>
          <w:b/>
          <w:sz w:val="20"/>
          <w:szCs w:val="22"/>
          <w:lang w:eastAsia="en-AU"/>
        </w:rPr>
        <w:t>eria to be used for MCA</w:t>
      </w:r>
    </w:p>
    <w:tbl>
      <w:tblPr>
        <w:tblW w:w="8114" w:type="dxa"/>
        <w:tblInd w:w="108" w:type="dxa"/>
        <w:tblLayout w:type="fixed"/>
        <w:tblLook w:val="04A0" w:firstRow="1" w:lastRow="0" w:firstColumn="1" w:lastColumn="0" w:noHBand="0" w:noVBand="1"/>
      </w:tblPr>
      <w:tblGrid>
        <w:gridCol w:w="2600"/>
        <w:gridCol w:w="3955"/>
        <w:gridCol w:w="1559"/>
      </w:tblGrid>
      <w:tr w:rsidR="00BC73F1" w:rsidTr="00BC73F1">
        <w:tc>
          <w:tcPr>
            <w:tcW w:w="2600" w:type="dxa"/>
            <w:tcBorders>
              <w:top w:val="single" w:sz="4" w:space="0" w:color="1F497D" w:themeColor="text2"/>
              <w:bottom w:val="double" w:sz="4" w:space="0" w:color="4F81BD" w:themeColor="accent1"/>
            </w:tcBorders>
          </w:tcPr>
          <w:p w:rsidR="00BC73F1" w:rsidRPr="004D060C" w:rsidRDefault="00BC73F1" w:rsidP="003D3A53">
            <w:pPr>
              <w:pStyle w:val="BodyText20"/>
              <w:rPr>
                <w:rFonts w:ascii="Calibri" w:hAnsi="Calibri" w:cs="Courier New"/>
                <w:b/>
                <w:color w:val="000000" w:themeColor="text1"/>
                <w:sz w:val="20"/>
                <w:lang w:eastAsia="en-AU"/>
              </w:rPr>
            </w:pPr>
            <w:r w:rsidRPr="004D060C">
              <w:rPr>
                <w:rFonts w:ascii="Calibri" w:hAnsi="Calibri" w:cs="Courier New"/>
                <w:b/>
                <w:color w:val="000000" w:themeColor="text1"/>
                <w:sz w:val="20"/>
                <w:lang w:eastAsia="en-AU"/>
              </w:rPr>
              <w:t>Criterion</w:t>
            </w:r>
          </w:p>
        </w:tc>
        <w:tc>
          <w:tcPr>
            <w:tcW w:w="3955" w:type="dxa"/>
            <w:tcBorders>
              <w:top w:val="single" w:sz="4" w:space="0" w:color="1F497D" w:themeColor="text2"/>
              <w:bottom w:val="double" w:sz="4" w:space="0" w:color="4F81BD" w:themeColor="accent1"/>
            </w:tcBorders>
          </w:tcPr>
          <w:p w:rsidR="00BC73F1" w:rsidRPr="004D060C" w:rsidRDefault="00BC73F1" w:rsidP="003D3A53">
            <w:pPr>
              <w:pStyle w:val="BodyText20"/>
              <w:jc w:val="center"/>
              <w:rPr>
                <w:rFonts w:ascii="Calibri" w:hAnsi="Calibri" w:cs="Courier New"/>
                <w:b/>
                <w:color w:val="000000" w:themeColor="text1"/>
                <w:sz w:val="20"/>
                <w:lang w:eastAsia="en-AU"/>
              </w:rPr>
            </w:pPr>
            <w:r w:rsidRPr="004D060C">
              <w:rPr>
                <w:rFonts w:ascii="Calibri" w:hAnsi="Calibri" w:cs="Courier New"/>
                <w:b/>
                <w:color w:val="000000" w:themeColor="text1"/>
                <w:sz w:val="20"/>
                <w:lang w:eastAsia="en-AU"/>
              </w:rPr>
              <w:t>Description</w:t>
            </w:r>
          </w:p>
        </w:tc>
        <w:tc>
          <w:tcPr>
            <w:tcW w:w="1559" w:type="dxa"/>
            <w:tcBorders>
              <w:top w:val="single" w:sz="4" w:space="0" w:color="1F497D" w:themeColor="text2"/>
              <w:bottom w:val="double" w:sz="4" w:space="0" w:color="4F81BD" w:themeColor="accent1"/>
            </w:tcBorders>
          </w:tcPr>
          <w:p w:rsidR="00BC73F1" w:rsidRPr="004D060C" w:rsidRDefault="00BC73F1" w:rsidP="003D3A53">
            <w:pPr>
              <w:pStyle w:val="BodyText20"/>
              <w:jc w:val="center"/>
              <w:rPr>
                <w:rFonts w:ascii="Calibri" w:hAnsi="Calibri" w:cs="Courier New"/>
                <w:b/>
                <w:color w:val="000000" w:themeColor="text1"/>
                <w:sz w:val="20"/>
                <w:lang w:eastAsia="en-AU"/>
              </w:rPr>
            </w:pPr>
            <w:r w:rsidRPr="004D060C">
              <w:rPr>
                <w:rFonts w:ascii="Calibri" w:hAnsi="Calibri" w:cs="Courier New"/>
                <w:b/>
                <w:color w:val="000000" w:themeColor="text1"/>
                <w:sz w:val="20"/>
                <w:lang w:eastAsia="en-AU"/>
              </w:rPr>
              <w:t>Weighting</w:t>
            </w:r>
          </w:p>
        </w:tc>
      </w:tr>
      <w:tr w:rsidR="00BC73F1" w:rsidTr="00EF4231">
        <w:tc>
          <w:tcPr>
            <w:tcW w:w="2600" w:type="dxa"/>
            <w:tcBorders>
              <w:top w:val="double" w:sz="4" w:space="0" w:color="4F81BD" w:themeColor="accent1"/>
            </w:tcBorders>
            <w:vAlign w:val="center"/>
          </w:tcPr>
          <w:p w:rsidR="00BC73F1" w:rsidRPr="00374180" w:rsidRDefault="00BC73F1" w:rsidP="00EF4231">
            <w:pPr>
              <w:pStyle w:val="BodyText20"/>
              <w:jc w:val="left"/>
              <w:rPr>
                <w:rFonts w:ascii="Calibri" w:hAnsi="Calibri" w:cs="Courier New"/>
                <w:b/>
                <w:sz w:val="20"/>
                <w:lang w:eastAsia="en-AU"/>
              </w:rPr>
            </w:pPr>
            <w:r w:rsidRPr="008D7690">
              <w:rPr>
                <w:rFonts w:ascii="Calibri" w:hAnsi="Calibri" w:cs="Courier New"/>
                <w:b/>
                <w:sz w:val="20"/>
                <w:lang w:eastAsia="en-AU"/>
              </w:rPr>
              <w:t>Animal welfare</w:t>
            </w:r>
          </w:p>
        </w:tc>
        <w:tc>
          <w:tcPr>
            <w:tcW w:w="3955" w:type="dxa"/>
            <w:tcBorders>
              <w:top w:val="double" w:sz="4" w:space="0" w:color="4F81BD" w:themeColor="accent1"/>
            </w:tcBorders>
            <w:vAlign w:val="center"/>
          </w:tcPr>
          <w:p w:rsidR="00BC73F1" w:rsidRPr="00B3001B" w:rsidRDefault="00BC73F1" w:rsidP="00EF4231">
            <w:pPr>
              <w:pStyle w:val="BodyText20"/>
              <w:jc w:val="left"/>
              <w:rPr>
                <w:rFonts w:ascii="Calibri" w:hAnsi="Calibri" w:cs="Courier New"/>
                <w:sz w:val="20"/>
                <w:lang w:eastAsia="en-AU"/>
              </w:rPr>
            </w:pPr>
            <w:r>
              <w:rPr>
                <w:rFonts w:ascii="Calibri" w:hAnsi="Calibri" w:cs="Courier New"/>
                <w:sz w:val="20"/>
                <w:lang w:eastAsia="en-AU"/>
              </w:rPr>
              <w:t>Welfare of animals associated with the greyhound racing industry throughout their lifecycle.</w:t>
            </w:r>
          </w:p>
        </w:tc>
        <w:tc>
          <w:tcPr>
            <w:tcW w:w="1559" w:type="dxa"/>
            <w:tcBorders>
              <w:top w:val="double" w:sz="4" w:space="0" w:color="4F81BD" w:themeColor="accent1"/>
            </w:tcBorders>
            <w:vAlign w:val="center"/>
          </w:tcPr>
          <w:p w:rsidR="00BC73F1" w:rsidRPr="00B3001B" w:rsidRDefault="00BC73F1" w:rsidP="00EF4231">
            <w:pPr>
              <w:pStyle w:val="BodyText20"/>
              <w:jc w:val="center"/>
              <w:rPr>
                <w:rFonts w:ascii="Calibri" w:hAnsi="Calibri" w:cs="Courier New"/>
                <w:sz w:val="20"/>
                <w:lang w:eastAsia="en-AU"/>
              </w:rPr>
            </w:pPr>
            <w:r>
              <w:rPr>
                <w:rFonts w:ascii="Calibri" w:hAnsi="Calibri" w:cs="Courier New"/>
                <w:sz w:val="20"/>
                <w:lang w:eastAsia="en-AU"/>
              </w:rPr>
              <w:t>25</w:t>
            </w:r>
            <w:r w:rsidRPr="00B3001B">
              <w:rPr>
                <w:rFonts w:ascii="Calibri" w:hAnsi="Calibri" w:cs="Courier New"/>
                <w:sz w:val="20"/>
                <w:lang w:eastAsia="en-AU"/>
              </w:rPr>
              <w:t>%</w:t>
            </w:r>
          </w:p>
        </w:tc>
      </w:tr>
      <w:tr w:rsidR="00BC73F1" w:rsidTr="00EF4231">
        <w:tc>
          <w:tcPr>
            <w:tcW w:w="2600" w:type="dxa"/>
            <w:vAlign w:val="center"/>
          </w:tcPr>
          <w:p w:rsidR="00BC73F1" w:rsidRPr="008D7690" w:rsidRDefault="00BC73F1" w:rsidP="00EF4231">
            <w:pPr>
              <w:pStyle w:val="BodyText20"/>
              <w:jc w:val="left"/>
              <w:rPr>
                <w:rFonts w:ascii="Calibri" w:hAnsi="Calibri" w:cs="Courier New"/>
                <w:b/>
                <w:sz w:val="20"/>
                <w:lang w:eastAsia="en-AU"/>
              </w:rPr>
            </w:pPr>
            <w:r>
              <w:rPr>
                <w:rFonts w:ascii="Calibri" w:hAnsi="Calibri" w:cs="Courier New"/>
                <w:b/>
                <w:sz w:val="20"/>
                <w:lang w:eastAsia="en-AU"/>
              </w:rPr>
              <w:t>Rehoming potential</w:t>
            </w:r>
          </w:p>
        </w:tc>
        <w:tc>
          <w:tcPr>
            <w:tcW w:w="3955" w:type="dxa"/>
            <w:vAlign w:val="center"/>
          </w:tcPr>
          <w:p w:rsidR="00BC73F1" w:rsidRPr="00B3001B" w:rsidRDefault="00BC73F1" w:rsidP="00EF4231">
            <w:pPr>
              <w:pStyle w:val="BodyText20"/>
              <w:jc w:val="left"/>
              <w:rPr>
                <w:rFonts w:ascii="Calibri" w:hAnsi="Calibri" w:cs="Courier New"/>
                <w:sz w:val="20"/>
                <w:lang w:eastAsia="en-AU"/>
              </w:rPr>
            </w:pPr>
            <w:r>
              <w:rPr>
                <w:rFonts w:ascii="Calibri" w:hAnsi="Calibri" w:cs="Courier New"/>
                <w:sz w:val="20"/>
                <w:lang w:eastAsia="en-AU"/>
              </w:rPr>
              <w:t>Greyhound is given the chance to maximise it potential to be rehomed throughout the lifecycle.</w:t>
            </w:r>
          </w:p>
        </w:tc>
        <w:tc>
          <w:tcPr>
            <w:tcW w:w="1559" w:type="dxa"/>
            <w:vAlign w:val="center"/>
          </w:tcPr>
          <w:p w:rsidR="00BC73F1" w:rsidRPr="00B3001B" w:rsidRDefault="00BC73F1" w:rsidP="00EF4231">
            <w:pPr>
              <w:pStyle w:val="BodyText20"/>
              <w:jc w:val="center"/>
              <w:rPr>
                <w:rFonts w:ascii="Calibri" w:hAnsi="Calibri" w:cs="Courier New"/>
                <w:sz w:val="20"/>
                <w:lang w:eastAsia="en-AU"/>
              </w:rPr>
            </w:pPr>
            <w:r>
              <w:rPr>
                <w:rFonts w:ascii="Calibri" w:hAnsi="Calibri" w:cs="Courier New"/>
                <w:sz w:val="20"/>
                <w:lang w:eastAsia="en-AU"/>
              </w:rPr>
              <w:t>25</w:t>
            </w:r>
            <w:r w:rsidRPr="00B3001B">
              <w:rPr>
                <w:rFonts w:ascii="Calibri" w:hAnsi="Calibri" w:cs="Courier New"/>
                <w:sz w:val="20"/>
                <w:lang w:eastAsia="en-AU"/>
              </w:rPr>
              <w:t>%</w:t>
            </w:r>
          </w:p>
        </w:tc>
      </w:tr>
      <w:tr w:rsidR="00BC73F1" w:rsidTr="00EF4231">
        <w:tc>
          <w:tcPr>
            <w:tcW w:w="2600" w:type="dxa"/>
            <w:tcBorders>
              <w:bottom w:val="single" w:sz="4" w:space="0" w:color="1F497D" w:themeColor="text2"/>
            </w:tcBorders>
            <w:vAlign w:val="center"/>
          </w:tcPr>
          <w:p w:rsidR="00BC73F1" w:rsidRPr="008D7690" w:rsidRDefault="00BC73F1" w:rsidP="00EF4231">
            <w:pPr>
              <w:pStyle w:val="BodyText20"/>
              <w:jc w:val="left"/>
              <w:rPr>
                <w:rFonts w:ascii="Calibri" w:hAnsi="Calibri" w:cs="Courier New"/>
                <w:b/>
                <w:sz w:val="20"/>
                <w:lang w:eastAsia="en-AU"/>
              </w:rPr>
            </w:pPr>
            <w:r w:rsidRPr="004D060C">
              <w:rPr>
                <w:rFonts w:ascii="Calibri" w:hAnsi="Calibri" w:cs="Courier New"/>
                <w:b/>
                <w:sz w:val="20"/>
                <w:lang w:eastAsia="en-AU"/>
              </w:rPr>
              <w:t>Net compliance cost to industry and government</w:t>
            </w:r>
          </w:p>
        </w:tc>
        <w:tc>
          <w:tcPr>
            <w:tcW w:w="3955" w:type="dxa"/>
            <w:tcBorders>
              <w:bottom w:val="single" w:sz="4" w:space="0" w:color="1F497D" w:themeColor="text2"/>
            </w:tcBorders>
            <w:vAlign w:val="center"/>
          </w:tcPr>
          <w:p w:rsidR="00BC73F1" w:rsidRPr="00B3001B" w:rsidRDefault="00BC73F1" w:rsidP="00EF4231">
            <w:pPr>
              <w:pStyle w:val="BodyText20"/>
              <w:jc w:val="left"/>
              <w:rPr>
                <w:rFonts w:ascii="Calibri" w:hAnsi="Calibri" w:cs="Courier New"/>
                <w:sz w:val="20"/>
                <w:lang w:eastAsia="en-AU"/>
              </w:rPr>
            </w:pPr>
            <w:r>
              <w:rPr>
                <w:rFonts w:ascii="Calibri" w:hAnsi="Calibri" w:cs="Courier New"/>
                <w:sz w:val="20"/>
                <w:lang w:eastAsia="en-AU"/>
              </w:rPr>
              <w:t>Administrative and major compliance costs to industry and government including any unintended market consequences.</w:t>
            </w:r>
          </w:p>
        </w:tc>
        <w:tc>
          <w:tcPr>
            <w:tcW w:w="1559" w:type="dxa"/>
            <w:tcBorders>
              <w:bottom w:val="single" w:sz="4" w:space="0" w:color="1F497D" w:themeColor="text2"/>
            </w:tcBorders>
            <w:vAlign w:val="center"/>
          </w:tcPr>
          <w:p w:rsidR="00BC73F1" w:rsidRPr="00B3001B" w:rsidRDefault="00BC73F1" w:rsidP="00EF4231">
            <w:pPr>
              <w:pStyle w:val="BodyText20"/>
              <w:jc w:val="center"/>
              <w:rPr>
                <w:rFonts w:ascii="Calibri" w:hAnsi="Calibri" w:cs="Courier New"/>
                <w:sz w:val="20"/>
                <w:lang w:eastAsia="en-AU"/>
              </w:rPr>
            </w:pPr>
            <w:r>
              <w:rPr>
                <w:rFonts w:ascii="Calibri" w:hAnsi="Calibri" w:cs="Courier New"/>
                <w:sz w:val="20"/>
                <w:lang w:eastAsia="en-AU"/>
              </w:rPr>
              <w:t>50%</w:t>
            </w:r>
          </w:p>
        </w:tc>
      </w:tr>
    </w:tbl>
    <w:p w:rsidR="00585C2F" w:rsidRDefault="00585C2F" w:rsidP="00620946">
      <w:pPr>
        <w:pStyle w:val="BodyText20"/>
        <w:rPr>
          <w:rFonts w:ascii="Calibri" w:hAnsi="Calibri"/>
          <w:sz w:val="22"/>
          <w:szCs w:val="22"/>
        </w:rPr>
      </w:pPr>
    </w:p>
    <w:p w:rsidR="00F47A97" w:rsidRDefault="001A02C6" w:rsidP="00046943">
      <w:pPr>
        <w:jc w:val="both"/>
      </w:pPr>
      <w:bookmarkStart w:id="130" w:name="_Toc456126064"/>
      <w:r>
        <w:t>The proposed Code and alternative options are</w:t>
      </w:r>
      <w:r w:rsidR="00046943" w:rsidRPr="00046943">
        <w:t xml:space="preserve"> scored against each of the aforementioned criteria on a scale of -10 to +10</w:t>
      </w:r>
      <w:r w:rsidR="00DB7C93">
        <w:t xml:space="preserve"> </w:t>
      </w:r>
      <w:r w:rsidR="00046943" w:rsidRPr="00046943">
        <w:t>with the base case reflecting a score of ‘0’</w:t>
      </w:r>
      <w:r w:rsidR="00041564">
        <w:t>.</w:t>
      </w:r>
    </w:p>
    <w:p w:rsidR="00620946" w:rsidRPr="005F3BA9" w:rsidRDefault="00620946" w:rsidP="004D060C">
      <w:pPr>
        <w:pStyle w:val="Heading2"/>
      </w:pPr>
      <w:bookmarkStart w:id="131" w:name="_Toc469529177"/>
      <w:bookmarkStart w:id="132" w:name="_Toc477190195"/>
      <w:r w:rsidRPr="005F3BA9">
        <w:lastRenderedPageBreak/>
        <w:t xml:space="preserve">5.2 </w:t>
      </w:r>
      <w:bookmarkEnd w:id="130"/>
      <w:r w:rsidR="00BC73F1" w:rsidRPr="005F3BA9">
        <w:t xml:space="preserve">Evaluation of Options 1 to </w:t>
      </w:r>
      <w:r w:rsidR="00520F56" w:rsidRPr="005F3BA9">
        <w:t>6</w:t>
      </w:r>
      <w:bookmarkEnd w:id="131"/>
      <w:bookmarkEnd w:id="132"/>
      <w:r w:rsidR="00520F56" w:rsidRPr="005F3BA9">
        <w:t xml:space="preserve"> </w:t>
      </w:r>
    </w:p>
    <w:p w:rsidR="00F47A97" w:rsidRDefault="00BC73F1" w:rsidP="00655CA6">
      <w:pPr>
        <w:pStyle w:val="BodyText20"/>
        <w:rPr>
          <w:rFonts w:ascii="Calibri" w:hAnsi="Calibri"/>
          <w:sz w:val="22"/>
          <w:szCs w:val="22"/>
          <w:lang w:val="en-US"/>
        </w:rPr>
      </w:pPr>
      <w:r w:rsidRPr="00ED4BBD">
        <w:rPr>
          <w:rFonts w:ascii="Calibri" w:hAnsi="Calibri"/>
          <w:sz w:val="22"/>
          <w:szCs w:val="22"/>
          <w:lang w:val="en-US"/>
        </w:rPr>
        <w:t xml:space="preserve">This </w:t>
      </w:r>
      <w:r>
        <w:rPr>
          <w:rFonts w:ascii="Calibri" w:hAnsi="Calibri"/>
          <w:sz w:val="22"/>
          <w:szCs w:val="22"/>
          <w:lang w:val="en-US"/>
        </w:rPr>
        <w:t xml:space="preserve">section </w:t>
      </w:r>
      <w:r w:rsidRPr="00ED4BBD">
        <w:rPr>
          <w:rFonts w:ascii="Calibri" w:hAnsi="Calibri"/>
          <w:sz w:val="22"/>
          <w:szCs w:val="22"/>
          <w:lang w:val="en-US"/>
        </w:rPr>
        <w:t>discuss</w:t>
      </w:r>
      <w:r>
        <w:rPr>
          <w:rFonts w:ascii="Calibri" w:hAnsi="Calibri"/>
          <w:sz w:val="22"/>
          <w:szCs w:val="22"/>
          <w:lang w:val="en-US"/>
        </w:rPr>
        <w:t>es</w:t>
      </w:r>
      <w:r w:rsidRPr="00ED4BBD">
        <w:rPr>
          <w:rFonts w:ascii="Calibri" w:hAnsi="Calibri"/>
          <w:sz w:val="22"/>
          <w:szCs w:val="22"/>
          <w:lang w:val="en-US"/>
        </w:rPr>
        <w:t xml:space="preserve"> the expected costs versus expected benefits of the feasible options with reference to the overarching policy objective.</w:t>
      </w:r>
      <w:r w:rsidR="007B521C">
        <w:rPr>
          <w:rFonts w:ascii="Calibri" w:hAnsi="Calibri"/>
          <w:sz w:val="22"/>
          <w:szCs w:val="22"/>
          <w:lang w:val="en-US"/>
        </w:rPr>
        <w:t xml:space="preserve"> </w:t>
      </w:r>
      <w:r w:rsidRPr="00ED4BBD">
        <w:rPr>
          <w:rFonts w:ascii="Calibri" w:hAnsi="Calibri"/>
          <w:sz w:val="22"/>
          <w:szCs w:val="22"/>
          <w:lang w:val="en-US"/>
        </w:rPr>
        <w:t xml:space="preserve">Costs and benefits </w:t>
      </w:r>
      <w:r>
        <w:rPr>
          <w:rFonts w:ascii="Calibri" w:hAnsi="Calibri"/>
          <w:sz w:val="22"/>
          <w:szCs w:val="22"/>
          <w:lang w:val="en-US"/>
        </w:rPr>
        <w:t xml:space="preserve">are </w:t>
      </w:r>
      <w:r w:rsidRPr="00D608B4">
        <w:rPr>
          <w:rFonts w:ascii="Calibri" w:hAnsi="Calibri"/>
          <w:sz w:val="22"/>
          <w:szCs w:val="22"/>
        </w:rPr>
        <w:t>analysed</w:t>
      </w:r>
      <w:r w:rsidRPr="00ED4BBD">
        <w:rPr>
          <w:rFonts w:ascii="Calibri" w:hAnsi="Calibri"/>
          <w:sz w:val="22"/>
          <w:szCs w:val="22"/>
          <w:lang w:val="en-US"/>
        </w:rPr>
        <w:t xml:space="preserve"> in compa</w:t>
      </w:r>
      <w:r>
        <w:rPr>
          <w:rFonts w:ascii="Calibri" w:hAnsi="Calibri"/>
          <w:sz w:val="22"/>
          <w:szCs w:val="22"/>
          <w:lang w:val="en-US"/>
        </w:rPr>
        <w:t>ris</w:t>
      </w:r>
      <w:r w:rsidRPr="00ED4BBD">
        <w:rPr>
          <w:rFonts w:ascii="Calibri" w:hAnsi="Calibri"/>
          <w:sz w:val="22"/>
          <w:szCs w:val="22"/>
          <w:lang w:val="en-US"/>
        </w:rPr>
        <w:t xml:space="preserve">on with the ‘base case’ in terms of </w:t>
      </w:r>
      <w:r>
        <w:rPr>
          <w:rFonts w:ascii="Calibri" w:hAnsi="Calibri"/>
          <w:sz w:val="22"/>
          <w:szCs w:val="22"/>
          <w:lang w:val="en-US"/>
        </w:rPr>
        <w:t xml:space="preserve">the </w:t>
      </w:r>
      <w:r w:rsidRPr="00ED4BBD">
        <w:rPr>
          <w:rFonts w:ascii="Calibri" w:hAnsi="Calibri"/>
          <w:sz w:val="22"/>
          <w:szCs w:val="22"/>
          <w:lang w:val="en-US"/>
        </w:rPr>
        <w:t>criteria</w:t>
      </w:r>
      <w:r>
        <w:rPr>
          <w:rFonts w:ascii="Calibri" w:hAnsi="Calibri"/>
          <w:sz w:val="22"/>
          <w:szCs w:val="22"/>
          <w:lang w:val="en-US"/>
        </w:rPr>
        <w:t xml:space="preserve"> discussed in Section 5.1</w:t>
      </w:r>
      <w:r w:rsidRPr="00ED4BBD">
        <w:rPr>
          <w:rFonts w:ascii="Calibri" w:hAnsi="Calibri"/>
          <w:sz w:val="22"/>
          <w:szCs w:val="22"/>
          <w:lang w:val="en-US"/>
        </w:rPr>
        <w:t>.</w:t>
      </w:r>
      <w:r w:rsidR="007B521C">
        <w:rPr>
          <w:rFonts w:ascii="Calibri" w:hAnsi="Calibri"/>
          <w:sz w:val="22"/>
          <w:szCs w:val="22"/>
          <w:lang w:val="en-US"/>
        </w:rPr>
        <w:t xml:space="preserve"> </w:t>
      </w:r>
      <w:r w:rsidRPr="00ED4BBD">
        <w:rPr>
          <w:rFonts w:ascii="Calibri" w:hAnsi="Calibri"/>
          <w:sz w:val="22"/>
          <w:szCs w:val="22"/>
          <w:lang w:val="en-US"/>
        </w:rPr>
        <w:t xml:space="preserve">The data used in this analysis and the assumptions and qualifications to the data on which the costs and benefits have been estimated </w:t>
      </w:r>
      <w:r>
        <w:rPr>
          <w:rFonts w:ascii="Calibri" w:hAnsi="Calibri"/>
          <w:sz w:val="22"/>
          <w:szCs w:val="22"/>
          <w:lang w:val="en-US"/>
        </w:rPr>
        <w:t xml:space="preserve">are </w:t>
      </w:r>
      <w:r w:rsidRPr="00ED4BBD">
        <w:rPr>
          <w:rFonts w:ascii="Calibri" w:hAnsi="Calibri"/>
          <w:sz w:val="22"/>
          <w:szCs w:val="22"/>
          <w:lang w:val="en-US"/>
        </w:rPr>
        <w:t xml:space="preserve">provided in the appendices. </w:t>
      </w:r>
    </w:p>
    <w:p w:rsidR="00D608B4" w:rsidRDefault="00D608B4" w:rsidP="00655CA6">
      <w:pPr>
        <w:pStyle w:val="BodyText20"/>
      </w:pPr>
    </w:p>
    <w:p w:rsidR="00BC73F1" w:rsidRPr="00430C30" w:rsidRDefault="00A125AF" w:rsidP="005E307C">
      <w:pPr>
        <w:pStyle w:val="Heading3"/>
      </w:pPr>
      <w:bookmarkStart w:id="133" w:name="_Toc469529178"/>
      <w:bookmarkStart w:id="134" w:name="_Toc477190196"/>
      <w:r>
        <w:t xml:space="preserve">5.2.1 </w:t>
      </w:r>
      <w:r w:rsidR="004E304E">
        <w:t>Animal welfare criterion – analysis of options 1 to 6</w:t>
      </w:r>
      <w:bookmarkEnd w:id="133"/>
      <w:bookmarkEnd w:id="134"/>
    </w:p>
    <w:p w:rsidR="00520F56" w:rsidRDefault="008D11E5" w:rsidP="00520F56">
      <w:pPr>
        <w:jc w:val="both"/>
      </w:pPr>
      <w:r>
        <w:t>The animal welfare criterion reflects the ability of an option to promote the w</w:t>
      </w:r>
      <w:r w:rsidRPr="008D11E5">
        <w:t xml:space="preserve">elfare of animals </w:t>
      </w:r>
      <w:r>
        <w:t xml:space="preserve">(reduce welfare risk) </w:t>
      </w:r>
      <w:r w:rsidRPr="008D11E5">
        <w:t>associated with the greyhound racing indu</w:t>
      </w:r>
      <w:r>
        <w:t>stry throughout their lifecycle as discussed in Section 2 of this RIS.</w:t>
      </w:r>
      <w:r w:rsidR="00520F56">
        <w:t xml:space="preserve"> </w:t>
      </w:r>
      <w:r w:rsidR="00520F56" w:rsidRPr="004560C7">
        <w:t xml:space="preserve">Given that the economic value of improved welfare per dog remains unknown, the </w:t>
      </w:r>
      <w:r w:rsidR="00520F56" w:rsidRPr="004560C7">
        <w:rPr>
          <w:i/>
        </w:rPr>
        <w:t>number dogs affected</w:t>
      </w:r>
      <w:r w:rsidR="00520F56" w:rsidRPr="004560C7">
        <w:t xml:space="preserve"> </w:t>
      </w:r>
      <w:r w:rsidR="00520F56">
        <w:t xml:space="preserve">(scale of care) </w:t>
      </w:r>
      <w:r w:rsidR="00520F56" w:rsidRPr="004560C7">
        <w:t xml:space="preserve">by improved standards of care under the </w:t>
      </w:r>
      <w:r w:rsidR="00520F56">
        <w:t xml:space="preserve">proposed </w:t>
      </w:r>
      <w:r w:rsidR="00520F56" w:rsidRPr="004560C7">
        <w:t>Code, is used as a proxy value for welfare</w:t>
      </w:r>
      <w:r w:rsidR="00520F56">
        <w:t xml:space="preserve"> however a qualitative discussion is also provided around the </w:t>
      </w:r>
      <w:r w:rsidR="00520F56" w:rsidRPr="00520F56">
        <w:rPr>
          <w:i/>
        </w:rPr>
        <w:t>scope of care</w:t>
      </w:r>
      <w:r w:rsidR="00520F56">
        <w:t xml:space="preserve"> under each of the options.</w:t>
      </w:r>
    </w:p>
    <w:p w:rsidR="00520F56" w:rsidRDefault="00520F56" w:rsidP="00520F56">
      <w:pPr>
        <w:jc w:val="both"/>
      </w:pPr>
    </w:p>
    <w:p w:rsidR="00E779FB" w:rsidRDefault="00E779FB" w:rsidP="00520F56">
      <w:pPr>
        <w:jc w:val="both"/>
      </w:pPr>
      <w:r>
        <w:t xml:space="preserve">The base case does not provide additional welfare opportunities for greyhounds during the lifecycle </w:t>
      </w:r>
      <w:r w:rsidR="004C0C08">
        <w:t>apart from the civil enforcement of rules and current Code and</w:t>
      </w:r>
      <w:r>
        <w:t xml:space="preserve"> is </w:t>
      </w:r>
      <w:r w:rsidR="004C0C08">
        <w:t xml:space="preserve">therefore </w:t>
      </w:r>
      <w:r>
        <w:t>awarded a score of + 0.</w:t>
      </w:r>
    </w:p>
    <w:p w:rsidR="00520F56" w:rsidRDefault="00520F56" w:rsidP="00520F56">
      <w:pPr>
        <w:jc w:val="both"/>
      </w:pPr>
    </w:p>
    <w:p w:rsidR="00E779FB" w:rsidRDefault="00E779FB" w:rsidP="00520F56">
      <w:pPr>
        <w:jc w:val="both"/>
      </w:pPr>
      <w:r>
        <w:t xml:space="preserve">As shown in Table 15, Option 1 (media/information campaign) provides improved animal welfare </w:t>
      </w:r>
      <w:r w:rsidR="005D6409">
        <w:t xml:space="preserve">of up to </w:t>
      </w:r>
      <w:r>
        <w:t>560 dogs with respect to health management plans, record keeping, records of health and transfer, health checks and perimeter fencing.</w:t>
      </w:r>
      <w:r w:rsidR="007B521C">
        <w:t xml:space="preserve"> </w:t>
      </w:r>
      <w:r>
        <w:t>However, Option 1 is limited in being able to change behaviour</w:t>
      </w:r>
      <w:r w:rsidR="005D6409">
        <w:t xml:space="preserve"> (voluntary adherence)</w:t>
      </w:r>
      <w:r>
        <w:t xml:space="preserve"> and is likely to affect only those participants which currently lack knowledge or awareness around various dog management activities.</w:t>
      </w:r>
      <w:r w:rsidR="007B521C">
        <w:t xml:space="preserve"> </w:t>
      </w:r>
      <w:r>
        <w:t>It is unlikely to have an effect on participants with attitude, cultural or generational (age) issues – or those with financial constraints.</w:t>
      </w:r>
      <w:r w:rsidR="007B521C">
        <w:t xml:space="preserve"> </w:t>
      </w:r>
      <w:r w:rsidR="004C0C08">
        <w:t>Option 1 is likely to achieve an impact on only 4% of the maximum number of dogs under any of the options (see Table 15)</w:t>
      </w:r>
      <w:r w:rsidR="00FD6327">
        <w:t xml:space="preserve"> and against all drivers of welfare (excluding staff ratios, independent veterinarian agreements, and food storage).</w:t>
      </w:r>
      <w:r w:rsidR="007B521C">
        <w:t xml:space="preserve"> </w:t>
      </w:r>
      <w:r w:rsidR="00724CED">
        <w:t>Based on the number of dogs affected and scope of care</w:t>
      </w:r>
      <w:r w:rsidR="00E42EB6">
        <w:t xml:space="preserve"> </w:t>
      </w:r>
      <w:r w:rsidR="00724CED">
        <w:t xml:space="preserve">Option 1 is awarded a score of </w:t>
      </w:r>
      <w:r w:rsidR="00FD6327">
        <w:t>+0.4</w:t>
      </w:r>
      <w:r w:rsidR="004C0C08">
        <w:t>.</w:t>
      </w:r>
    </w:p>
    <w:p w:rsidR="00E779FB" w:rsidRDefault="00E779FB" w:rsidP="00520F56">
      <w:pPr>
        <w:jc w:val="both"/>
      </w:pPr>
    </w:p>
    <w:p w:rsidR="00520F56" w:rsidRDefault="005D6409" w:rsidP="00520F56">
      <w:pPr>
        <w:jc w:val="both"/>
      </w:pPr>
      <w:r>
        <w:t xml:space="preserve">Option 2 (adoption of the proposed code under the local rules) is estimated to affect the welfare of up to 3,707 dogs </w:t>
      </w:r>
      <w:r w:rsidRPr="005D6409">
        <w:t>with respect to health management plans, record keeping, records of health and transfer, health</w:t>
      </w:r>
      <w:r>
        <w:t xml:space="preserve"> checks and perimeter fe</w:t>
      </w:r>
      <w:r w:rsidR="00E42EB6">
        <w:t>ncing due to greater compliance than Option 1.</w:t>
      </w:r>
      <w:r w:rsidR="007B521C">
        <w:t xml:space="preserve"> </w:t>
      </w:r>
      <w:r w:rsidR="00E42EB6">
        <w:t xml:space="preserve">It is also likely to affect </w:t>
      </w:r>
      <w:r w:rsidR="004C0C08">
        <w:t>large participants.</w:t>
      </w:r>
      <w:r w:rsidR="007B521C">
        <w:t xml:space="preserve"> </w:t>
      </w:r>
      <w:r w:rsidR="004C0C08">
        <w:t>Option 2 is likely to have an impact on 26% of the maximum number of dogs under any of the options</w:t>
      </w:r>
      <w:r w:rsidR="00FD6327">
        <w:t xml:space="preserve"> and against all drivers of welfare</w:t>
      </w:r>
      <w:r w:rsidR="004C0C08">
        <w:t xml:space="preserve"> (see Table 15).</w:t>
      </w:r>
      <w:r w:rsidR="007B521C">
        <w:t xml:space="preserve"> </w:t>
      </w:r>
      <w:r w:rsidR="004C0C08">
        <w:t xml:space="preserve">Option 2 is therefore awarded a score of </w:t>
      </w:r>
      <w:r w:rsidR="00FD6327">
        <w:t>+2.6</w:t>
      </w:r>
      <w:r w:rsidR="004C0C08">
        <w:t>.</w:t>
      </w:r>
    </w:p>
    <w:p w:rsidR="004C0C08" w:rsidRDefault="004C0C08" w:rsidP="00520F56">
      <w:pPr>
        <w:jc w:val="both"/>
      </w:pPr>
    </w:p>
    <w:p w:rsidR="004C0C08" w:rsidRDefault="004C0C08" w:rsidP="00520F56">
      <w:pPr>
        <w:jc w:val="both"/>
      </w:pPr>
      <w:r>
        <w:t>Option 3 (the proposed Code with industry enforcement) is estimated to affect the welfare of the maximum number of dogs (i.e. 14,185) as compared to the base case. Option 3 is also likely to have the greatest impact on dogs in terms of scope with all proposed standards being enforced in a criminal capacity. Option 3 is likely to have an impact on 100% of the maximum number of dogs under any of the options</w:t>
      </w:r>
      <w:r w:rsidR="00FD6327">
        <w:t xml:space="preserve"> and against each of the welfare drivers</w:t>
      </w:r>
      <w:r>
        <w:t xml:space="preserve"> (see Table 15).</w:t>
      </w:r>
      <w:r w:rsidR="007B521C">
        <w:t xml:space="preserve"> </w:t>
      </w:r>
      <w:r>
        <w:t>Option 3 is therefore award a score of +10.</w:t>
      </w:r>
    </w:p>
    <w:p w:rsidR="004C0C08" w:rsidRDefault="004C0C08" w:rsidP="00520F56">
      <w:pPr>
        <w:jc w:val="both"/>
      </w:pPr>
    </w:p>
    <w:p w:rsidR="00FD6327" w:rsidRDefault="004C0C08" w:rsidP="00FD6327">
      <w:pPr>
        <w:jc w:val="both"/>
      </w:pPr>
      <w:r>
        <w:t>Option 4 (the proposed Code with local government enforcement) is estimated to affect the welfare of up to 8,946 dogs as compared to the base case</w:t>
      </w:r>
      <w:r w:rsidR="00FD6327">
        <w:t xml:space="preserve"> due to lower compliance from less effective enforcement by councils who have conflicting priorities and are not </w:t>
      </w:r>
      <w:r w:rsidR="00FD6327">
        <w:lastRenderedPageBreak/>
        <w:t>specialised in greyhound management issues. Option 4 is likely to have an impact on 63% of the maximum number of dogs under any of the options and welfare drivers (see Table 15).</w:t>
      </w:r>
      <w:r w:rsidR="007B521C">
        <w:t xml:space="preserve"> </w:t>
      </w:r>
      <w:r w:rsidR="00FD6327">
        <w:t>Option 4 is therefore award a score of +6.3.</w:t>
      </w:r>
    </w:p>
    <w:p w:rsidR="004C0C08" w:rsidRDefault="004C0C08" w:rsidP="00520F56">
      <w:pPr>
        <w:jc w:val="both"/>
      </w:pPr>
    </w:p>
    <w:p w:rsidR="005B619E" w:rsidRDefault="00967599" w:rsidP="005B619E">
      <w:pPr>
        <w:jc w:val="both"/>
      </w:pPr>
      <w:r>
        <w:t xml:space="preserve">Option 5 (the proposed Code with industry enforcement and no additional health checks) is estimated to affect the welfare of up to 14,185 dogs (identical to Option 3) except for health checks where it is expected to have a ‘0’ </w:t>
      </w:r>
      <w:r w:rsidR="005B619E">
        <w:t>incremental effect on animal welfare.</w:t>
      </w:r>
      <w:r w:rsidR="007B521C">
        <w:t xml:space="preserve"> </w:t>
      </w:r>
      <w:r w:rsidR="005B619E">
        <w:t>Without understanding the weighting of the welfare impact of each of the drivers in Table 15, Option 5 is deemed to be as effective as Option 3 except for health checks.</w:t>
      </w:r>
      <w:r w:rsidR="007B521C">
        <w:t xml:space="preserve"> </w:t>
      </w:r>
      <w:r w:rsidR="005B619E">
        <w:t xml:space="preserve">That is, Option 5 is likely to have an impact on 100% of the maximum number of dogs under any of the options and against each of the welfare drivers (except health checks) (see Table 15). </w:t>
      </w:r>
      <w:r w:rsidR="000F4F7A">
        <w:t>Option 5 is likely to expose a maximum of 14,185 dogs including a maximum of 451 breeding females to welfare risk from reduced health checks and health plans. Option 5</w:t>
      </w:r>
      <w:r w:rsidR="005B619E">
        <w:t xml:space="preserve"> i</w:t>
      </w:r>
      <w:r w:rsidR="000F4F7A">
        <w:t>s therefore award a score of +8</w:t>
      </w:r>
      <w:r w:rsidR="000F4F7A">
        <w:rPr>
          <w:rStyle w:val="FootnoteReference"/>
        </w:rPr>
        <w:footnoteReference w:id="119"/>
      </w:r>
      <w:r w:rsidR="005B619E">
        <w:t>.</w:t>
      </w:r>
    </w:p>
    <w:p w:rsidR="000F4F7A" w:rsidRDefault="000F4F7A" w:rsidP="005B619E">
      <w:pPr>
        <w:jc w:val="both"/>
      </w:pPr>
    </w:p>
    <w:p w:rsidR="000F4F7A" w:rsidRDefault="003E5E5A" w:rsidP="000F4F7A">
      <w:pPr>
        <w:jc w:val="both"/>
      </w:pPr>
      <w:r>
        <w:t>Option 6</w:t>
      </w:r>
      <w:r w:rsidR="000F4F7A">
        <w:t xml:space="preserve"> (the proposed Code with industry enforcement</w:t>
      </w:r>
      <w:r>
        <w:t xml:space="preserve"> and reduced rearing requirements</w:t>
      </w:r>
      <w:r w:rsidR="000F4F7A">
        <w:t xml:space="preserve">) is estimated to affect the welfare of up to 14,185 dogs (identical to Option 3) except for </w:t>
      </w:r>
      <w:r w:rsidR="00153F80">
        <w:t>reduced rearing requirements where it is</w:t>
      </w:r>
      <w:r w:rsidR="000F4F7A">
        <w:t xml:space="preserve"> expected to have </w:t>
      </w:r>
      <w:r w:rsidR="00153F80">
        <w:t xml:space="preserve">a reduced </w:t>
      </w:r>
      <w:r w:rsidR="000F4F7A">
        <w:t>incremental effect on animal welfare</w:t>
      </w:r>
      <w:r w:rsidR="00153F80">
        <w:t xml:space="preserve"> for up to 14,185 dogs</w:t>
      </w:r>
      <w:r w:rsidR="000F4F7A">
        <w:t>.</w:t>
      </w:r>
      <w:r w:rsidR="00212421">
        <w:t xml:space="preserve"> Option 6</w:t>
      </w:r>
      <w:r w:rsidR="000F4F7A">
        <w:t xml:space="preserve"> is deemed to be as effective as Option 3 except for</w:t>
      </w:r>
      <w:r w:rsidR="00212421">
        <w:t xml:space="preserve"> rearing requirements</w:t>
      </w:r>
      <w:r w:rsidR="000F4F7A">
        <w:t>.</w:t>
      </w:r>
      <w:r w:rsidR="007B521C">
        <w:t xml:space="preserve"> </w:t>
      </w:r>
      <w:r w:rsidR="000F4F7A">
        <w:t xml:space="preserve">That is, </w:t>
      </w:r>
      <w:r w:rsidR="00212421">
        <w:t>Option 6</w:t>
      </w:r>
      <w:r w:rsidR="000F4F7A">
        <w:t xml:space="preserve"> is likely to have an impact on 100% of the maximum number of dogs under any of the options and against each of the welfare </w:t>
      </w:r>
      <w:r w:rsidR="00212421">
        <w:t>drivers (</w:t>
      </w:r>
      <w:r w:rsidR="000F4F7A">
        <w:t xml:space="preserve">see Table 15). </w:t>
      </w:r>
      <w:r w:rsidR="00212421">
        <w:t>However, Option 6</w:t>
      </w:r>
      <w:r w:rsidR="000F4F7A">
        <w:t xml:space="preserve"> is likely to expose a maximum of 14,185 dogs to welfare risk from reduced</w:t>
      </w:r>
      <w:r w:rsidR="00212421">
        <w:t xml:space="preserve"> socialisation</w:t>
      </w:r>
      <w:r w:rsidR="000B4FA5">
        <w:t xml:space="preserve"> with dogs exposed to only half the rearing opportunities (time) as compared to Option 3</w:t>
      </w:r>
      <w:r w:rsidR="000F4F7A">
        <w:t xml:space="preserve">. </w:t>
      </w:r>
      <w:r w:rsidR="00212421">
        <w:t>Option 6</w:t>
      </w:r>
      <w:r w:rsidR="000F4F7A">
        <w:t xml:space="preserve"> i</w:t>
      </w:r>
      <w:r w:rsidR="00212421">
        <w:t>s therefore award</w:t>
      </w:r>
      <w:r w:rsidR="00421383">
        <w:t>ed</w:t>
      </w:r>
      <w:r w:rsidR="00212421">
        <w:t xml:space="preserve"> a score of +</w:t>
      </w:r>
      <w:r w:rsidR="00623EF5">
        <w:t>7</w:t>
      </w:r>
      <w:r w:rsidR="000F4F7A">
        <w:rPr>
          <w:rStyle w:val="FootnoteReference"/>
        </w:rPr>
        <w:footnoteReference w:id="120"/>
      </w:r>
      <w:r w:rsidR="000F4F7A">
        <w:t>.</w:t>
      </w:r>
    </w:p>
    <w:p w:rsidR="000F4F7A" w:rsidRDefault="000F4F7A" w:rsidP="005B619E">
      <w:pPr>
        <w:jc w:val="both"/>
      </w:pPr>
    </w:p>
    <w:p w:rsidR="00DF0451" w:rsidRPr="00430C30" w:rsidRDefault="00212421" w:rsidP="005E307C">
      <w:pPr>
        <w:pStyle w:val="Heading3"/>
      </w:pPr>
      <w:bookmarkStart w:id="135" w:name="_Toc469529179"/>
      <w:bookmarkStart w:id="136" w:name="_Toc477190197"/>
      <w:r>
        <w:t>5.2.2</w:t>
      </w:r>
      <w:r w:rsidR="00DF0451">
        <w:t xml:space="preserve"> Rehoming potential criterion – analysis of options 1 to 6</w:t>
      </w:r>
      <w:bookmarkEnd w:id="135"/>
      <w:bookmarkEnd w:id="136"/>
    </w:p>
    <w:p w:rsidR="004C0C08" w:rsidRDefault="00DF0451" w:rsidP="00520F56">
      <w:pPr>
        <w:jc w:val="both"/>
      </w:pPr>
      <w:r>
        <w:t>The rehoming potential criterion is based on the premise that g</w:t>
      </w:r>
      <w:r w:rsidRPr="00DF0451">
        <w:t>reyhound</w:t>
      </w:r>
      <w:r>
        <w:t>s are given the chance to maximise their</w:t>
      </w:r>
      <w:r w:rsidRPr="00DF0451">
        <w:t xml:space="preserve"> potential to be rehomed throughout the lifecycle.</w:t>
      </w:r>
      <w:r w:rsidR="007B521C">
        <w:t xml:space="preserve"> </w:t>
      </w:r>
      <w:r w:rsidR="003B4140">
        <w:t>Although all the proposed standards are designed to have some influence on the rehoming potential of greyhounds, the GAP reform under proposed standard 6.3.12 is considered to be t</w:t>
      </w:r>
      <w:r>
        <w:t xml:space="preserve">he main </w:t>
      </w:r>
      <w:r w:rsidR="003B4140">
        <w:t xml:space="preserve">dedicated </w:t>
      </w:r>
      <w:r>
        <w:t>driver of rehabilitation and rehomin</w:t>
      </w:r>
      <w:r w:rsidR="003B4140">
        <w:t>g potential.</w:t>
      </w:r>
      <w:r w:rsidR="007B521C">
        <w:t xml:space="preserve"> </w:t>
      </w:r>
      <w:r w:rsidR="003B4140">
        <w:t xml:space="preserve">Consequently, </w:t>
      </w:r>
      <w:r>
        <w:t>options are assessed on their ability to encourage rehabilitation by owners</w:t>
      </w:r>
      <w:r w:rsidR="003B4140">
        <w:t xml:space="preserve"> under proposed standard 6.3.12.</w:t>
      </w:r>
      <w:r w:rsidR="00BE4CA4">
        <w:t xml:space="preserve"> </w:t>
      </w:r>
      <w:r w:rsidR="00BE4CA4" w:rsidRPr="004560C7">
        <w:t xml:space="preserve">Given that the economic value of improved </w:t>
      </w:r>
      <w:r w:rsidR="00BE4CA4">
        <w:t xml:space="preserve">rehabilitation potential </w:t>
      </w:r>
      <w:r w:rsidR="00BE4CA4" w:rsidRPr="004560C7">
        <w:t xml:space="preserve">per dog remains unknown, the </w:t>
      </w:r>
      <w:r w:rsidR="00BE4CA4" w:rsidRPr="004560C7">
        <w:rPr>
          <w:i/>
        </w:rPr>
        <w:t>number dogs affected</w:t>
      </w:r>
      <w:r w:rsidR="00BE4CA4" w:rsidRPr="004560C7">
        <w:t xml:space="preserve"> is used as a proxy value for </w:t>
      </w:r>
      <w:r w:rsidR="00BE4CA4">
        <w:t>rehoming potential benefits.</w:t>
      </w:r>
    </w:p>
    <w:p w:rsidR="004C0C08" w:rsidRDefault="004C0C08" w:rsidP="00520F56">
      <w:pPr>
        <w:jc w:val="both"/>
      </w:pPr>
    </w:p>
    <w:p w:rsidR="00BE4CA4" w:rsidRDefault="00BE4CA4" w:rsidP="00520F56">
      <w:pPr>
        <w:jc w:val="both"/>
      </w:pPr>
      <w:r>
        <w:t>The base case, with the current rehabilitation activities through GAP, is not expected to result in increased rehoming potential and therefore the base case is awarded a score of +0 against this criterion.</w:t>
      </w:r>
    </w:p>
    <w:p w:rsidR="00BE4CA4" w:rsidRDefault="00BE4CA4" w:rsidP="00520F56">
      <w:pPr>
        <w:jc w:val="both"/>
      </w:pPr>
    </w:p>
    <w:p w:rsidR="003B4140" w:rsidRDefault="003B4140" w:rsidP="00520F56">
      <w:pPr>
        <w:jc w:val="both"/>
      </w:pPr>
      <w:r>
        <w:t xml:space="preserve">As shown in Table 16, Option 1 is expected to result in an estimated 311 additional dogs being rehabilitated as compared to the base case and 7.4% of the maximum number of </w:t>
      </w:r>
      <w:r>
        <w:lastRenderedPageBreak/>
        <w:t>dogs rehabilitated under any of the options</w:t>
      </w:r>
      <w:r w:rsidR="00AD2785">
        <w:t xml:space="preserve"> (see Table 16)</w:t>
      </w:r>
      <w:r>
        <w:t>.</w:t>
      </w:r>
      <w:r w:rsidR="007B521C">
        <w:t xml:space="preserve"> </w:t>
      </w:r>
      <w:r>
        <w:t>Option 1 is therefore awarded a score of +0.7.</w:t>
      </w:r>
      <w:r w:rsidR="007B521C">
        <w:t xml:space="preserve"> </w:t>
      </w:r>
    </w:p>
    <w:p w:rsidR="003B4140" w:rsidRDefault="003B4140" w:rsidP="00520F56">
      <w:pPr>
        <w:jc w:val="both"/>
      </w:pPr>
    </w:p>
    <w:p w:rsidR="004C0C08" w:rsidRDefault="003B4140" w:rsidP="00520F56">
      <w:pPr>
        <w:jc w:val="both"/>
      </w:pPr>
      <w:r>
        <w:t>Option 2 is expected to result in an estimated 1,206 additional dogs being rehabilitated (i.e. 28.8% of the maximum number of dogs under any of the options (see Table 16)). Therefore, Option 2 is awarded a score of +2.9.</w:t>
      </w:r>
    </w:p>
    <w:p w:rsidR="003B4140" w:rsidRDefault="003B4140" w:rsidP="00520F56">
      <w:pPr>
        <w:jc w:val="both"/>
      </w:pPr>
    </w:p>
    <w:p w:rsidR="00C77237" w:rsidRPr="00C357B6" w:rsidRDefault="003B4140" w:rsidP="00520F56">
      <w:pPr>
        <w:jc w:val="both"/>
      </w:pPr>
      <w:r w:rsidRPr="00C77237">
        <w:t>Options 3</w:t>
      </w:r>
      <w:r w:rsidR="00C77237" w:rsidRPr="00C357B6">
        <w:t xml:space="preserve"> and</w:t>
      </w:r>
      <w:r w:rsidRPr="00C77237">
        <w:t xml:space="preserve"> 5 are expected to result in the maximum number of additional dogs being rehabilitated under any of the options (i.e. 4,189 dogs)</w:t>
      </w:r>
      <w:r w:rsidR="00AD2785">
        <w:t>(see Table 16)</w:t>
      </w:r>
      <w:r w:rsidRPr="00C77237">
        <w:t>.</w:t>
      </w:r>
      <w:r w:rsidR="007B521C">
        <w:t xml:space="preserve"> </w:t>
      </w:r>
      <w:r w:rsidR="00C77237" w:rsidRPr="00C357B6">
        <w:t>Therefore, Options 3 and 5</w:t>
      </w:r>
      <w:r w:rsidR="00C77237">
        <w:t xml:space="preserve"> which maximise</w:t>
      </w:r>
      <w:r w:rsidR="00C77237" w:rsidRPr="00C357B6">
        <w:t xml:space="preserve"> opportunities for socialisation, provide the largest rehoming potential and are provided a score of +10 against this criterion.</w:t>
      </w:r>
    </w:p>
    <w:p w:rsidR="00C77237" w:rsidRDefault="00C77237" w:rsidP="00520F56">
      <w:pPr>
        <w:jc w:val="both"/>
        <w:rPr>
          <w:highlight w:val="green"/>
        </w:rPr>
      </w:pPr>
    </w:p>
    <w:p w:rsidR="003B4140" w:rsidRDefault="003B4140" w:rsidP="00620946">
      <w:pPr>
        <w:jc w:val="both"/>
      </w:pPr>
      <w:r>
        <w:t xml:space="preserve">Option 4 is expected to result in 2,698 additional dogs being rehabilitated, as compared against the base case, and 64.4% of the maximum number of dogs being rehabilitated </w:t>
      </w:r>
      <w:r w:rsidR="00BE4CA4">
        <w:t>and therefore Option 4 is awarded a score of +6.4.</w:t>
      </w:r>
    </w:p>
    <w:p w:rsidR="00212421" w:rsidRDefault="00212421" w:rsidP="00212421">
      <w:pPr>
        <w:jc w:val="both"/>
        <w:rPr>
          <w:color w:val="000000" w:themeColor="text1"/>
        </w:rPr>
      </w:pPr>
    </w:p>
    <w:p w:rsidR="00C77237" w:rsidRDefault="00AD2785" w:rsidP="00C77237">
      <w:pPr>
        <w:jc w:val="both"/>
      </w:pPr>
      <w:r>
        <w:t>Finally, Option 6 is expected to result in 2,170</w:t>
      </w:r>
      <w:r w:rsidR="00C77237">
        <w:t xml:space="preserve"> additional dogs being rehabilitated, as compar</w:t>
      </w:r>
      <w:r>
        <w:t>ed against the base case, and 51.8</w:t>
      </w:r>
      <w:r w:rsidR="00C77237">
        <w:t>% of the maximum number of dogs being rehabilitated and therefore Opti</w:t>
      </w:r>
      <w:r>
        <w:t>on 6 is awarded a score of +5.2</w:t>
      </w:r>
      <w:r w:rsidR="00C77237">
        <w:t>.</w:t>
      </w:r>
    </w:p>
    <w:p w:rsidR="00C77237" w:rsidRDefault="00C77237" w:rsidP="00212421">
      <w:pPr>
        <w:jc w:val="both"/>
        <w:rPr>
          <w:color w:val="000000" w:themeColor="text1"/>
        </w:rPr>
      </w:pPr>
    </w:p>
    <w:p w:rsidR="00520F56" w:rsidRPr="00430C30" w:rsidRDefault="00520F56" w:rsidP="005E307C">
      <w:pPr>
        <w:pStyle w:val="Heading3"/>
      </w:pPr>
      <w:bookmarkStart w:id="137" w:name="_Toc469529180"/>
      <w:bookmarkStart w:id="138" w:name="_Toc477190198"/>
      <w:r>
        <w:t xml:space="preserve">5.2.3 </w:t>
      </w:r>
      <w:r w:rsidR="00212421" w:rsidRPr="00212421">
        <w:t xml:space="preserve">Net compliance cost to industry and government </w:t>
      </w:r>
      <w:r>
        <w:t>– analysis of options 1 to 6</w:t>
      </w:r>
      <w:bookmarkEnd w:id="137"/>
      <w:bookmarkEnd w:id="138"/>
    </w:p>
    <w:p w:rsidR="004E304E" w:rsidRDefault="00BE4CA4" w:rsidP="00620946">
      <w:pPr>
        <w:jc w:val="both"/>
      </w:pPr>
      <w:r>
        <w:t xml:space="preserve">The net compliance cost to industry and government considers the incremental quantifiable costs net of any cost savings of the options against the base case. </w:t>
      </w:r>
    </w:p>
    <w:p w:rsidR="00BE4CA4" w:rsidRDefault="00BE4CA4" w:rsidP="00620946">
      <w:pPr>
        <w:jc w:val="both"/>
      </w:pPr>
    </w:p>
    <w:p w:rsidR="00BE4CA4" w:rsidRDefault="00BE4CA4" w:rsidP="00BE4CA4">
      <w:pPr>
        <w:jc w:val="both"/>
      </w:pPr>
      <w:r>
        <w:t xml:space="preserve">The base </w:t>
      </w:r>
      <w:r w:rsidR="007D7A02">
        <w:t>case</w:t>
      </w:r>
      <w:r>
        <w:t xml:space="preserve"> is not expected to result in any increase in net compliance costs and therefore it is awarded a score of +0 against this criterion.</w:t>
      </w:r>
    </w:p>
    <w:p w:rsidR="004E304E" w:rsidRDefault="004E304E" w:rsidP="00620946">
      <w:pPr>
        <w:jc w:val="both"/>
      </w:pPr>
    </w:p>
    <w:p w:rsidR="00DF086B" w:rsidRDefault="00DF086B" w:rsidP="00DF086B">
      <w:pPr>
        <w:jc w:val="both"/>
      </w:pPr>
      <w:r>
        <w:t>Table 18</w:t>
      </w:r>
      <w:r w:rsidR="00854038">
        <w:t xml:space="preserve"> provides a summary of all </w:t>
      </w:r>
      <w:r w:rsidR="004311EF">
        <w:t xml:space="preserve">estimated </w:t>
      </w:r>
      <w:r w:rsidR="00854038">
        <w:t>incremental costs as a comparison against all Options 1 to 6 and all estimates are obtained from Sections A4.3 to A4.13 in Appendix 4.</w:t>
      </w:r>
      <w:r w:rsidR="007B521C">
        <w:t xml:space="preserve"> </w:t>
      </w:r>
    </w:p>
    <w:p w:rsidR="00DF086B" w:rsidRDefault="00DF086B" w:rsidP="00DF086B">
      <w:pPr>
        <w:jc w:val="both"/>
      </w:pPr>
    </w:p>
    <w:p w:rsidR="00C02451" w:rsidRDefault="00C02451">
      <w:pPr>
        <w:rPr>
          <w:b/>
          <w:sz w:val="20"/>
        </w:rPr>
      </w:pPr>
      <w:r>
        <w:rPr>
          <w:b/>
          <w:sz w:val="20"/>
        </w:rPr>
        <w:br w:type="page"/>
      </w:r>
    </w:p>
    <w:p w:rsidR="00854038" w:rsidRDefault="00DF086B" w:rsidP="00854038">
      <w:pPr>
        <w:jc w:val="center"/>
        <w:rPr>
          <w:b/>
          <w:sz w:val="20"/>
        </w:rPr>
      </w:pPr>
      <w:r>
        <w:rPr>
          <w:b/>
          <w:sz w:val="20"/>
        </w:rPr>
        <w:lastRenderedPageBreak/>
        <w:t>Table 18</w:t>
      </w:r>
      <w:r w:rsidR="00854038" w:rsidRPr="000A087D">
        <w:rPr>
          <w:b/>
          <w:sz w:val="20"/>
        </w:rPr>
        <w:t xml:space="preserve">: </w:t>
      </w:r>
      <w:r w:rsidR="00854038">
        <w:rPr>
          <w:b/>
          <w:sz w:val="20"/>
        </w:rPr>
        <w:t xml:space="preserve">Summary of </w:t>
      </w:r>
      <w:r w:rsidR="004311EF">
        <w:rPr>
          <w:b/>
          <w:sz w:val="20"/>
        </w:rPr>
        <w:t>estimated</w:t>
      </w:r>
      <w:r w:rsidR="00854038">
        <w:rPr>
          <w:b/>
          <w:sz w:val="20"/>
        </w:rPr>
        <w:t xml:space="preserve"> incremental costs </w:t>
      </w:r>
      <w:r w:rsidR="00F81517">
        <w:rPr>
          <w:b/>
          <w:sz w:val="20"/>
        </w:rPr>
        <w:t xml:space="preserve">$m </w:t>
      </w:r>
      <w:r w:rsidR="00854038">
        <w:rPr>
          <w:b/>
          <w:sz w:val="20"/>
        </w:rPr>
        <w:t>– Options 1 to 6</w:t>
      </w:r>
      <w:r>
        <w:rPr>
          <w:rStyle w:val="FootnoteReference"/>
          <w:b/>
          <w:sz w:val="20"/>
        </w:rPr>
        <w:footnoteReference w:id="121"/>
      </w:r>
    </w:p>
    <w:p w:rsidR="00854038" w:rsidRPr="008A02E4" w:rsidRDefault="00854038" w:rsidP="00854038">
      <w:pPr>
        <w:rPr>
          <w:rFonts w:asciiTheme="majorHAnsi" w:eastAsiaTheme="majorEastAsia" w:hAnsiTheme="majorHAnsi" w:cstheme="majorBidi"/>
          <w:b/>
          <w:color w:val="53565A"/>
          <w:sz w:val="26"/>
          <w:szCs w:val="26"/>
        </w:rPr>
      </w:pPr>
    </w:p>
    <w:tbl>
      <w:tblPr>
        <w:tblW w:w="9098" w:type="dxa"/>
        <w:jc w:val="center"/>
        <w:tblLayout w:type="fixed"/>
        <w:tblLook w:val="04A0" w:firstRow="1" w:lastRow="0" w:firstColumn="1" w:lastColumn="0" w:noHBand="0" w:noVBand="1"/>
      </w:tblPr>
      <w:tblGrid>
        <w:gridCol w:w="672"/>
        <w:gridCol w:w="2872"/>
        <w:gridCol w:w="992"/>
        <w:gridCol w:w="872"/>
        <w:gridCol w:w="903"/>
        <w:gridCol w:w="942"/>
        <w:gridCol w:w="903"/>
        <w:gridCol w:w="942"/>
      </w:tblGrid>
      <w:tr w:rsidR="00854038" w:rsidRPr="008A02E4" w:rsidTr="00503B24">
        <w:trPr>
          <w:trHeight w:val="300"/>
          <w:tblHeader/>
          <w:jc w:val="center"/>
        </w:trPr>
        <w:tc>
          <w:tcPr>
            <w:tcW w:w="672" w:type="dxa"/>
            <w:tcBorders>
              <w:left w:val="nil"/>
              <w:right w:val="nil"/>
            </w:tcBorders>
            <w:shd w:val="clear" w:color="auto" w:fill="auto"/>
            <w:noWrap/>
            <w:vAlign w:val="bottom"/>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2872" w:type="dxa"/>
            <w:tcBorders>
              <w:left w:val="nil"/>
              <w:right w:val="nil"/>
            </w:tcBorders>
            <w:shd w:val="clear" w:color="auto" w:fill="auto"/>
            <w:noWrap/>
            <w:vAlign w:val="bottom"/>
          </w:tcPr>
          <w:p w:rsidR="00854038" w:rsidRPr="008A02E4" w:rsidRDefault="00854038" w:rsidP="00841AAB">
            <w:pPr>
              <w:rPr>
                <w:rFonts w:eastAsia="Times New Roman" w:cs="Calibri"/>
                <w:b/>
                <w:color w:val="53565A"/>
                <w:sz w:val="18"/>
                <w:szCs w:val="18"/>
                <w:lang w:eastAsia="en-AU"/>
              </w:rPr>
            </w:pPr>
          </w:p>
        </w:tc>
        <w:tc>
          <w:tcPr>
            <w:tcW w:w="99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1</w:t>
            </w:r>
          </w:p>
        </w:tc>
        <w:tc>
          <w:tcPr>
            <w:tcW w:w="87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2</w:t>
            </w:r>
          </w:p>
        </w:tc>
        <w:tc>
          <w:tcPr>
            <w:tcW w:w="903"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3</w:t>
            </w:r>
          </w:p>
        </w:tc>
        <w:tc>
          <w:tcPr>
            <w:tcW w:w="94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4</w:t>
            </w:r>
          </w:p>
        </w:tc>
        <w:tc>
          <w:tcPr>
            <w:tcW w:w="903"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5</w:t>
            </w:r>
          </w:p>
        </w:tc>
        <w:tc>
          <w:tcPr>
            <w:tcW w:w="942" w:type="dxa"/>
            <w:tcBorders>
              <w:top w:val="single" w:sz="4" w:space="0" w:color="0F243E" w:themeColor="text2" w:themeShade="80"/>
              <w:left w:val="nil"/>
              <w:bottom w:val="single" w:sz="4" w:space="0" w:color="0F243E" w:themeColor="text2" w:themeShade="80"/>
              <w:right w:val="nil"/>
            </w:tcBorders>
            <w:shd w:val="clear" w:color="auto" w:fill="auto"/>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Option 6</w:t>
            </w:r>
          </w:p>
        </w:tc>
      </w:tr>
      <w:tr w:rsidR="00854038" w:rsidRPr="008A02E4" w:rsidTr="00503B24">
        <w:trPr>
          <w:trHeight w:val="610"/>
          <w:tblHeader/>
          <w:jc w:val="center"/>
        </w:trPr>
        <w:tc>
          <w:tcPr>
            <w:tcW w:w="672" w:type="dxa"/>
            <w:tcBorders>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Std.</w:t>
            </w:r>
          </w:p>
        </w:tc>
        <w:tc>
          <w:tcPr>
            <w:tcW w:w="2872" w:type="dxa"/>
            <w:tcBorders>
              <w:left w:val="nil"/>
              <w:bottom w:val="double" w:sz="4" w:space="0" w:color="244061" w:themeColor="accent1" w:themeShade="80"/>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Nature of quantifiable cost</w:t>
            </w:r>
          </w:p>
        </w:tc>
        <w:tc>
          <w:tcPr>
            <w:tcW w:w="992"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c>
          <w:tcPr>
            <w:tcW w:w="872"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c>
          <w:tcPr>
            <w:tcW w:w="903"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c>
          <w:tcPr>
            <w:tcW w:w="942"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c>
          <w:tcPr>
            <w:tcW w:w="903"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c>
          <w:tcPr>
            <w:tcW w:w="942" w:type="dxa"/>
            <w:tcBorders>
              <w:top w:val="single" w:sz="4" w:space="0" w:color="0F243E" w:themeColor="text2" w:themeShade="80"/>
              <w:left w:val="nil"/>
              <w:bottom w:val="double" w:sz="4" w:space="0" w:color="244061" w:themeColor="accent1" w:themeShade="80"/>
              <w:right w:val="nil"/>
            </w:tcBorders>
            <w:shd w:val="clear" w:color="auto" w:fill="auto"/>
            <w:noWrap/>
            <w:vAlign w:val="bottom"/>
            <w:hideMark/>
          </w:tcPr>
          <w:p w:rsidR="00854038" w:rsidRPr="008A02E4" w:rsidRDefault="00854038" w:rsidP="00841AAB">
            <w:pPr>
              <w:jc w:val="center"/>
              <w:rPr>
                <w:rFonts w:eastAsia="Times New Roman" w:cs="Calibri"/>
                <w:b/>
                <w:color w:val="53565A"/>
                <w:sz w:val="18"/>
                <w:szCs w:val="18"/>
                <w:lang w:eastAsia="en-AU"/>
              </w:rPr>
            </w:pPr>
            <w:r w:rsidRPr="008A02E4">
              <w:rPr>
                <w:rFonts w:eastAsia="Times New Roman" w:cs="Calibri"/>
                <w:b/>
                <w:color w:val="53565A"/>
                <w:sz w:val="18"/>
                <w:szCs w:val="18"/>
                <w:lang w:eastAsia="en-AU"/>
              </w:rPr>
              <w:t>10-year PV</w:t>
            </w:r>
          </w:p>
        </w:tc>
      </w:tr>
      <w:tr w:rsidR="00854038" w:rsidRPr="00F5127B" w:rsidTr="00503B24">
        <w:trPr>
          <w:trHeight w:val="317"/>
          <w:jc w:val="center"/>
        </w:trPr>
        <w:tc>
          <w:tcPr>
            <w:tcW w:w="672"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N/A</w:t>
            </w:r>
          </w:p>
        </w:tc>
        <w:tc>
          <w:tcPr>
            <w:tcW w:w="2872" w:type="dxa"/>
            <w:tcBorders>
              <w:top w:val="doub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Media</w:t>
            </w:r>
          </w:p>
        </w:tc>
        <w:tc>
          <w:tcPr>
            <w:tcW w:w="992"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$0.965</w:t>
            </w:r>
          </w:p>
        </w:tc>
        <w:tc>
          <w:tcPr>
            <w:tcW w:w="872"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N/A</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3.1</w:t>
            </w:r>
          </w:p>
        </w:tc>
        <w:tc>
          <w:tcPr>
            <w:tcW w:w="2872" w:type="dxa"/>
            <w:tcBorders>
              <w:top w:val="nil"/>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Staff Ratio 1:25</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$2.074</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$5.006</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$7.938</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3.6</w:t>
            </w:r>
          </w:p>
        </w:tc>
        <w:tc>
          <w:tcPr>
            <w:tcW w:w="2872" w:type="dxa"/>
            <w:tcBorders>
              <w:top w:val="nil"/>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Independent VET</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$0.001</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$0.003</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$0.004</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4.1</w:t>
            </w:r>
          </w:p>
        </w:tc>
        <w:tc>
          <w:tcPr>
            <w:tcW w:w="2872" w:type="dxa"/>
            <w:tcBorders>
              <w:top w:val="nil"/>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Health management plans</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$0.668</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$0.939</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$1.387</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$1.835</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5</w:t>
            </w:r>
          </w:p>
        </w:tc>
        <w:tc>
          <w:tcPr>
            <w:tcW w:w="2872" w:type="dxa"/>
            <w:tcBorders>
              <w:top w:val="nil"/>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Record keeping</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$0.027</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$0.178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$0.428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$0.679</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5.2.1</w:t>
            </w:r>
          </w:p>
        </w:tc>
        <w:tc>
          <w:tcPr>
            <w:tcW w:w="2872" w:type="dxa"/>
            <w:tcBorders>
              <w:top w:val="nil"/>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Records of health &amp; transfer</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$0.043</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$0.284</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$0.685</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$1.087</w:t>
            </w:r>
          </w:p>
        </w:tc>
      </w:tr>
      <w:tr w:rsidR="00854038" w:rsidRPr="00F5127B" w:rsidTr="00503B24">
        <w:trPr>
          <w:trHeight w:val="80"/>
          <w:jc w:val="center"/>
        </w:trPr>
        <w:tc>
          <w:tcPr>
            <w:tcW w:w="6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center"/>
              <w:rPr>
                <w:rFonts w:ascii="Times New Roman" w:eastAsia="Times New Roman" w:hAnsi="Times New Roman" w:cs="Times New Roman"/>
                <w:sz w:val="18"/>
                <w:szCs w:val="18"/>
                <w:lang w:eastAsia="en-AU"/>
              </w:rPr>
            </w:pPr>
          </w:p>
        </w:tc>
        <w:tc>
          <w:tcPr>
            <w:tcW w:w="99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r>
      <w:tr w:rsidR="00854038" w:rsidRPr="008A02E4" w:rsidTr="00503B24">
        <w:trPr>
          <w:trHeight w:val="70"/>
          <w:jc w:val="center"/>
        </w:trPr>
        <w:tc>
          <w:tcPr>
            <w:tcW w:w="6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2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Food</w:t>
            </w:r>
          </w:p>
        </w:tc>
        <w:tc>
          <w:tcPr>
            <w:tcW w:w="99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color w:val="53565A"/>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6.1.1</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Food receptacle and hygiene</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$0.027</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$0.181</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$0.695</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$0.438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$0.695</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$0.695</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6.1.1</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Food storage</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$0.000</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$0.003</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$0.013</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$0.013</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$0.013</w:t>
            </w:r>
          </w:p>
        </w:tc>
      </w:tr>
      <w:tr w:rsidR="00854038" w:rsidRPr="00F5127B" w:rsidTr="00503B24">
        <w:trPr>
          <w:trHeight w:val="80"/>
          <w:jc w:val="center"/>
        </w:trPr>
        <w:tc>
          <w:tcPr>
            <w:tcW w:w="6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p>
        </w:tc>
        <w:tc>
          <w:tcPr>
            <w:tcW w:w="2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6.1.1</w:t>
            </w:r>
          </w:p>
        </w:tc>
        <w:tc>
          <w:tcPr>
            <w:tcW w:w="99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$0.027</w:t>
            </w:r>
          </w:p>
        </w:tc>
        <w:tc>
          <w:tcPr>
            <w:tcW w:w="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$0.185</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$0.707</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$0.446</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$0.707</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$0.707</w:t>
            </w:r>
          </w:p>
        </w:tc>
      </w:tr>
      <w:tr w:rsidR="00854038" w:rsidRPr="00F5127B" w:rsidTr="00503B24">
        <w:trPr>
          <w:trHeight w:val="70"/>
          <w:jc w:val="center"/>
        </w:trPr>
        <w:tc>
          <w:tcPr>
            <w:tcW w:w="6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center"/>
              <w:rPr>
                <w:rFonts w:ascii="Times New Roman" w:eastAsia="Times New Roman" w:hAnsi="Times New Roman" w:cs="Times New Roman"/>
                <w:sz w:val="18"/>
                <w:szCs w:val="18"/>
                <w:lang w:eastAsia="en-AU"/>
              </w:rPr>
            </w:pPr>
          </w:p>
        </w:tc>
        <w:tc>
          <w:tcPr>
            <w:tcW w:w="99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r>
      <w:tr w:rsidR="00854038" w:rsidRPr="008A02E4" w:rsidTr="00503B24">
        <w:trPr>
          <w:trHeight w:val="70"/>
          <w:jc w:val="center"/>
        </w:trPr>
        <w:tc>
          <w:tcPr>
            <w:tcW w:w="6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2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Health checks</w:t>
            </w:r>
          </w:p>
        </w:tc>
        <w:tc>
          <w:tcPr>
            <w:tcW w:w="99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color w:val="53565A"/>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6.2.3</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Health checks (breeding females)</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$0.053</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$0.358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$1.368</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$0.863</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$0.000</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$1.368</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6.2.3</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Health checks (all greyhounds)</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$0.567</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$3.752</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$14.359</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$9.055</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$0.000</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$14.359</w:t>
            </w:r>
          </w:p>
        </w:tc>
      </w:tr>
      <w:tr w:rsidR="00854038" w:rsidRPr="00F5127B" w:rsidTr="00503B24">
        <w:trPr>
          <w:trHeight w:val="80"/>
          <w:jc w:val="center"/>
        </w:trPr>
        <w:tc>
          <w:tcPr>
            <w:tcW w:w="6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6.2.3</w:t>
            </w:r>
          </w:p>
        </w:tc>
        <w:tc>
          <w:tcPr>
            <w:tcW w:w="99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$0.620</w:t>
            </w:r>
          </w:p>
        </w:tc>
        <w:tc>
          <w:tcPr>
            <w:tcW w:w="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$4.110</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$15.727</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$9.918</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$15.727</w:t>
            </w:r>
          </w:p>
        </w:tc>
      </w:tr>
      <w:tr w:rsidR="00854038" w:rsidRPr="00F5127B" w:rsidTr="00503B24">
        <w:trPr>
          <w:trHeight w:val="70"/>
          <w:jc w:val="center"/>
        </w:trPr>
        <w:tc>
          <w:tcPr>
            <w:tcW w:w="6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center"/>
              <w:rPr>
                <w:rFonts w:ascii="Times New Roman" w:eastAsia="Times New Roman" w:hAnsi="Times New Roman" w:cs="Times New Roman"/>
                <w:sz w:val="18"/>
                <w:szCs w:val="18"/>
                <w:lang w:eastAsia="en-AU"/>
              </w:rPr>
            </w:pPr>
          </w:p>
        </w:tc>
        <w:tc>
          <w:tcPr>
            <w:tcW w:w="99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r>
      <w:tr w:rsidR="00854038" w:rsidRPr="008A02E4" w:rsidTr="00503B24">
        <w:trPr>
          <w:trHeight w:val="70"/>
          <w:jc w:val="center"/>
        </w:trPr>
        <w:tc>
          <w:tcPr>
            <w:tcW w:w="6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2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Rearing</w:t>
            </w:r>
          </w:p>
        </w:tc>
        <w:tc>
          <w:tcPr>
            <w:tcW w:w="99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eastAsia="Times New Roman" w:cs="Calibri"/>
                <w:color w:val="53565A"/>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6.3.9</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Rearing (8 to 16 weeks)</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$0.007</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$0.050</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$0.190</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$0.120</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$0.190</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$0.190</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6.3.9</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Rearing (16 weeks to 18 months)</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$1.523</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$9.728</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$37.226</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$23.476</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$37.226</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r w:rsidRPr="00F5127B">
              <w:rPr>
                <w:rFonts w:eastAsia="Times New Roman" w:cs="Calibri"/>
                <w:sz w:val="18"/>
                <w:szCs w:val="18"/>
                <w:lang w:eastAsia="en-AU"/>
              </w:rPr>
              <w:t>$19.408</w:t>
            </w:r>
          </w:p>
        </w:tc>
      </w:tr>
      <w:tr w:rsidR="00854038" w:rsidRPr="00F5127B" w:rsidTr="00503B24">
        <w:trPr>
          <w:trHeight w:val="80"/>
          <w:jc w:val="center"/>
        </w:trPr>
        <w:tc>
          <w:tcPr>
            <w:tcW w:w="6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6.3.9</w:t>
            </w:r>
          </w:p>
        </w:tc>
        <w:tc>
          <w:tcPr>
            <w:tcW w:w="99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$1.531</w:t>
            </w:r>
          </w:p>
        </w:tc>
        <w:tc>
          <w:tcPr>
            <w:tcW w:w="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$9.777</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$37.416</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$23.596</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$37.416</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$19.599</w:t>
            </w:r>
          </w:p>
        </w:tc>
      </w:tr>
      <w:tr w:rsidR="00854038" w:rsidRPr="00F5127B" w:rsidTr="00503B24">
        <w:trPr>
          <w:trHeight w:val="72"/>
          <w:jc w:val="center"/>
        </w:trPr>
        <w:tc>
          <w:tcPr>
            <w:tcW w:w="6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center"/>
              <w:rPr>
                <w:rFonts w:ascii="Times New Roman" w:eastAsia="Times New Roman" w:hAnsi="Times New Roman" w:cs="Times New Roman"/>
                <w:sz w:val="18"/>
                <w:szCs w:val="18"/>
                <w:lang w:eastAsia="en-AU"/>
              </w:rPr>
            </w:pPr>
          </w:p>
        </w:tc>
        <w:tc>
          <w:tcPr>
            <w:tcW w:w="99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ascii="Times New Roman" w:eastAsia="Times New Roman" w:hAnsi="Times New Roman" w:cs="Times New Roman"/>
                <w:sz w:val="18"/>
                <w:szCs w:val="18"/>
                <w:lang w:eastAsia="en-AU"/>
              </w:rPr>
            </w:pPr>
          </w:p>
        </w:tc>
      </w:tr>
      <w:tr w:rsidR="00854038" w:rsidRPr="008A02E4" w:rsidTr="00503B24">
        <w:trPr>
          <w:trHeight w:val="70"/>
          <w:jc w:val="center"/>
        </w:trPr>
        <w:tc>
          <w:tcPr>
            <w:tcW w:w="67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287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eastAsia="Times New Roman" w:cs="Calibri"/>
                <w:b/>
                <w:color w:val="53565A"/>
                <w:sz w:val="18"/>
                <w:szCs w:val="18"/>
                <w:lang w:eastAsia="en-AU"/>
              </w:rPr>
            </w:pPr>
            <w:r w:rsidRPr="008A02E4">
              <w:rPr>
                <w:rFonts w:eastAsia="Times New Roman" w:cs="Calibri"/>
                <w:b/>
                <w:color w:val="53565A"/>
                <w:sz w:val="18"/>
                <w:szCs w:val="18"/>
                <w:lang w:eastAsia="en-AU"/>
              </w:rPr>
              <w:t>Gap reform</w:t>
            </w:r>
          </w:p>
        </w:tc>
        <w:tc>
          <w:tcPr>
            <w:tcW w:w="99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eastAsia="Times New Roman" w:cs="Calibri"/>
                <w:color w:val="53565A"/>
                <w:sz w:val="18"/>
                <w:szCs w:val="18"/>
                <w:lang w:eastAsia="en-AU"/>
              </w:rPr>
            </w:pPr>
          </w:p>
        </w:tc>
        <w:tc>
          <w:tcPr>
            <w:tcW w:w="87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03"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c>
          <w:tcPr>
            <w:tcW w:w="942" w:type="dxa"/>
            <w:tcBorders>
              <w:top w:val="single" w:sz="4" w:space="0" w:color="244061" w:themeColor="accent1" w:themeShade="80"/>
              <w:left w:val="nil"/>
              <w:right w:val="nil"/>
            </w:tcBorders>
            <w:shd w:val="clear" w:color="auto" w:fill="auto"/>
            <w:noWrap/>
            <w:vAlign w:val="bottom"/>
            <w:hideMark/>
          </w:tcPr>
          <w:p w:rsidR="00854038" w:rsidRPr="008A02E4" w:rsidRDefault="00854038" w:rsidP="00841AAB">
            <w:pPr>
              <w:rPr>
                <w:rFonts w:ascii="Times New Roman" w:eastAsia="Times New Roman" w:hAnsi="Times New Roman" w:cs="Times New Roman"/>
                <w:color w:val="53565A"/>
                <w:sz w:val="18"/>
                <w:szCs w:val="18"/>
                <w:lang w:eastAsia="en-AU"/>
              </w:rPr>
            </w:pPr>
          </w:p>
        </w:tc>
      </w:tr>
      <w:tr w:rsidR="00854038" w:rsidRPr="00F5127B" w:rsidTr="00503B24">
        <w:trPr>
          <w:trHeight w:val="80"/>
          <w:jc w:val="center"/>
        </w:trPr>
        <w:tc>
          <w:tcPr>
            <w:tcW w:w="672" w:type="dxa"/>
            <w:tcBorders>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Food and shelter savings for owners</w:t>
            </w:r>
          </w:p>
        </w:tc>
        <w:tc>
          <w:tcPr>
            <w:tcW w:w="99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c>
          <w:tcPr>
            <w:tcW w:w="87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-$4.087</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Euthanasia savings for owners</w:t>
            </w:r>
          </w:p>
        </w:tc>
        <w:tc>
          <w:tcPr>
            <w:tcW w:w="99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c>
          <w:tcPr>
            <w:tcW w:w="87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c>
          <w:tcPr>
            <w:tcW w:w="903"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c>
          <w:tcPr>
            <w:tcW w:w="94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c>
          <w:tcPr>
            <w:tcW w:w="903"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c>
          <w:tcPr>
            <w:tcW w:w="94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-$2.982</w:t>
            </w:r>
          </w:p>
        </w:tc>
      </w:tr>
      <w:tr w:rsidR="00854038" w:rsidRPr="00F5127B" w:rsidTr="00C357B6">
        <w:trPr>
          <w:trHeight w:val="126"/>
          <w:jc w:val="center"/>
        </w:trPr>
        <w:tc>
          <w:tcPr>
            <w:tcW w:w="672" w:type="dxa"/>
            <w:tcBorders>
              <w:top w:val="nil"/>
              <w:left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 xml:space="preserve">Rehoming savings for owners </w:t>
            </w:r>
          </w:p>
        </w:tc>
        <w:tc>
          <w:tcPr>
            <w:tcW w:w="99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c>
          <w:tcPr>
            <w:tcW w:w="87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-$6.972</w:t>
            </w:r>
          </w:p>
        </w:tc>
      </w:tr>
      <w:tr w:rsidR="00854038" w:rsidRPr="00F5127B" w:rsidTr="00C357B6">
        <w:trPr>
          <w:trHeight w:val="341"/>
          <w:jc w:val="center"/>
        </w:trPr>
        <w:tc>
          <w:tcPr>
            <w:tcW w:w="672" w:type="dxa"/>
            <w:tcBorders>
              <w:left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Savings for owners</w:t>
            </w:r>
          </w:p>
        </w:tc>
        <w:tc>
          <w:tcPr>
            <w:tcW w:w="99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c>
          <w:tcPr>
            <w:tcW w:w="87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-$14.041</w:t>
            </w:r>
          </w:p>
        </w:tc>
      </w:tr>
      <w:tr w:rsidR="00854038" w:rsidRPr="00F5127B" w:rsidTr="00503B24">
        <w:trPr>
          <w:trHeight w:val="313"/>
          <w:jc w:val="center"/>
        </w:trPr>
        <w:tc>
          <w:tcPr>
            <w:tcW w:w="672" w:type="dxa"/>
            <w:tcBorders>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Euthanasia savings for GAP</w:t>
            </w:r>
          </w:p>
        </w:tc>
        <w:tc>
          <w:tcPr>
            <w:tcW w:w="99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c>
          <w:tcPr>
            <w:tcW w:w="87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-$0.161</w:t>
            </w:r>
          </w:p>
        </w:tc>
      </w:tr>
      <w:tr w:rsidR="000C06C0" w:rsidRPr="00F5127B" w:rsidTr="00503B24">
        <w:trPr>
          <w:trHeight w:val="80"/>
          <w:jc w:val="center"/>
        </w:trPr>
        <w:tc>
          <w:tcPr>
            <w:tcW w:w="672" w:type="dxa"/>
            <w:tcBorders>
              <w:top w:val="nil"/>
              <w:left w:val="nil"/>
              <w:bottom w:val="nil"/>
              <w:right w:val="nil"/>
            </w:tcBorders>
            <w:shd w:val="clear" w:color="auto" w:fill="auto"/>
            <w:noWrap/>
            <w:vAlign w:val="bottom"/>
            <w:hideMark/>
          </w:tcPr>
          <w:p w:rsidR="000C06C0" w:rsidRPr="00F5127B" w:rsidRDefault="000C06C0" w:rsidP="000C06C0">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bottom w:val="nil"/>
              <w:right w:val="nil"/>
            </w:tcBorders>
            <w:shd w:val="clear" w:color="auto" w:fill="auto"/>
            <w:noWrap/>
            <w:vAlign w:val="bottom"/>
            <w:hideMark/>
          </w:tcPr>
          <w:p w:rsidR="000C06C0" w:rsidRPr="00F5127B" w:rsidRDefault="000C06C0" w:rsidP="000C06C0">
            <w:pPr>
              <w:rPr>
                <w:rFonts w:eastAsia="Times New Roman" w:cs="Calibri"/>
                <w:sz w:val="18"/>
                <w:szCs w:val="18"/>
                <w:lang w:eastAsia="en-AU"/>
              </w:rPr>
            </w:pPr>
            <w:r w:rsidRPr="00F5127B">
              <w:rPr>
                <w:rFonts w:eastAsia="Times New Roman" w:cs="Calibri"/>
                <w:sz w:val="18"/>
                <w:szCs w:val="18"/>
                <w:lang w:eastAsia="en-AU"/>
              </w:rPr>
              <w:t>Rehoming savings for GAP</w:t>
            </w:r>
          </w:p>
        </w:tc>
        <w:tc>
          <w:tcPr>
            <w:tcW w:w="992"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c>
          <w:tcPr>
            <w:tcW w:w="872"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c>
          <w:tcPr>
            <w:tcW w:w="903"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c>
          <w:tcPr>
            <w:tcW w:w="942"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c>
          <w:tcPr>
            <w:tcW w:w="903"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c>
          <w:tcPr>
            <w:tcW w:w="942" w:type="dxa"/>
            <w:tcBorders>
              <w:top w:val="nil"/>
              <w:left w:val="nil"/>
              <w:bottom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-$3.594</w:t>
            </w:r>
          </w:p>
        </w:tc>
      </w:tr>
      <w:tr w:rsidR="00854038" w:rsidRPr="00F5127B" w:rsidTr="00503B24">
        <w:trPr>
          <w:trHeight w:val="80"/>
          <w:jc w:val="center"/>
        </w:trPr>
        <w:tc>
          <w:tcPr>
            <w:tcW w:w="672" w:type="dxa"/>
            <w:tcBorders>
              <w:top w:val="nil"/>
              <w:left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Rehabilitation savings for GAP</w:t>
            </w:r>
          </w:p>
        </w:tc>
        <w:tc>
          <w:tcPr>
            <w:tcW w:w="99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c>
          <w:tcPr>
            <w:tcW w:w="87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color w:val="FF0000"/>
                <w:sz w:val="18"/>
              </w:rPr>
              <w:t>-$6.258</w:t>
            </w:r>
          </w:p>
        </w:tc>
      </w:tr>
      <w:tr w:rsidR="000C06C0" w:rsidRPr="00F5127B" w:rsidTr="00C357B6">
        <w:trPr>
          <w:trHeight w:val="371"/>
          <w:jc w:val="center"/>
        </w:trPr>
        <w:tc>
          <w:tcPr>
            <w:tcW w:w="672" w:type="dxa"/>
            <w:tcBorders>
              <w:left w:val="nil"/>
              <w:right w:val="nil"/>
            </w:tcBorders>
            <w:shd w:val="clear" w:color="auto" w:fill="auto"/>
            <w:noWrap/>
            <w:vAlign w:val="bottom"/>
            <w:hideMark/>
          </w:tcPr>
          <w:p w:rsidR="000C06C0" w:rsidRPr="00F5127B" w:rsidRDefault="000C06C0" w:rsidP="000C06C0">
            <w:pPr>
              <w:jc w:val="right"/>
              <w:rPr>
                <w:rFonts w:eastAsia="Times New Roman" w:cs="Calibri"/>
                <w:sz w:val="18"/>
                <w:szCs w:val="18"/>
                <w:lang w:eastAsia="en-AU"/>
              </w:rPr>
            </w:pPr>
          </w:p>
        </w:tc>
        <w:tc>
          <w:tcPr>
            <w:tcW w:w="2872" w:type="dxa"/>
            <w:tcBorders>
              <w:left w:val="nil"/>
              <w:right w:val="nil"/>
            </w:tcBorders>
            <w:shd w:val="clear" w:color="auto" w:fill="auto"/>
            <w:noWrap/>
            <w:vAlign w:val="bottom"/>
            <w:hideMark/>
          </w:tcPr>
          <w:p w:rsidR="000C06C0" w:rsidRPr="00F5127B" w:rsidRDefault="000C06C0" w:rsidP="000C06C0">
            <w:pPr>
              <w:rPr>
                <w:rFonts w:eastAsia="Times New Roman" w:cs="Calibri"/>
                <w:sz w:val="18"/>
                <w:szCs w:val="18"/>
                <w:lang w:eastAsia="en-AU"/>
              </w:rPr>
            </w:pPr>
            <w:r w:rsidRPr="00F5127B">
              <w:rPr>
                <w:rFonts w:eastAsia="Times New Roman" w:cs="Calibri"/>
                <w:sz w:val="18"/>
                <w:szCs w:val="18"/>
                <w:lang w:eastAsia="en-AU"/>
              </w:rPr>
              <w:t>Savings for GAP</w:t>
            </w:r>
          </w:p>
        </w:tc>
        <w:tc>
          <w:tcPr>
            <w:tcW w:w="99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c>
          <w:tcPr>
            <w:tcW w:w="87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c>
          <w:tcPr>
            <w:tcW w:w="903"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c>
          <w:tcPr>
            <w:tcW w:w="94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c>
          <w:tcPr>
            <w:tcW w:w="903"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c>
          <w:tcPr>
            <w:tcW w:w="94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sz w:val="18"/>
                <w:szCs w:val="18"/>
                <w:lang w:eastAsia="en-AU"/>
              </w:rPr>
            </w:pPr>
            <w:r w:rsidRPr="00503B24">
              <w:rPr>
                <w:rFonts w:cs="Calibri"/>
                <w:color w:val="FF0000"/>
                <w:sz w:val="18"/>
                <w:szCs w:val="18"/>
              </w:rPr>
              <w:t>-$10.013</w:t>
            </w:r>
          </w:p>
        </w:tc>
      </w:tr>
      <w:tr w:rsidR="00854038" w:rsidRPr="00F5127B" w:rsidTr="00503B24">
        <w:trPr>
          <w:trHeight w:val="327"/>
          <w:jc w:val="center"/>
        </w:trPr>
        <w:tc>
          <w:tcPr>
            <w:tcW w:w="672" w:type="dxa"/>
            <w:tcBorders>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Rehabilitation costs for owners</w:t>
            </w:r>
          </w:p>
        </w:tc>
        <w:tc>
          <w:tcPr>
            <w:tcW w:w="99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$4.729</w:t>
            </w:r>
          </w:p>
        </w:tc>
        <w:tc>
          <w:tcPr>
            <w:tcW w:w="87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$8.972</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$23.116</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$16.044</w:t>
            </w:r>
          </w:p>
        </w:tc>
        <w:tc>
          <w:tcPr>
            <w:tcW w:w="903"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$23.116</w:t>
            </w:r>
          </w:p>
        </w:tc>
        <w:tc>
          <w:tcPr>
            <w:tcW w:w="942" w:type="dxa"/>
            <w:tcBorders>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w:t>
            </w:r>
            <w:r w:rsidR="00151A0C">
              <w:rPr>
                <w:rFonts w:cs="Calibri"/>
                <w:sz w:val="18"/>
              </w:rPr>
              <w:t>1</w:t>
            </w:r>
            <w:r w:rsidRPr="00351E43">
              <w:rPr>
                <w:rFonts w:cs="Calibri"/>
                <w:sz w:val="18"/>
              </w:rPr>
              <w:t>3.</w:t>
            </w:r>
            <w:r w:rsidR="00151A0C">
              <w:rPr>
                <w:rFonts w:cs="Calibri"/>
                <w:sz w:val="18"/>
              </w:rPr>
              <w:t>542</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Rehoming costs for owners</w:t>
            </w:r>
          </w:p>
        </w:tc>
        <w:tc>
          <w:tcPr>
            <w:tcW w:w="99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$2.550</w:t>
            </w:r>
          </w:p>
        </w:tc>
        <w:tc>
          <w:tcPr>
            <w:tcW w:w="87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$4.838</w:t>
            </w:r>
          </w:p>
        </w:tc>
        <w:tc>
          <w:tcPr>
            <w:tcW w:w="903"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$12.463</w:t>
            </w:r>
          </w:p>
        </w:tc>
        <w:tc>
          <w:tcPr>
            <w:tcW w:w="94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$8.650</w:t>
            </w:r>
          </w:p>
        </w:tc>
        <w:tc>
          <w:tcPr>
            <w:tcW w:w="903"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$12.463</w:t>
            </w:r>
          </w:p>
        </w:tc>
        <w:tc>
          <w:tcPr>
            <w:tcW w:w="942" w:type="dxa"/>
            <w:tcBorders>
              <w:top w:val="nil"/>
              <w:left w:val="nil"/>
              <w:bottom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w:t>
            </w:r>
            <w:r w:rsidR="00151A0C">
              <w:rPr>
                <w:rFonts w:cs="Calibri"/>
                <w:sz w:val="18"/>
              </w:rPr>
              <w:t>7</w:t>
            </w:r>
            <w:r w:rsidRPr="00351E43">
              <w:rPr>
                <w:rFonts w:cs="Calibri"/>
                <w:sz w:val="18"/>
              </w:rPr>
              <w:t>.</w:t>
            </w:r>
            <w:r w:rsidR="00151A0C">
              <w:rPr>
                <w:rFonts w:cs="Calibri"/>
                <w:sz w:val="18"/>
              </w:rPr>
              <w:t>302</w:t>
            </w:r>
          </w:p>
        </w:tc>
      </w:tr>
      <w:tr w:rsidR="00854038" w:rsidRPr="00F5127B" w:rsidTr="00503B24">
        <w:trPr>
          <w:trHeight w:val="80"/>
          <w:jc w:val="center"/>
        </w:trPr>
        <w:tc>
          <w:tcPr>
            <w:tcW w:w="672" w:type="dxa"/>
            <w:tcBorders>
              <w:top w:val="nil"/>
              <w:left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top w:val="nil"/>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Euthanasia costs for owners</w:t>
            </w:r>
          </w:p>
        </w:tc>
        <w:tc>
          <w:tcPr>
            <w:tcW w:w="99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$3.965</w:t>
            </w:r>
          </w:p>
        </w:tc>
        <w:tc>
          <w:tcPr>
            <w:tcW w:w="87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$3.050</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$0.000</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$1.525</w:t>
            </w:r>
          </w:p>
        </w:tc>
        <w:tc>
          <w:tcPr>
            <w:tcW w:w="903"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$0.000</w:t>
            </w:r>
          </w:p>
        </w:tc>
        <w:tc>
          <w:tcPr>
            <w:tcW w:w="942" w:type="dxa"/>
            <w:tcBorders>
              <w:top w:val="nil"/>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w:t>
            </w:r>
            <w:r w:rsidR="00151A0C">
              <w:rPr>
                <w:rFonts w:cs="Calibri"/>
                <w:sz w:val="18"/>
              </w:rPr>
              <w:t>2</w:t>
            </w:r>
            <w:r w:rsidRPr="00351E43">
              <w:rPr>
                <w:rFonts w:cs="Calibri"/>
                <w:sz w:val="18"/>
              </w:rPr>
              <w:t>.0</w:t>
            </w:r>
            <w:r w:rsidR="00151A0C">
              <w:rPr>
                <w:rFonts w:cs="Calibri"/>
                <w:sz w:val="18"/>
              </w:rPr>
              <w:t>65</w:t>
            </w:r>
          </w:p>
        </w:tc>
      </w:tr>
      <w:tr w:rsidR="00854038" w:rsidRPr="00F5127B" w:rsidTr="00C357B6">
        <w:trPr>
          <w:trHeight w:val="373"/>
          <w:jc w:val="center"/>
        </w:trPr>
        <w:tc>
          <w:tcPr>
            <w:tcW w:w="672" w:type="dxa"/>
            <w:tcBorders>
              <w:left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Costs for owners</w:t>
            </w:r>
          </w:p>
        </w:tc>
        <w:tc>
          <w:tcPr>
            <w:tcW w:w="99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$11.244</w:t>
            </w:r>
          </w:p>
        </w:tc>
        <w:tc>
          <w:tcPr>
            <w:tcW w:w="87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$16.860</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$35.579</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$26.219</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$35.579</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w:t>
            </w:r>
            <w:r w:rsidR="00151A0C">
              <w:rPr>
                <w:rFonts w:cs="Calibri"/>
                <w:sz w:val="18"/>
              </w:rPr>
              <w:t>22.909</w:t>
            </w:r>
          </w:p>
        </w:tc>
      </w:tr>
      <w:tr w:rsidR="00854038" w:rsidRPr="00F5127B" w:rsidTr="00C357B6">
        <w:trPr>
          <w:trHeight w:val="563"/>
          <w:jc w:val="center"/>
        </w:trPr>
        <w:tc>
          <w:tcPr>
            <w:tcW w:w="672" w:type="dxa"/>
            <w:tcBorders>
              <w:left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6.3.12</w:t>
            </w:r>
          </w:p>
        </w:tc>
        <w:tc>
          <w:tcPr>
            <w:tcW w:w="2872" w:type="dxa"/>
            <w:tcBorders>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sidRPr="00F5127B">
              <w:rPr>
                <w:rFonts w:eastAsia="Times New Roman" w:cs="Calibri"/>
                <w:sz w:val="18"/>
                <w:szCs w:val="18"/>
                <w:lang w:eastAsia="en-AU"/>
              </w:rPr>
              <w:t>Food and shelter/euthanasia costs for GAP</w:t>
            </w:r>
          </w:p>
        </w:tc>
        <w:tc>
          <w:tcPr>
            <w:tcW w:w="99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$0.465</w:t>
            </w:r>
          </w:p>
        </w:tc>
        <w:tc>
          <w:tcPr>
            <w:tcW w:w="87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$0.882</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$1.576</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r>
      <w:tr w:rsidR="00854038" w:rsidRPr="00F5127B" w:rsidTr="00503B24">
        <w:trPr>
          <w:trHeight w:val="80"/>
          <w:jc w:val="center"/>
        </w:trPr>
        <w:tc>
          <w:tcPr>
            <w:tcW w:w="672" w:type="dxa"/>
            <w:tcBorders>
              <w:left w:val="nil"/>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left w:val="nil"/>
              <w:right w:val="nil"/>
            </w:tcBorders>
            <w:shd w:val="clear" w:color="auto" w:fill="auto"/>
            <w:noWrap/>
            <w:vAlign w:val="bottom"/>
            <w:hideMark/>
          </w:tcPr>
          <w:p w:rsidR="00854038" w:rsidRPr="00F5127B" w:rsidRDefault="00854038" w:rsidP="00841AAB">
            <w:pPr>
              <w:rPr>
                <w:rFonts w:eastAsia="Times New Roman" w:cs="Calibri"/>
                <w:sz w:val="18"/>
                <w:szCs w:val="18"/>
                <w:lang w:eastAsia="en-AU"/>
              </w:rPr>
            </w:pPr>
            <w:r>
              <w:rPr>
                <w:rFonts w:eastAsia="Times New Roman" w:cs="Calibri"/>
                <w:sz w:val="18"/>
                <w:szCs w:val="18"/>
                <w:lang w:eastAsia="en-AU"/>
              </w:rPr>
              <w:t>C</w:t>
            </w:r>
            <w:r w:rsidRPr="00F5127B">
              <w:rPr>
                <w:rFonts w:eastAsia="Times New Roman" w:cs="Calibri"/>
                <w:sz w:val="18"/>
                <w:szCs w:val="18"/>
                <w:lang w:eastAsia="en-AU"/>
              </w:rPr>
              <w:t>osts for GAP</w:t>
            </w:r>
          </w:p>
        </w:tc>
        <w:tc>
          <w:tcPr>
            <w:tcW w:w="99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$0.465</w:t>
            </w:r>
          </w:p>
        </w:tc>
        <w:tc>
          <w:tcPr>
            <w:tcW w:w="87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$0.882</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$1.576</w:t>
            </w:r>
          </w:p>
        </w:tc>
        <w:tc>
          <w:tcPr>
            <w:tcW w:w="903"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854038" w:rsidRPr="00351E43" w:rsidRDefault="00854038" w:rsidP="00841AAB">
            <w:pPr>
              <w:jc w:val="right"/>
              <w:rPr>
                <w:rFonts w:eastAsia="Times New Roman" w:cs="Calibri"/>
                <w:sz w:val="18"/>
                <w:szCs w:val="18"/>
                <w:lang w:eastAsia="en-AU"/>
              </w:rPr>
            </w:pPr>
            <w:r w:rsidRPr="00351E43">
              <w:rPr>
                <w:rFonts w:cs="Calibri"/>
                <w:sz w:val="18"/>
              </w:rPr>
              <w:t>$2.271</w:t>
            </w:r>
          </w:p>
        </w:tc>
      </w:tr>
      <w:tr w:rsidR="000C06C0" w:rsidRPr="00F5127B" w:rsidTr="00503B24">
        <w:trPr>
          <w:trHeight w:val="80"/>
          <w:jc w:val="center"/>
        </w:trPr>
        <w:tc>
          <w:tcPr>
            <w:tcW w:w="672" w:type="dxa"/>
            <w:tcBorders>
              <w:left w:val="nil"/>
              <w:right w:val="nil"/>
            </w:tcBorders>
            <w:shd w:val="clear" w:color="auto" w:fill="auto"/>
            <w:noWrap/>
            <w:vAlign w:val="bottom"/>
            <w:hideMark/>
          </w:tcPr>
          <w:p w:rsidR="000C06C0" w:rsidRPr="00F5127B" w:rsidRDefault="000C06C0" w:rsidP="000C06C0">
            <w:pPr>
              <w:jc w:val="right"/>
              <w:rPr>
                <w:rFonts w:eastAsia="Times New Roman" w:cs="Calibri"/>
                <w:sz w:val="18"/>
                <w:szCs w:val="18"/>
                <w:lang w:eastAsia="en-AU"/>
              </w:rPr>
            </w:pPr>
          </w:p>
        </w:tc>
        <w:tc>
          <w:tcPr>
            <w:tcW w:w="2872" w:type="dxa"/>
            <w:tcBorders>
              <w:left w:val="nil"/>
              <w:right w:val="nil"/>
            </w:tcBorders>
            <w:shd w:val="clear" w:color="auto" w:fill="auto"/>
            <w:noWrap/>
            <w:vAlign w:val="bottom"/>
            <w:hideMark/>
          </w:tcPr>
          <w:p w:rsidR="000C06C0" w:rsidRPr="00F5127B" w:rsidRDefault="000C06C0" w:rsidP="000C06C0">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6.3.12</w:t>
            </w:r>
          </w:p>
        </w:tc>
        <w:tc>
          <w:tcPr>
            <w:tcW w:w="99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i/>
                <w:sz w:val="18"/>
                <w:szCs w:val="18"/>
                <w:lang w:eastAsia="en-AU"/>
              </w:rPr>
            </w:pPr>
            <w:r w:rsidRPr="00503B24">
              <w:rPr>
                <w:rFonts w:cs="Calibri"/>
                <w:i/>
                <w:color w:val="FF0000"/>
                <w:sz w:val="18"/>
                <w:szCs w:val="18"/>
              </w:rPr>
              <w:t>-$12.345</w:t>
            </w:r>
          </w:p>
        </w:tc>
        <w:tc>
          <w:tcPr>
            <w:tcW w:w="87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i/>
                <w:sz w:val="18"/>
                <w:szCs w:val="18"/>
                <w:lang w:eastAsia="en-AU"/>
              </w:rPr>
            </w:pPr>
            <w:r w:rsidRPr="00503B24">
              <w:rPr>
                <w:rFonts w:cs="Calibri"/>
                <w:i/>
                <w:color w:val="FF0000"/>
                <w:sz w:val="18"/>
                <w:szCs w:val="18"/>
              </w:rPr>
              <w:t>-$6.312</w:t>
            </w:r>
          </w:p>
        </w:tc>
        <w:tc>
          <w:tcPr>
            <w:tcW w:w="903"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i/>
                <w:sz w:val="18"/>
                <w:szCs w:val="18"/>
                <w:lang w:eastAsia="en-AU"/>
              </w:rPr>
            </w:pPr>
            <w:r w:rsidRPr="00503B24">
              <w:rPr>
                <w:rFonts w:cs="Calibri"/>
                <w:i/>
                <w:sz w:val="18"/>
                <w:szCs w:val="18"/>
              </w:rPr>
              <w:t>$13.796</w:t>
            </w:r>
          </w:p>
        </w:tc>
        <w:tc>
          <w:tcPr>
            <w:tcW w:w="942"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i/>
                <w:sz w:val="18"/>
                <w:szCs w:val="18"/>
                <w:lang w:eastAsia="en-AU"/>
              </w:rPr>
            </w:pPr>
            <w:r w:rsidRPr="00503B24">
              <w:rPr>
                <w:rFonts w:cs="Calibri"/>
                <w:i/>
                <w:sz w:val="18"/>
                <w:szCs w:val="18"/>
              </w:rPr>
              <w:t>$3.742</w:t>
            </w:r>
          </w:p>
        </w:tc>
        <w:tc>
          <w:tcPr>
            <w:tcW w:w="903" w:type="dxa"/>
            <w:tcBorders>
              <w:left w:val="nil"/>
              <w:right w:val="nil"/>
            </w:tcBorders>
            <w:shd w:val="clear" w:color="auto" w:fill="auto"/>
            <w:noWrap/>
            <w:vAlign w:val="bottom"/>
            <w:hideMark/>
          </w:tcPr>
          <w:p w:rsidR="000C06C0" w:rsidRPr="00503B24" w:rsidRDefault="000C06C0" w:rsidP="000C06C0">
            <w:pPr>
              <w:jc w:val="right"/>
              <w:rPr>
                <w:rFonts w:eastAsia="Times New Roman" w:cs="Calibri"/>
                <w:i/>
                <w:sz w:val="18"/>
                <w:szCs w:val="18"/>
                <w:lang w:eastAsia="en-AU"/>
              </w:rPr>
            </w:pPr>
            <w:r w:rsidRPr="00503B24">
              <w:rPr>
                <w:rFonts w:cs="Calibri"/>
                <w:i/>
                <w:sz w:val="18"/>
                <w:szCs w:val="18"/>
              </w:rPr>
              <w:t>$13.796</w:t>
            </w:r>
          </w:p>
        </w:tc>
        <w:tc>
          <w:tcPr>
            <w:tcW w:w="942" w:type="dxa"/>
            <w:tcBorders>
              <w:left w:val="nil"/>
              <w:right w:val="nil"/>
            </w:tcBorders>
            <w:shd w:val="clear" w:color="auto" w:fill="auto"/>
            <w:noWrap/>
            <w:vAlign w:val="bottom"/>
            <w:hideMark/>
          </w:tcPr>
          <w:p w:rsidR="000C06C0" w:rsidRPr="00503B24" w:rsidRDefault="00151A0C" w:rsidP="000C06C0">
            <w:pPr>
              <w:jc w:val="right"/>
              <w:rPr>
                <w:rFonts w:eastAsia="Times New Roman" w:cs="Calibri"/>
                <w:i/>
                <w:sz w:val="18"/>
                <w:szCs w:val="18"/>
                <w:lang w:eastAsia="en-AU"/>
              </w:rPr>
            </w:pPr>
            <w:r>
              <w:rPr>
                <w:rFonts w:cs="Calibri"/>
                <w:i/>
                <w:sz w:val="18"/>
                <w:szCs w:val="18"/>
              </w:rPr>
              <w:t>$0.185</w:t>
            </w:r>
          </w:p>
        </w:tc>
      </w:tr>
      <w:tr w:rsidR="00854038" w:rsidRPr="00F5127B" w:rsidTr="00503B24">
        <w:trPr>
          <w:trHeight w:val="311"/>
          <w:jc w:val="center"/>
        </w:trPr>
        <w:tc>
          <w:tcPr>
            <w:tcW w:w="67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6.6.4</w:t>
            </w:r>
          </w:p>
        </w:tc>
        <w:tc>
          <w:tcPr>
            <w:tcW w:w="287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F5127B">
              <w:rPr>
                <w:rFonts w:eastAsia="Times New Roman" w:cs="Calibri"/>
                <w:i/>
                <w:sz w:val="18"/>
                <w:szCs w:val="18"/>
                <w:lang w:eastAsia="en-AU"/>
              </w:rPr>
              <w:t>Perimeter fencing</w:t>
            </w:r>
          </w:p>
        </w:tc>
        <w:tc>
          <w:tcPr>
            <w:tcW w:w="99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$0.418</w:t>
            </w:r>
          </w:p>
        </w:tc>
        <w:tc>
          <w:tcPr>
            <w:tcW w:w="87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$2.921</w:t>
            </w: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$7.049</w:t>
            </w:r>
          </w:p>
        </w:tc>
        <w:tc>
          <w:tcPr>
            <w:tcW w:w="903"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top w:val="single" w:sz="4" w:space="0" w:color="244061" w:themeColor="accent1" w:themeShade="80"/>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$11.178</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6.6.5</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F5127B">
              <w:rPr>
                <w:rFonts w:eastAsia="Times New Roman" w:cs="Calibri"/>
                <w:i/>
                <w:sz w:val="18"/>
                <w:szCs w:val="18"/>
                <w:lang w:eastAsia="en-AU"/>
              </w:rPr>
              <w:t>Outdoor housing</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$0.303</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$2.016</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$4.864</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$7.713</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6.6.6</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F5127B">
              <w:rPr>
                <w:rFonts w:eastAsia="Times New Roman" w:cs="Calibri"/>
                <w:i/>
                <w:sz w:val="18"/>
                <w:szCs w:val="18"/>
                <w:lang w:eastAsia="en-AU"/>
              </w:rPr>
              <w:t>Indoor housing</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$0.022</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$0.054</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$0.086</w:t>
            </w:r>
          </w:p>
        </w:tc>
      </w:tr>
      <w:tr w:rsidR="00854038" w:rsidRPr="00F5127B" w:rsidTr="00503B24">
        <w:trPr>
          <w:trHeight w:val="80"/>
          <w:jc w:val="center"/>
        </w:trPr>
        <w:tc>
          <w:tcPr>
            <w:tcW w:w="672" w:type="dxa"/>
            <w:tcBorders>
              <w:top w:val="nil"/>
              <w:left w:val="nil"/>
              <w:bottom w:val="nil"/>
              <w:right w:val="nil"/>
            </w:tcBorders>
            <w:shd w:val="clear" w:color="auto" w:fill="auto"/>
            <w:noWrap/>
            <w:vAlign w:val="bottom"/>
            <w:hideMark/>
          </w:tcPr>
          <w:p w:rsidR="00854038" w:rsidRPr="00F5127B" w:rsidRDefault="00854038" w:rsidP="00841AAB">
            <w:pPr>
              <w:jc w:val="center"/>
              <w:rPr>
                <w:rFonts w:eastAsia="Times New Roman" w:cs="Calibri"/>
                <w:sz w:val="18"/>
                <w:szCs w:val="18"/>
                <w:lang w:eastAsia="en-AU"/>
              </w:rPr>
            </w:pPr>
            <w:r w:rsidRPr="00F5127B">
              <w:rPr>
                <w:rFonts w:eastAsia="Times New Roman" w:cs="Calibri"/>
                <w:sz w:val="18"/>
                <w:szCs w:val="18"/>
                <w:lang w:eastAsia="en-AU"/>
              </w:rPr>
              <w:t>7.1</w:t>
            </w:r>
          </w:p>
        </w:tc>
        <w:tc>
          <w:tcPr>
            <w:tcW w:w="2872" w:type="dxa"/>
            <w:tcBorders>
              <w:top w:val="nil"/>
              <w:left w:val="nil"/>
              <w:bottom w:val="nil"/>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F5127B">
              <w:rPr>
                <w:rFonts w:eastAsia="Times New Roman" w:cs="Calibri"/>
                <w:i/>
                <w:sz w:val="18"/>
                <w:szCs w:val="18"/>
                <w:lang w:eastAsia="en-AU"/>
              </w:rPr>
              <w:t>Sale and transfer out of industry</w:t>
            </w:r>
          </w:p>
        </w:tc>
        <w:tc>
          <w:tcPr>
            <w:tcW w:w="99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$0.005</w:t>
            </w:r>
          </w:p>
        </w:tc>
        <w:tc>
          <w:tcPr>
            <w:tcW w:w="87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$0.013</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$0.026</w:t>
            </w:r>
          </w:p>
        </w:tc>
        <w:tc>
          <w:tcPr>
            <w:tcW w:w="903"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$0.039</w:t>
            </w:r>
          </w:p>
        </w:tc>
      </w:tr>
      <w:tr w:rsidR="00854038" w:rsidRPr="00F5127B" w:rsidTr="00503B24">
        <w:trPr>
          <w:trHeight w:val="80"/>
          <w:jc w:val="center"/>
        </w:trPr>
        <w:tc>
          <w:tcPr>
            <w:tcW w:w="6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sz w:val="18"/>
                <w:szCs w:val="18"/>
                <w:lang w:eastAsia="en-AU"/>
              </w:rPr>
            </w:pPr>
          </w:p>
        </w:tc>
        <w:tc>
          <w:tcPr>
            <w:tcW w:w="2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rPr>
                <w:rFonts w:eastAsia="Times New Roman" w:cs="Calibri"/>
                <w:i/>
                <w:sz w:val="18"/>
                <w:szCs w:val="18"/>
                <w:lang w:eastAsia="en-AU"/>
              </w:rPr>
            </w:pPr>
            <w:r w:rsidRPr="00F5127B">
              <w:rPr>
                <w:rFonts w:eastAsia="Times New Roman" w:cs="Calibri"/>
                <w:i/>
                <w:sz w:val="18"/>
                <w:szCs w:val="18"/>
                <w:lang w:eastAsia="en-AU"/>
              </w:rPr>
              <w:t>Enforcement</w:t>
            </w:r>
          </w:p>
        </w:tc>
        <w:tc>
          <w:tcPr>
            <w:tcW w:w="99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$4.973</w:t>
            </w:r>
          </w:p>
        </w:tc>
        <w:tc>
          <w:tcPr>
            <w:tcW w:w="903"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244061" w:themeColor="accent1" w:themeShade="80"/>
              <w:right w:val="nil"/>
            </w:tcBorders>
            <w:shd w:val="clear" w:color="auto" w:fill="auto"/>
            <w:noWrap/>
            <w:vAlign w:val="bottom"/>
            <w:hideMark/>
          </w:tcPr>
          <w:p w:rsidR="00854038" w:rsidRPr="00F5127B" w:rsidRDefault="00854038" w:rsidP="00841AAB">
            <w:pPr>
              <w:jc w:val="right"/>
              <w:rPr>
                <w:rFonts w:eastAsia="Times New Roman" w:cs="Calibri"/>
                <w:i/>
                <w:sz w:val="18"/>
                <w:szCs w:val="18"/>
                <w:lang w:eastAsia="en-AU"/>
              </w:rPr>
            </w:pPr>
            <w:r w:rsidRPr="00F5127B">
              <w:rPr>
                <w:rFonts w:eastAsia="Times New Roman" w:cs="Calibri"/>
                <w:i/>
                <w:sz w:val="18"/>
                <w:szCs w:val="18"/>
                <w:lang w:eastAsia="en-AU"/>
              </w:rPr>
              <w:t>$19.584</w:t>
            </w:r>
          </w:p>
        </w:tc>
      </w:tr>
      <w:tr w:rsidR="009272CC" w:rsidRPr="00F5127B" w:rsidTr="00503B24">
        <w:trPr>
          <w:trHeight w:val="80"/>
          <w:jc w:val="center"/>
        </w:trPr>
        <w:tc>
          <w:tcPr>
            <w:tcW w:w="6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F5127B" w:rsidRDefault="009272CC" w:rsidP="009272CC">
            <w:pPr>
              <w:jc w:val="right"/>
              <w:rPr>
                <w:rFonts w:eastAsia="Times New Roman" w:cs="Calibri"/>
                <w:sz w:val="18"/>
                <w:szCs w:val="18"/>
                <w:lang w:eastAsia="en-AU"/>
              </w:rPr>
            </w:pPr>
          </w:p>
        </w:tc>
        <w:tc>
          <w:tcPr>
            <w:tcW w:w="2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F5127B" w:rsidRDefault="009272CC" w:rsidP="009272CC">
            <w:pPr>
              <w:rPr>
                <w:rFonts w:eastAsia="Times New Roman" w:cs="Calibri"/>
                <w:b/>
                <w:i/>
                <w:sz w:val="18"/>
                <w:szCs w:val="18"/>
                <w:lang w:eastAsia="en-AU"/>
              </w:rPr>
            </w:pPr>
            <w:r w:rsidRPr="00F5127B">
              <w:rPr>
                <w:rFonts w:eastAsia="Times New Roman" w:cs="Calibri"/>
                <w:b/>
                <w:i/>
                <w:sz w:val="18"/>
                <w:szCs w:val="18"/>
                <w:lang w:eastAsia="en-AU"/>
              </w:rPr>
              <w:t>Total</w:t>
            </w:r>
          </w:p>
        </w:tc>
        <w:tc>
          <w:tcPr>
            <w:tcW w:w="99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9272CC" w:rsidP="009272CC">
            <w:pPr>
              <w:jc w:val="right"/>
              <w:rPr>
                <w:rFonts w:eastAsia="Times New Roman" w:cs="Calibri"/>
                <w:b/>
                <w:i/>
                <w:sz w:val="18"/>
                <w:szCs w:val="18"/>
                <w:lang w:eastAsia="en-AU"/>
              </w:rPr>
            </w:pPr>
            <w:r w:rsidRPr="00503B24">
              <w:rPr>
                <w:rFonts w:cs="Calibri"/>
                <w:b/>
                <w:i/>
                <w:color w:val="FF0000"/>
                <w:sz w:val="18"/>
                <w:szCs w:val="18"/>
              </w:rPr>
              <w:t>-$7.735</w:t>
            </w:r>
          </w:p>
        </w:tc>
        <w:tc>
          <w:tcPr>
            <w:tcW w:w="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9272CC" w:rsidP="009272CC">
            <w:pPr>
              <w:jc w:val="right"/>
              <w:rPr>
                <w:rFonts w:eastAsia="Times New Roman" w:cs="Calibri"/>
                <w:b/>
                <w:i/>
                <w:sz w:val="18"/>
                <w:szCs w:val="18"/>
                <w:lang w:eastAsia="en-AU"/>
              </w:rPr>
            </w:pPr>
            <w:r w:rsidRPr="00503B24">
              <w:rPr>
                <w:rFonts w:cs="Calibri"/>
                <w:b/>
                <w:i/>
                <w:sz w:val="18"/>
                <w:szCs w:val="18"/>
              </w:rPr>
              <w:t>$35.791</w:t>
            </w: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9272CC" w:rsidP="009272CC">
            <w:pPr>
              <w:jc w:val="right"/>
              <w:rPr>
                <w:rFonts w:eastAsia="Times New Roman" w:cs="Calibri"/>
                <w:b/>
                <w:i/>
                <w:sz w:val="18"/>
                <w:szCs w:val="18"/>
                <w:lang w:eastAsia="en-AU"/>
              </w:rPr>
            </w:pPr>
            <w:r w:rsidRPr="00503B24">
              <w:rPr>
                <w:rFonts w:cs="Calibri"/>
                <w:b/>
                <w:i/>
                <w:sz w:val="18"/>
                <w:szCs w:val="18"/>
              </w:rPr>
              <w:t>$117.790</w:t>
            </w: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9272CC" w:rsidP="009272CC">
            <w:pPr>
              <w:jc w:val="right"/>
              <w:rPr>
                <w:rFonts w:eastAsia="Times New Roman" w:cs="Calibri"/>
                <w:b/>
                <w:i/>
                <w:sz w:val="18"/>
                <w:szCs w:val="18"/>
                <w:lang w:eastAsia="en-AU"/>
              </w:rPr>
            </w:pPr>
            <w:r w:rsidRPr="00503B24">
              <w:rPr>
                <w:rFonts w:cs="Calibri"/>
                <w:b/>
                <w:i/>
                <w:sz w:val="18"/>
                <w:szCs w:val="18"/>
              </w:rPr>
              <w:t>$62.179</w:t>
            </w: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9272CC" w:rsidP="009272CC">
            <w:pPr>
              <w:jc w:val="right"/>
              <w:rPr>
                <w:rFonts w:eastAsia="Times New Roman" w:cs="Calibri"/>
                <w:b/>
                <w:i/>
                <w:sz w:val="18"/>
                <w:szCs w:val="18"/>
                <w:lang w:eastAsia="en-AU"/>
              </w:rPr>
            </w:pPr>
            <w:r w:rsidRPr="00503B24">
              <w:rPr>
                <w:rFonts w:cs="Calibri"/>
                <w:b/>
                <w:i/>
                <w:sz w:val="18"/>
                <w:szCs w:val="18"/>
              </w:rPr>
              <w:t>$102.063</w:t>
            </w: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9272CC" w:rsidRPr="00503B24" w:rsidRDefault="00151A0C" w:rsidP="009272CC">
            <w:pPr>
              <w:jc w:val="right"/>
              <w:rPr>
                <w:rFonts w:eastAsia="Times New Roman" w:cs="Calibri"/>
                <w:b/>
                <w:i/>
                <w:sz w:val="18"/>
                <w:szCs w:val="18"/>
                <w:lang w:eastAsia="en-AU"/>
              </w:rPr>
            </w:pPr>
            <w:r>
              <w:rPr>
                <w:rFonts w:cs="Calibri"/>
                <w:b/>
                <w:i/>
                <w:sz w:val="18"/>
                <w:szCs w:val="18"/>
              </w:rPr>
              <w:t>$86.361</w:t>
            </w:r>
          </w:p>
        </w:tc>
      </w:tr>
    </w:tbl>
    <w:p w:rsidR="00DE58D2" w:rsidRPr="00DE58D2" w:rsidRDefault="00DE58D2" w:rsidP="008A02E4">
      <w:pPr>
        <w:pStyle w:val="H11italic"/>
      </w:pPr>
      <w:bookmarkStart w:id="139" w:name="_Toc477190199"/>
      <w:r>
        <w:t>Incremental net cost savings – Option 1</w:t>
      </w:r>
      <w:bookmarkEnd w:id="139"/>
    </w:p>
    <w:p w:rsidR="007204FD" w:rsidRDefault="007204FD" w:rsidP="007204FD">
      <w:pPr>
        <w:jc w:val="both"/>
      </w:pPr>
      <w:r>
        <w:lastRenderedPageBreak/>
        <w:t>Option 1</w:t>
      </w:r>
      <w:r w:rsidR="00DD7651">
        <w:t xml:space="preserve"> would result</w:t>
      </w:r>
      <w:r>
        <w:t xml:space="preserve"> in a</w:t>
      </w:r>
      <w:r w:rsidR="00DD7651">
        <w:t>n estimated</w:t>
      </w:r>
      <w:r>
        <w:t xml:space="preserve"> </w:t>
      </w:r>
      <w:r w:rsidRPr="007204FD">
        <w:rPr>
          <w:i/>
        </w:rPr>
        <w:t>net cost savings of $7.</w:t>
      </w:r>
      <w:r w:rsidR="009272CC">
        <w:rPr>
          <w:i/>
        </w:rPr>
        <w:t>74</w:t>
      </w:r>
      <w:r w:rsidRPr="007204FD">
        <w:rPr>
          <w:i/>
        </w:rPr>
        <w:t>m over 10 years in present value dollars</w:t>
      </w:r>
      <w:r>
        <w:t xml:space="preserve"> with an annual net cost savings of $1.1</w:t>
      </w:r>
      <w:r w:rsidR="009272CC">
        <w:t>3</w:t>
      </w:r>
      <w:r>
        <w:t>m</w:t>
      </w:r>
      <w:r w:rsidR="00DD7651">
        <w:t xml:space="preserve"> and </w:t>
      </w:r>
      <w:r>
        <w:t>one-off costs of $1.76m</w:t>
      </w:r>
      <w:r w:rsidR="00112107">
        <w:rPr>
          <w:rStyle w:val="FootnoteReference"/>
        </w:rPr>
        <w:footnoteReference w:id="122"/>
      </w:r>
      <w:r>
        <w:t>.</w:t>
      </w:r>
      <w:r w:rsidR="007B521C">
        <w:t xml:space="preserve"> </w:t>
      </w:r>
      <w:r w:rsidR="00112107">
        <w:t xml:space="preserve">The one-off costs under Option 1 are made up of $0.97m of media and advertising costs; $0.42m of perimeter fencing costs; $0.3m for outdoor housing costs; and $0.004m of </w:t>
      </w:r>
      <w:r w:rsidR="005D5686">
        <w:t>indoor housing (panel)</w:t>
      </w:r>
      <w:r w:rsidR="007E1AF6">
        <w:rPr>
          <w:rStyle w:val="FootnoteReference"/>
        </w:rPr>
        <w:footnoteReference w:id="123"/>
      </w:r>
      <w:r w:rsidR="00112107">
        <w:t>.</w:t>
      </w:r>
      <w:r w:rsidR="007B521C">
        <w:t xml:space="preserve"> </w:t>
      </w:r>
      <w:r>
        <w:t>The main driver of cost savings</w:t>
      </w:r>
      <w:r w:rsidR="00DD7651">
        <w:t xml:space="preserve"> under Option 1</w:t>
      </w:r>
      <w:r>
        <w:t xml:space="preserve"> is </w:t>
      </w:r>
      <w:r w:rsidR="00112107">
        <w:t xml:space="preserve">reflected by </w:t>
      </w:r>
      <w:r>
        <w:t>the change of procedures by GAP around rehoming and rehabilitation</w:t>
      </w:r>
      <w:r w:rsidR="008E603D">
        <w:t xml:space="preserve"> under proposed standard 6.3.12</w:t>
      </w:r>
      <w:r>
        <w:t xml:space="preserve"> </w:t>
      </w:r>
      <w:r w:rsidR="00112107">
        <w:t xml:space="preserve">– providing </w:t>
      </w:r>
      <w:r>
        <w:t>a cost savings of $10.</w:t>
      </w:r>
      <w:r w:rsidR="009272CC">
        <w:t>01</w:t>
      </w:r>
      <w:r>
        <w:t>m for GAP (see Table 18).</w:t>
      </w:r>
      <w:r w:rsidR="007B521C">
        <w:t xml:space="preserve"> </w:t>
      </w:r>
      <w:r>
        <w:t>There is also a savings in terms of food and shelter, rehoming and euthanasia that would have occurred under the</w:t>
      </w:r>
      <w:r w:rsidR="00DD7651">
        <w:t xml:space="preserve"> base case for owners ($14.04m).</w:t>
      </w:r>
      <w:r w:rsidR="007B521C">
        <w:t xml:space="preserve"> </w:t>
      </w:r>
      <w:r w:rsidR="00DD7651">
        <w:t xml:space="preserve">Option 1 is likely to result in a </w:t>
      </w:r>
      <w:r>
        <w:t>small</w:t>
      </w:r>
      <w:r w:rsidR="00841AAB">
        <w:t>er increment to</w:t>
      </w:r>
      <w:r>
        <w:t xml:space="preserve"> </w:t>
      </w:r>
      <w:r w:rsidR="008E603D">
        <w:t>cost to</w:t>
      </w:r>
      <w:r>
        <w:t xml:space="preserve"> owners</w:t>
      </w:r>
      <w:r w:rsidR="00841AAB">
        <w:t xml:space="preserve"> (as compared to cost savings)</w:t>
      </w:r>
      <w:r>
        <w:t xml:space="preserve"> of $11.24m</w:t>
      </w:r>
      <w:r w:rsidR="00841AAB">
        <w:t>.</w:t>
      </w:r>
      <w:r w:rsidR="007B521C">
        <w:t xml:space="preserve"> </w:t>
      </w:r>
      <w:r w:rsidR="00841AAB">
        <w:t>This is because O</w:t>
      </w:r>
      <w:r w:rsidR="00DD7651">
        <w:t>ption</w:t>
      </w:r>
      <w:r w:rsidR="00841AAB">
        <w:t xml:space="preserve"> 1</w:t>
      </w:r>
      <w:r w:rsidR="00DD7651">
        <w:t xml:space="preserve"> is </w:t>
      </w:r>
      <w:r w:rsidR="00841AAB">
        <w:t xml:space="preserve">expected </w:t>
      </w:r>
      <w:r>
        <w:t xml:space="preserve">to influence a maximum additional change in behaviour around rehabilitation of </w:t>
      </w:r>
      <w:r w:rsidR="00DD7651">
        <w:t xml:space="preserve">only </w:t>
      </w:r>
      <w:r>
        <w:t>2.7% compared to the base case.</w:t>
      </w:r>
      <w:r w:rsidR="007B521C">
        <w:t xml:space="preserve"> </w:t>
      </w:r>
      <w:r w:rsidR="00DD7651">
        <w:t xml:space="preserve">As shown in Table 18, owners are more likely to continue euthanasing dogs at a cost of $3.97m over 10 years in present value terms with around </w:t>
      </w:r>
      <w:r w:rsidR="00DD7651" w:rsidRPr="00DD7651">
        <w:t>972</w:t>
      </w:r>
      <w:r w:rsidR="00841AAB">
        <w:rPr>
          <w:rStyle w:val="FootnoteReference"/>
        </w:rPr>
        <w:footnoteReference w:id="124"/>
      </w:r>
      <w:r w:rsidR="00DD7651">
        <w:t xml:space="preserve"> additional dogs being euthanased as compared to the base case.</w:t>
      </w:r>
      <w:r w:rsidR="007B521C">
        <w:t xml:space="preserve"> </w:t>
      </w:r>
      <w:r w:rsidR="00DD7651">
        <w:t>Given that Option 1 results in a net cost savings, it is awarded a score of +0.</w:t>
      </w:r>
      <w:r w:rsidR="00264567">
        <w:t>3</w:t>
      </w:r>
      <w:r w:rsidR="00DD7651">
        <w:rPr>
          <w:rStyle w:val="FootnoteReference"/>
        </w:rPr>
        <w:footnoteReference w:id="125"/>
      </w:r>
      <w:r w:rsidR="00DD7651">
        <w:t>.</w:t>
      </w:r>
    </w:p>
    <w:p w:rsidR="00EC2637" w:rsidRDefault="00EC2637" w:rsidP="007204FD">
      <w:pPr>
        <w:jc w:val="both"/>
      </w:pPr>
    </w:p>
    <w:p w:rsidR="00EC2637" w:rsidRDefault="00EC2637" w:rsidP="00EC2637">
      <w:pPr>
        <w:jc w:val="both"/>
      </w:pPr>
      <w:r>
        <w:t>A total summary of the distribution of costs under Option 1 is provided for in Table 19.</w:t>
      </w:r>
      <w:r w:rsidR="007B521C">
        <w:t xml:space="preserve"> </w:t>
      </w:r>
      <w:r>
        <w:t>The largest share of 10-year present value cost is incurred by small owners (67.18%) followed by small trainers (13.72%) small breeders (8.60%) and DEDJTR (5.91%).</w:t>
      </w:r>
      <w:r w:rsidR="007B521C">
        <w:t xml:space="preserve"> </w:t>
      </w:r>
      <w:r>
        <w:t>Small owners are also likely to obtain the highest share of 56.</w:t>
      </w:r>
      <w:r w:rsidR="009272CC">
        <w:t>91</w:t>
      </w:r>
      <w:r>
        <w:t>% of all 10-year present value cost savings, followed by GAP (4</w:t>
      </w:r>
      <w:r w:rsidR="009272CC">
        <w:t>1</w:t>
      </w:r>
      <w:r>
        <w:t>.</w:t>
      </w:r>
      <w:r w:rsidR="009272CC">
        <w:t>63</w:t>
      </w:r>
      <w:r>
        <w:t>%) under Option 1.</w:t>
      </w:r>
    </w:p>
    <w:p w:rsidR="00EC2637" w:rsidRDefault="00EC2637" w:rsidP="00EC2637">
      <w:pPr>
        <w:jc w:val="both"/>
      </w:pPr>
    </w:p>
    <w:p w:rsidR="00EC2637" w:rsidRPr="000A087D" w:rsidRDefault="00EC2637" w:rsidP="00EC2637">
      <w:pPr>
        <w:jc w:val="center"/>
        <w:rPr>
          <w:b/>
          <w:sz w:val="20"/>
        </w:rPr>
      </w:pPr>
      <w:r>
        <w:rPr>
          <w:b/>
          <w:sz w:val="20"/>
        </w:rPr>
        <w:t>Table 19</w:t>
      </w:r>
      <w:r w:rsidRPr="000A087D">
        <w:rPr>
          <w:b/>
          <w:sz w:val="20"/>
        </w:rPr>
        <w:t xml:space="preserve">: Distribution of 10-year </w:t>
      </w:r>
      <w:r w:rsidR="004311EF">
        <w:rPr>
          <w:b/>
          <w:sz w:val="20"/>
        </w:rPr>
        <w:t xml:space="preserve">estimated </w:t>
      </w:r>
      <w:r w:rsidRPr="000A087D">
        <w:rPr>
          <w:b/>
          <w:sz w:val="20"/>
        </w:rPr>
        <w:t>additional cost of Option 1</w:t>
      </w:r>
      <w:r w:rsidR="00E6209E">
        <w:rPr>
          <w:rStyle w:val="FootnoteReference"/>
          <w:b/>
          <w:sz w:val="20"/>
        </w:rPr>
        <w:footnoteReference w:id="126"/>
      </w:r>
    </w:p>
    <w:p w:rsidR="00EC2637" w:rsidRDefault="00EC2637" w:rsidP="00EC2637">
      <w:pPr>
        <w:jc w:val="both"/>
      </w:pPr>
    </w:p>
    <w:tbl>
      <w:tblPr>
        <w:tblW w:w="7821" w:type="dxa"/>
        <w:jc w:val="center"/>
        <w:tblLook w:val="04A0" w:firstRow="1" w:lastRow="0" w:firstColumn="1" w:lastColumn="0" w:noHBand="0" w:noVBand="1"/>
      </w:tblPr>
      <w:tblGrid>
        <w:gridCol w:w="1630"/>
        <w:gridCol w:w="1374"/>
        <w:gridCol w:w="1950"/>
        <w:gridCol w:w="1380"/>
        <w:gridCol w:w="1487"/>
      </w:tblGrid>
      <w:tr w:rsidR="00EC2637" w:rsidRPr="008A02E4" w:rsidTr="00503B24">
        <w:trPr>
          <w:trHeight w:val="525"/>
          <w:jc w:val="center"/>
        </w:trPr>
        <w:tc>
          <w:tcPr>
            <w:tcW w:w="1630" w:type="dxa"/>
            <w:tcBorders>
              <w:top w:val="single" w:sz="4" w:space="0" w:color="1F4E78"/>
              <w:left w:val="nil"/>
              <w:bottom w:val="double" w:sz="6" w:space="0" w:color="1F4E78"/>
              <w:right w:val="nil"/>
            </w:tcBorders>
            <w:shd w:val="clear" w:color="000000" w:fill="FFFFFF"/>
            <w:vAlign w:val="bottom"/>
            <w:hideMark/>
          </w:tcPr>
          <w:p w:rsidR="00EC2637" w:rsidRPr="008A02E4" w:rsidRDefault="00EC2637"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1374" w:type="dxa"/>
            <w:tcBorders>
              <w:top w:val="single" w:sz="4" w:space="0" w:color="1F4E78"/>
              <w:left w:val="nil"/>
              <w:bottom w:val="double" w:sz="6" w:space="0" w:color="1F4E78"/>
              <w:right w:val="nil"/>
            </w:tcBorders>
            <w:shd w:val="clear" w:color="000000" w:fill="FFFFFF"/>
            <w:vAlign w:val="center"/>
            <w:hideMark/>
          </w:tcPr>
          <w:p w:rsidR="00EC2637" w:rsidRPr="008A02E4" w:rsidRDefault="00EC2637"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950" w:type="dxa"/>
            <w:tcBorders>
              <w:top w:val="single" w:sz="4" w:space="0" w:color="1F4E78"/>
              <w:left w:val="nil"/>
              <w:bottom w:val="double" w:sz="6" w:space="0" w:color="1F4E78"/>
              <w:right w:val="nil"/>
            </w:tcBorders>
            <w:shd w:val="clear" w:color="000000" w:fill="FFFFFF"/>
            <w:vAlign w:val="center"/>
            <w:hideMark/>
          </w:tcPr>
          <w:p w:rsidR="00EC2637" w:rsidRPr="008A02E4" w:rsidRDefault="00EC2637"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center"/>
            <w:hideMark/>
          </w:tcPr>
          <w:p w:rsidR="00EC2637" w:rsidRPr="008A02E4" w:rsidRDefault="00EC2637"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487" w:type="dxa"/>
            <w:tcBorders>
              <w:top w:val="single" w:sz="4" w:space="0" w:color="1F4E78"/>
              <w:left w:val="nil"/>
              <w:bottom w:val="double" w:sz="6" w:space="0" w:color="1F4E78"/>
              <w:right w:val="nil"/>
            </w:tcBorders>
            <w:shd w:val="clear" w:color="auto" w:fill="DBE5F1" w:themeFill="accent1" w:themeFillTint="33"/>
            <w:vAlign w:val="center"/>
            <w:hideMark/>
          </w:tcPr>
          <w:p w:rsidR="00EC2637" w:rsidRPr="008A02E4" w:rsidRDefault="00EC2637"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EC2637" w:rsidRPr="009351B9" w:rsidTr="00503B24">
        <w:trPr>
          <w:trHeight w:val="255"/>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Large breeder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0.00%</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Small breeder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$287,222</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$132,341</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$1,403,564</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8.60%</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Large trainer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0.00%</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Small trainer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$511,277</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$204,811</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$2,238,929</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13.72%</w:t>
            </w:r>
          </w:p>
        </w:tc>
      </w:tr>
      <w:tr w:rsidR="00EC2637" w:rsidRPr="009351B9" w:rsidTr="00503B24">
        <w:trPr>
          <w:trHeight w:val="240"/>
          <w:jc w:val="center"/>
        </w:trPr>
        <w:tc>
          <w:tcPr>
            <w:tcW w:w="1630" w:type="dxa"/>
            <w:tcBorders>
              <w:top w:val="nil"/>
              <w:left w:val="nil"/>
              <w:bottom w:val="nil"/>
              <w:right w:val="nil"/>
            </w:tcBorders>
            <w:shd w:val="clear" w:color="000000" w:fill="FFFFFF"/>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Large owner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$33,328</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$281,133</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1.72%</w:t>
            </w:r>
          </w:p>
        </w:tc>
      </w:tr>
      <w:tr w:rsidR="00EC2637" w:rsidRPr="009351B9" w:rsidTr="00503B24">
        <w:trPr>
          <w:trHeight w:val="240"/>
          <w:jc w:val="center"/>
        </w:trPr>
        <w:tc>
          <w:tcPr>
            <w:tcW w:w="1630" w:type="dxa"/>
            <w:tcBorders>
              <w:top w:val="nil"/>
              <w:left w:val="nil"/>
              <w:bottom w:val="nil"/>
              <w:right w:val="nil"/>
            </w:tcBorders>
            <w:shd w:val="clear" w:color="000000" w:fill="FFFFFF"/>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Small owner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$1,299,668</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$10,963,127</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67.18%</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GAP</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$55,086</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$464,671</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2.85%</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GRV</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$416</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$3,505</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0.02%</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DEDJTR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$964,600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$964,600</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sidRPr="009351B9">
              <w:rPr>
                <w:rFonts w:eastAsia="Times New Roman" w:cs="Calibri"/>
                <w:sz w:val="18"/>
                <w:szCs w:val="18"/>
                <w:lang w:eastAsia="en-AU"/>
              </w:rPr>
              <w:t>5.91%</w:t>
            </w:r>
          </w:p>
        </w:tc>
      </w:tr>
      <w:tr w:rsidR="00EC2637" w:rsidRPr="008A02E4" w:rsidTr="00503B24">
        <w:trPr>
          <w:trHeight w:val="240"/>
          <w:jc w:val="center"/>
        </w:trPr>
        <w:tc>
          <w:tcPr>
            <w:tcW w:w="1630" w:type="dxa"/>
            <w:tcBorders>
              <w:top w:val="single" w:sz="4" w:space="0" w:color="1F4E78"/>
              <w:left w:val="nil"/>
              <w:bottom w:val="single" w:sz="4" w:space="0" w:color="1F4E78"/>
              <w:right w:val="nil"/>
            </w:tcBorders>
            <w:shd w:val="clear" w:color="000000" w:fill="FFFFFF"/>
            <w:noWrap/>
            <w:vAlign w:val="bottom"/>
            <w:hideMark/>
          </w:tcPr>
          <w:p w:rsidR="00EC2637" w:rsidRPr="008A02E4" w:rsidRDefault="00EC2637" w:rsidP="00F8792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1374" w:type="dxa"/>
            <w:tcBorders>
              <w:top w:val="single" w:sz="4" w:space="0" w:color="1F4E78"/>
              <w:left w:val="nil"/>
              <w:bottom w:val="single" w:sz="4" w:space="0" w:color="1F4E78"/>
              <w:right w:val="nil"/>
            </w:tcBorders>
            <w:shd w:val="clear" w:color="000000" w:fill="FFFFFF"/>
            <w:noWrap/>
            <w:vAlign w:val="bottom"/>
            <w:hideMark/>
          </w:tcPr>
          <w:p w:rsidR="00EC2637" w:rsidRPr="008A02E4" w:rsidRDefault="00EC2637"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$1,763,099</w:t>
            </w:r>
          </w:p>
        </w:tc>
        <w:tc>
          <w:tcPr>
            <w:tcW w:w="1950" w:type="dxa"/>
            <w:tcBorders>
              <w:top w:val="single" w:sz="4" w:space="0" w:color="1F4E78"/>
              <w:left w:val="nil"/>
              <w:bottom w:val="single" w:sz="4" w:space="0" w:color="1F4E78"/>
              <w:right w:val="nil"/>
            </w:tcBorders>
            <w:shd w:val="clear" w:color="000000" w:fill="FFFFFF"/>
            <w:noWrap/>
            <w:vAlign w:val="bottom"/>
            <w:hideMark/>
          </w:tcPr>
          <w:p w:rsidR="00EC2637" w:rsidRPr="008A02E4" w:rsidRDefault="00EC2637"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$1,725,650</w:t>
            </w:r>
          </w:p>
        </w:tc>
        <w:tc>
          <w:tcPr>
            <w:tcW w:w="1380" w:type="dxa"/>
            <w:tcBorders>
              <w:top w:val="single" w:sz="4" w:space="0" w:color="1F4E78"/>
              <w:left w:val="nil"/>
              <w:bottom w:val="single" w:sz="4" w:space="0" w:color="1F4E78"/>
              <w:right w:val="nil"/>
            </w:tcBorders>
            <w:shd w:val="clear" w:color="000000" w:fill="FFFFFF"/>
            <w:noWrap/>
            <w:vAlign w:val="bottom"/>
            <w:hideMark/>
          </w:tcPr>
          <w:p w:rsidR="00EC2637" w:rsidRPr="008A02E4" w:rsidRDefault="00EC2637"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$16,319,529</w:t>
            </w:r>
          </w:p>
        </w:tc>
        <w:tc>
          <w:tcPr>
            <w:tcW w:w="1487" w:type="dxa"/>
            <w:tcBorders>
              <w:top w:val="single" w:sz="4" w:space="0" w:color="1F4E78"/>
              <w:left w:val="nil"/>
              <w:bottom w:val="single" w:sz="4" w:space="0" w:color="1F4E78"/>
              <w:right w:val="nil"/>
            </w:tcBorders>
            <w:shd w:val="clear" w:color="auto" w:fill="DBE5F1" w:themeFill="accent1" w:themeFillTint="33"/>
            <w:noWrap/>
            <w:vAlign w:val="bottom"/>
            <w:hideMark/>
          </w:tcPr>
          <w:p w:rsidR="00EC2637" w:rsidRPr="008A02E4" w:rsidRDefault="00EC2637"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100.00%</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Large owner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Pr>
                <w:rFonts w:cs="Calibri"/>
                <w:color w:val="FF0000"/>
                <w:sz w:val="18"/>
                <w:szCs w:val="18"/>
              </w:rPr>
              <w:t>-$351,056</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Pr>
                <w:rFonts w:cs="Calibri"/>
                <w:sz w:val="18"/>
                <w:szCs w:val="18"/>
              </w:rPr>
              <w:t>1.4</w:t>
            </w:r>
            <w:r w:rsidR="009272CC">
              <w:rPr>
                <w:rFonts w:cs="Calibri"/>
                <w:sz w:val="18"/>
                <w:szCs w:val="18"/>
              </w:rPr>
              <w:t>6</w:t>
            </w:r>
            <w:r>
              <w:rPr>
                <w:rFonts w:cs="Calibri"/>
                <w:sz w:val="18"/>
                <w:szCs w:val="18"/>
              </w:rPr>
              <w:t>%</w:t>
            </w:r>
          </w:p>
        </w:tc>
      </w:tr>
      <w:tr w:rsidR="00EC2637"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EC2637" w:rsidRPr="009351B9" w:rsidRDefault="00EC2637" w:rsidP="00F8792B">
            <w:pPr>
              <w:rPr>
                <w:rFonts w:eastAsia="Times New Roman" w:cs="Calibri"/>
                <w:sz w:val="18"/>
                <w:szCs w:val="18"/>
                <w:lang w:eastAsia="en-AU"/>
              </w:rPr>
            </w:pPr>
            <w:r w:rsidRPr="009351B9">
              <w:rPr>
                <w:rFonts w:eastAsia="Times New Roman" w:cs="Calibri"/>
                <w:sz w:val="18"/>
                <w:szCs w:val="18"/>
                <w:lang w:eastAsia="en-AU"/>
              </w:rPr>
              <w:t>Small owner</w:t>
            </w:r>
          </w:p>
        </w:tc>
        <w:tc>
          <w:tcPr>
            <w:tcW w:w="1374"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195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EC2637" w:rsidRPr="009351B9" w:rsidRDefault="00EC2637" w:rsidP="00F8792B">
            <w:pPr>
              <w:jc w:val="right"/>
              <w:rPr>
                <w:rFonts w:eastAsia="Times New Roman" w:cs="Calibri"/>
                <w:color w:val="FF0000"/>
                <w:sz w:val="18"/>
                <w:szCs w:val="18"/>
                <w:lang w:eastAsia="en-AU"/>
              </w:rPr>
            </w:pPr>
            <w:r>
              <w:rPr>
                <w:rFonts w:cs="Calibri"/>
                <w:color w:val="FF0000"/>
                <w:sz w:val="18"/>
                <w:szCs w:val="18"/>
              </w:rPr>
              <w:t>-$13,689,847</w:t>
            </w:r>
          </w:p>
        </w:tc>
        <w:tc>
          <w:tcPr>
            <w:tcW w:w="1487" w:type="dxa"/>
            <w:tcBorders>
              <w:top w:val="nil"/>
              <w:left w:val="nil"/>
              <w:bottom w:val="nil"/>
              <w:right w:val="nil"/>
            </w:tcBorders>
            <w:shd w:val="clear" w:color="auto" w:fill="DBE5F1" w:themeFill="accent1" w:themeFillTint="33"/>
            <w:noWrap/>
            <w:vAlign w:val="bottom"/>
            <w:hideMark/>
          </w:tcPr>
          <w:p w:rsidR="00EC2637" w:rsidRPr="009351B9" w:rsidRDefault="00EC2637" w:rsidP="00F8792B">
            <w:pPr>
              <w:jc w:val="right"/>
              <w:rPr>
                <w:rFonts w:eastAsia="Times New Roman" w:cs="Calibri"/>
                <w:sz w:val="18"/>
                <w:szCs w:val="18"/>
                <w:lang w:eastAsia="en-AU"/>
              </w:rPr>
            </w:pPr>
            <w:r>
              <w:rPr>
                <w:rFonts w:cs="Calibri"/>
                <w:sz w:val="18"/>
                <w:szCs w:val="18"/>
              </w:rPr>
              <w:t>56.</w:t>
            </w:r>
            <w:r w:rsidR="009272CC">
              <w:rPr>
                <w:rFonts w:cs="Calibri"/>
                <w:sz w:val="18"/>
                <w:szCs w:val="18"/>
              </w:rPr>
              <w:t>91</w:t>
            </w:r>
            <w:r>
              <w:rPr>
                <w:rFonts w:cs="Calibri"/>
                <w:sz w:val="18"/>
                <w:szCs w:val="18"/>
              </w:rPr>
              <w:t>%</w:t>
            </w:r>
          </w:p>
        </w:tc>
      </w:tr>
      <w:tr w:rsidR="009272CC" w:rsidRPr="009351B9" w:rsidTr="00503B24">
        <w:trPr>
          <w:trHeight w:val="240"/>
          <w:jc w:val="center"/>
        </w:trPr>
        <w:tc>
          <w:tcPr>
            <w:tcW w:w="1630" w:type="dxa"/>
            <w:tcBorders>
              <w:top w:val="nil"/>
              <w:left w:val="nil"/>
              <w:bottom w:val="nil"/>
              <w:right w:val="nil"/>
            </w:tcBorders>
            <w:shd w:val="clear" w:color="000000" w:fill="FFFFFF"/>
            <w:noWrap/>
            <w:vAlign w:val="bottom"/>
            <w:hideMark/>
          </w:tcPr>
          <w:p w:rsidR="009272CC" w:rsidRPr="009351B9" w:rsidRDefault="009272CC" w:rsidP="009272CC">
            <w:pPr>
              <w:rPr>
                <w:rFonts w:eastAsia="Times New Roman" w:cs="Calibri"/>
                <w:sz w:val="18"/>
                <w:szCs w:val="18"/>
                <w:lang w:eastAsia="en-AU"/>
              </w:rPr>
            </w:pPr>
            <w:r w:rsidRPr="009351B9">
              <w:rPr>
                <w:rFonts w:eastAsia="Times New Roman" w:cs="Calibri"/>
                <w:sz w:val="18"/>
                <w:szCs w:val="18"/>
                <w:lang w:eastAsia="en-AU"/>
              </w:rPr>
              <w:t>GAP</w:t>
            </w:r>
          </w:p>
        </w:tc>
        <w:tc>
          <w:tcPr>
            <w:tcW w:w="1374" w:type="dxa"/>
            <w:tcBorders>
              <w:top w:val="nil"/>
              <w:left w:val="nil"/>
              <w:bottom w:val="nil"/>
              <w:right w:val="nil"/>
            </w:tcBorders>
            <w:shd w:val="clear" w:color="000000" w:fill="FFFFFF"/>
            <w:noWrap/>
            <w:vAlign w:val="bottom"/>
            <w:hideMark/>
          </w:tcPr>
          <w:p w:rsidR="009272CC" w:rsidRPr="009351B9" w:rsidRDefault="009272CC" w:rsidP="009272CC">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1950" w:type="dxa"/>
            <w:tcBorders>
              <w:top w:val="nil"/>
              <w:left w:val="nil"/>
              <w:bottom w:val="nil"/>
              <w:right w:val="nil"/>
            </w:tcBorders>
            <w:shd w:val="clear" w:color="000000" w:fill="FFFFFF"/>
            <w:noWrap/>
            <w:vAlign w:val="bottom"/>
            <w:hideMark/>
          </w:tcPr>
          <w:p w:rsidR="009272CC" w:rsidRPr="009351B9" w:rsidRDefault="009272CC" w:rsidP="009272CC">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9272CC" w:rsidRPr="009351B9" w:rsidRDefault="009272CC" w:rsidP="009272CC">
            <w:pPr>
              <w:jc w:val="right"/>
              <w:rPr>
                <w:rFonts w:eastAsia="Times New Roman" w:cs="Calibri"/>
                <w:color w:val="FF0000"/>
                <w:sz w:val="18"/>
                <w:szCs w:val="18"/>
                <w:lang w:eastAsia="en-AU"/>
              </w:rPr>
            </w:pPr>
            <w:r>
              <w:rPr>
                <w:rFonts w:cs="Calibri"/>
                <w:color w:val="FF0000"/>
                <w:sz w:val="18"/>
                <w:szCs w:val="18"/>
              </w:rPr>
              <w:t>-$10,013,368</w:t>
            </w:r>
          </w:p>
        </w:tc>
        <w:tc>
          <w:tcPr>
            <w:tcW w:w="1487" w:type="dxa"/>
            <w:tcBorders>
              <w:top w:val="nil"/>
              <w:left w:val="nil"/>
              <w:bottom w:val="nil"/>
              <w:right w:val="nil"/>
            </w:tcBorders>
            <w:shd w:val="clear" w:color="auto" w:fill="DBE5F1" w:themeFill="accent1" w:themeFillTint="33"/>
            <w:noWrap/>
            <w:vAlign w:val="bottom"/>
            <w:hideMark/>
          </w:tcPr>
          <w:p w:rsidR="009272CC" w:rsidRPr="009351B9" w:rsidRDefault="009272CC" w:rsidP="009272CC">
            <w:pPr>
              <w:jc w:val="right"/>
              <w:rPr>
                <w:rFonts w:eastAsia="Times New Roman" w:cs="Calibri"/>
                <w:sz w:val="18"/>
                <w:szCs w:val="18"/>
                <w:lang w:eastAsia="en-AU"/>
              </w:rPr>
            </w:pPr>
            <w:r>
              <w:rPr>
                <w:rFonts w:cs="Calibri"/>
                <w:sz w:val="18"/>
                <w:szCs w:val="18"/>
              </w:rPr>
              <w:t>41.63%</w:t>
            </w:r>
          </w:p>
        </w:tc>
      </w:tr>
      <w:tr w:rsidR="009272CC" w:rsidRPr="009351B9" w:rsidTr="00503B24">
        <w:trPr>
          <w:trHeight w:val="240"/>
          <w:jc w:val="center"/>
        </w:trPr>
        <w:tc>
          <w:tcPr>
            <w:tcW w:w="1630" w:type="dxa"/>
            <w:tcBorders>
              <w:top w:val="single" w:sz="4" w:space="0" w:color="1F4E78"/>
              <w:left w:val="nil"/>
              <w:bottom w:val="single" w:sz="4" w:space="0" w:color="244061" w:themeColor="accent1" w:themeShade="80"/>
              <w:right w:val="nil"/>
            </w:tcBorders>
            <w:shd w:val="clear" w:color="000000" w:fill="FFFFFF"/>
            <w:noWrap/>
            <w:vAlign w:val="bottom"/>
            <w:hideMark/>
          </w:tcPr>
          <w:p w:rsidR="009272CC" w:rsidRPr="008A02E4" w:rsidRDefault="009272CC" w:rsidP="009272CC">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 savings</w:t>
            </w:r>
          </w:p>
        </w:tc>
        <w:tc>
          <w:tcPr>
            <w:tcW w:w="1374" w:type="dxa"/>
            <w:tcBorders>
              <w:top w:val="single" w:sz="4" w:space="0" w:color="1F4E78"/>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color w:val="FF0000"/>
                <w:sz w:val="18"/>
                <w:szCs w:val="18"/>
                <w:lang w:eastAsia="en-AU"/>
              </w:rPr>
            </w:pPr>
            <w:r w:rsidRPr="009351B9">
              <w:rPr>
                <w:rFonts w:eastAsia="Times New Roman" w:cs="Calibri"/>
                <w:b/>
                <w:bCs/>
                <w:color w:val="FF0000"/>
                <w:sz w:val="18"/>
                <w:szCs w:val="18"/>
                <w:lang w:eastAsia="en-AU"/>
              </w:rPr>
              <w:t>$0</w:t>
            </w:r>
          </w:p>
        </w:tc>
        <w:tc>
          <w:tcPr>
            <w:tcW w:w="1950" w:type="dxa"/>
            <w:tcBorders>
              <w:top w:val="single" w:sz="4" w:space="0" w:color="1F4E78"/>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color w:val="FF0000"/>
                <w:sz w:val="18"/>
                <w:szCs w:val="18"/>
                <w:lang w:eastAsia="en-AU"/>
              </w:rPr>
            </w:pPr>
            <w:r>
              <w:rPr>
                <w:rFonts w:cs="Calibri"/>
                <w:b/>
                <w:bCs/>
                <w:color w:val="FF0000"/>
                <w:sz w:val="18"/>
                <w:szCs w:val="18"/>
              </w:rPr>
              <w:t>-$24,054,271</w:t>
            </w:r>
          </w:p>
        </w:tc>
        <w:tc>
          <w:tcPr>
            <w:tcW w:w="1487"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9272CC" w:rsidRPr="009351B9" w:rsidRDefault="009272CC" w:rsidP="009272CC">
            <w:pPr>
              <w:jc w:val="right"/>
              <w:rPr>
                <w:rFonts w:eastAsia="Times New Roman" w:cs="Calibri"/>
                <w:b/>
                <w:bCs/>
                <w:color w:val="1F4E78"/>
                <w:sz w:val="18"/>
                <w:szCs w:val="18"/>
                <w:lang w:eastAsia="en-AU"/>
              </w:rPr>
            </w:pPr>
            <w:r w:rsidRPr="008A02E4">
              <w:rPr>
                <w:rFonts w:cs="Calibri"/>
                <w:b/>
                <w:bCs/>
                <w:color w:val="53565A"/>
                <w:sz w:val="18"/>
                <w:szCs w:val="18"/>
              </w:rPr>
              <w:t>100.00%</w:t>
            </w:r>
          </w:p>
        </w:tc>
      </w:tr>
      <w:tr w:rsidR="009272CC" w:rsidRPr="009351B9" w:rsidTr="00503B24">
        <w:trPr>
          <w:trHeight w:val="240"/>
          <w:jc w:val="center"/>
        </w:trPr>
        <w:tc>
          <w:tcPr>
            <w:tcW w:w="163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rPr>
                <w:rFonts w:eastAsia="Times New Roman" w:cs="Calibri"/>
                <w:b/>
                <w:bCs/>
                <w:i/>
                <w:iCs/>
                <w:sz w:val="18"/>
                <w:szCs w:val="18"/>
                <w:lang w:eastAsia="en-AU"/>
              </w:rPr>
            </w:pPr>
            <w:r w:rsidRPr="009351B9">
              <w:rPr>
                <w:rFonts w:eastAsia="Times New Roman" w:cs="Calibri"/>
                <w:b/>
                <w:bCs/>
                <w:i/>
                <w:iCs/>
                <w:sz w:val="18"/>
                <w:szCs w:val="18"/>
                <w:lang w:eastAsia="en-AU"/>
              </w:rPr>
              <w:t>Total net costs</w:t>
            </w:r>
          </w:p>
        </w:tc>
        <w:tc>
          <w:tcPr>
            <w:tcW w:w="1374"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i/>
                <w:iCs/>
                <w:sz w:val="18"/>
                <w:szCs w:val="18"/>
                <w:lang w:eastAsia="en-AU"/>
              </w:rPr>
            </w:pPr>
            <w:r w:rsidRPr="009351B9">
              <w:rPr>
                <w:rFonts w:eastAsia="Times New Roman" w:cs="Calibri"/>
                <w:b/>
                <w:bCs/>
                <w:i/>
                <w:iCs/>
                <w:sz w:val="18"/>
                <w:szCs w:val="18"/>
                <w:lang w:eastAsia="en-AU"/>
              </w:rPr>
              <w:t>$1,763,099</w:t>
            </w:r>
          </w:p>
        </w:tc>
        <w:tc>
          <w:tcPr>
            <w:tcW w:w="195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i/>
                <w:iCs/>
                <w:sz w:val="18"/>
                <w:szCs w:val="18"/>
                <w:lang w:eastAsia="en-AU"/>
              </w:rPr>
            </w:pPr>
            <w:r>
              <w:rPr>
                <w:rFonts w:cs="Calibri"/>
                <w:b/>
                <w:bCs/>
                <w:i/>
                <w:iCs/>
                <w:color w:val="FF0000"/>
                <w:sz w:val="18"/>
                <w:szCs w:val="18"/>
              </w:rPr>
              <w:t>-$1,125,959</w:t>
            </w:r>
          </w:p>
        </w:tc>
        <w:tc>
          <w:tcPr>
            <w:tcW w:w="138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9272CC" w:rsidRPr="009351B9" w:rsidRDefault="009272CC" w:rsidP="009272CC">
            <w:pPr>
              <w:jc w:val="right"/>
              <w:rPr>
                <w:rFonts w:eastAsia="Times New Roman" w:cs="Calibri"/>
                <w:b/>
                <w:bCs/>
                <w:i/>
                <w:iCs/>
                <w:sz w:val="18"/>
                <w:szCs w:val="18"/>
                <w:lang w:eastAsia="en-AU"/>
              </w:rPr>
            </w:pPr>
            <w:r>
              <w:rPr>
                <w:rFonts w:cs="Calibri"/>
                <w:b/>
                <w:bCs/>
                <w:i/>
                <w:iCs/>
                <w:color w:val="FF0000"/>
                <w:sz w:val="18"/>
                <w:szCs w:val="18"/>
              </w:rPr>
              <w:t>-$7,734,742</w:t>
            </w:r>
          </w:p>
        </w:tc>
        <w:tc>
          <w:tcPr>
            <w:tcW w:w="1487"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9272CC" w:rsidRPr="009351B9" w:rsidRDefault="009272CC" w:rsidP="009272CC">
            <w:pPr>
              <w:rPr>
                <w:rFonts w:eastAsia="Times New Roman" w:cs="Calibri"/>
                <w:b/>
                <w:bCs/>
                <w:i/>
                <w:iCs/>
                <w:sz w:val="18"/>
                <w:szCs w:val="18"/>
                <w:lang w:eastAsia="en-AU"/>
              </w:rPr>
            </w:pPr>
            <w:r>
              <w:rPr>
                <w:rFonts w:cs="Calibri"/>
                <w:b/>
                <w:bCs/>
                <w:i/>
                <w:iCs/>
                <w:sz w:val="18"/>
                <w:szCs w:val="18"/>
              </w:rPr>
              <w:t> </w:t>
            </w:r>
          </w:p>
        </w:tc>
      </w:tr>
    </w:tbl>
    <w:p w:rsidR="00EC2637" w:rsidRDefault="00EC2637" w:rsidP="007204FD">
      <w:pPr>
        <w:jc w:val="both"/>
      </w:pPr>
    </w:p>
    <w:p w:rsidR="008A02E4" w:rsidRDefault="008A02E4">
      <w:pPr>
        <w:rPr>
          <w:b/>
          <w:i/>
          <w:color w:val="53565A"/>
          <w:lang w:val="en-US"/>
        </w:rPr>
      </w:pPr>
      <w:r>
        <w:br w:type="page"/>
      </w:r>
    </w:p>
    <w:p w:rsidR="00DE58D2" w:rsidRPr="00DE58D2" w:rsidRDefault="00DE58D2" w:rsidP="008A02E4">
      <w:pPr>
        <w:pStyle w:val="H11italic"/>
      </w:pPr>
      <w:bookmarkStart w:id="140" w:name="_Toc477190200"/>
      <w:r>
        <w:lastRenderedPageBreak/>
        <w:t>Incremental net cost – Option 2</w:t>
      </w:r>
      <w:bookmarkEnd w:id="140"/>
    </w:p>
    <w:p w:rsidR="007204FD" w:rsidRDefault="00DD7651" w:rsidP="007204FD">
      <w:pPr>
        <w:jc w:val="both"/>
      </w:pPr>
      <w:r>
        <w:t>Option 2 would result in an estimated incremental cost of $35.</w:t>
      </w:r>
      <w:r w:rsidR="007A2E2D">
        <w:t>79</w:t>
      </w:r>
      <w:r>
        <w:t>m over 10 years in present value dollars with an annual net cost of $3.6</w:t>
      </w:r>
      <w:r w:rsidR="007A2E2D">
        <w:t>1</w:t>
      </w:r>
      <w:r>
        <w:t>m and one-off costs of $5.21m</w:t>
      </w:r>
      <w:r w:rsidR="006220FB">
        <w:rPr>
          <w:rStyle w:val="FootnoteReference"/>
        </w:rPr>
        <w:footnoteReference w:id="127"/>
      </w:r>
      <w:r w:rsidR="006220FB">
        <w:t>.</w:t>
      </w:r>
      <w:r w:rsidR="007B521C">
        <w:t xml:space="preserve"> </w:t>
      </w:r>
      <w:r w:rsidR="006220FB">
        <w:t>The main components of one-off costs under Option 2 would be health management plans ($0.09m); food receptacles ($0.02m); food storage ($0.003m) perimeter fencing ($2.92m); outdoor housing ($2.02m); indoor housing ($0.002m) and GRV training ($0.15m)</w:t>
      </w:r>
      <w:r w:rsidR="007E1AF6">
        <w:rPr>
          <w:rStyle w:val="FootnoteReference"/>
        </w:rPr>
        <w:footnoteReference w:id="128"/>
      </w:r>
      <w:r w:rsidR="006220FB">
        <w:t>.</w:t>
      </w:r>
      <w:r w:rsidR="007B521C">
        <w:t xml:space="preserve"> </w:t>
      </w:r>
      <w:r w:rsidR="006220FB">
        <w:t>The main cost components under Option 2 over 10 years in present value dollars would include</w:t>
      </w:r>
      <w:r w:rsidR="00841AAB">
        <w:t>: staff ratio 1:25 ($2.07)</w:t>
      </w:r>
      <w:r w:rsidR="006220FB">
        <w:t xml:space="preserve"> health checks ($4.11m); rearing ($9.78m); GAP reform (-$6.48m) and enforcement </w:t>
      </w:r>
      <w:r w:rsidR="00841AAB">
        <w:t>($19.58m) (see Table 18).</w:t>
      </w:r>
      <w:r w:rsidR="007B521C">
        <w:t xml:space="preserve"> </w:t>
      </w:r>
      <w:r w:rsidR="00841AAB">
        <w:t>With respect to GAP the cost savings to owners and GAP are identical to Option 1 however Option 2 would result in slightly higher incremental costs to owners with regards to rehoming, rehabilitation and euthanasia ($16,86m) as compared to Option 1.</w:t>
      </w:r>
      <w:r w:rsidR="007B521C">
        <w:t xml:space="preserve"> </w:t>
      </w:r>
      <w:r w:rsidR="00841AAB">
        <w:t>As shown in Table 18, owners are more likely to continue euthanasing dogs at a cost of $3.05m over 10 years in present value terms with around 68 additional dogs being euthanased as compared to the base case.</w:t>
      </w:r>
      <w:r w:rsidR="007B521C">
        <w:t xml:space="preserve"> </w:t>
      </w:r>
      <w:r w:rsidR="00841AAB">
        <w:t>Given that Option 2 results in a net cost, it is awarded a score of -</w:t>
      </w:r>
      <w:r w:rsidR="00B5291E">
        <w:t>1</w:t>
      </w:r>
      <w:r w:rsidR="00841AAB">
        <w:t>.</w:t>
      </w:r>
      <w:r w:rsidR="00B5291E">
        <w:t>5</w:t>
      </w:r>
      <w:r w:rsidR="00841AAB">
        <w:rPr>
          <w:rStyle w:val="FootnoteReference"/>
        </w:rPr>
        <w:footnoteReference w:id="129"/>
      </w:r>
      <w:r w:rsidR="00841AAB">
        <w:t>.</w:t>
      </w:r>
    </w:p>
    <w:p w:rsidR="007204FD" w:rsidRDefault="007204FD" w:rsidP="007204FD">
      <w:pPr>
        <w:jc w:val="both"/>
      </w:pPr>
    </w:p>
    <w:p w:rsidR="00DE58D2" w:rsidRDefault="00DE58D2" w:rsidP="00DE58D2">
      <w:pPr>
        <w:jc w:val="both"/>
      </w:pPr>
      <w:r>
        <w:t>A total summary of the distribution of costs under Option 2 is provided for in Table 20.</w:t>
      </w:r>
      <w:r w:rsidR="007B521C">
        <w:t xml:space="preserve"> </w:t>
      </w:r>
      <w:r>
        <w:t>The largest share of 10-year present value cost is incurred by GRV (32.73%) followed by small owners (27.47%) small trainers (19.02%) and small breeders (13.34%).</w:t>
      </w:r>
      <w:r w:rsidR="007B521C">
        <w:t xml:space="preserve"> </w:t>
      </w:r>
      <w:r>
        <w:t>Small owners are also likely to obtain the highest share of 56.</w:t>
      </w:r>
      <w:r w:rsidR="007A2E2D">
        <w:t>91</w:t>
      </w:r>
      <w:r>
        <w:t>% of all 10-year present value cost savings, followed by GAP (4</w:t>
      </w:r>
      <w:r w:rsidR="007A2E2D">
        <w:t>1</w:t>
      </w:r>
      <w:r>
        <w:t>.</w:t>
      </w:r>
      <w:r w:rsidR="007A2E2D">
        <w:t>63</w:t>
      </w:r>
      <w:r>
        <w:t>%) under Option 2.</w:t>
      </w:r>
    </w:p>
    <w:p w:rsidR="007E1AF6" w:rsidRDefault="007E1AF6" w:rsidP="00DE58D2">
      <w:pPr>
        <w:jc w:val="both"/>
      </w:pPr>
    </w:p>
    <w:p w:rsidR="00DE58D2" w:rsidRDefault="00DE58D2" w:rsidP="00DE58D2">
      <w:pPr>
        <w:jc w:val="center"/>
        <w:rPr>
          <w:b/>
          <w:sz w:val="20"/>
        </w:rPr>
      </w:pPr>
      <w:r>
        <w:rPr>
          <w:b/>
          <w:sz w:val="20"/>
        </w:rPr>
        <w:t>Table 20</w:t>
      </w:r>
      <w:r w:rsidRPr="000A087D">
        <w:rPr>
          <w:b/>
          <w:sz w:val="20"/>
        </w:rPr>
        <w:t xml:space="preserve">: Distribution of 10-year </w:t>
      </w:r>
      <w:r w:rsidR="004311EF">
        <w:rPr>
          <w:b/>
          <w:sz w:val="20"/>
        </w:rPr>
        <w:t xml:space="preserve">estimated </w:t>
      </w:r>
      <w:r w:rsidRPr="000A087D">
        <w:rPr>
          <w:b/>
          <w:sz w:val="20"/>
        </w:rPr>
        <w:t xml:space="preserve">additional cost of </w:t>
      </w:r>
      <w:r>
        <w:rPr>
          <w:b/>
          <w:sz w:val="20"/>
        </w:rPr>
        <w:t>Option 2</w:t>
      </w:r>
      <w:r w:rsidR="00E6209E">
        <w:rPr>
          <w:rStyle w:val="FootnoteReference"/>
          <w:b/>
          <w:sz w:val="20"/>
        </w:rPr>
        <w:footnoteReference w:id="130"/>
      </w:r>
    </w:p>
    <w:p w:rsidR="00DE58D2" w:rsidRPr="000A087D" w:rsidRDefault="00DE58D2" w:rsidP="00DE58D2">
      <w:pPr>
        <w:jc w:val="center"/>
        <w:rPr>
          <w:b/>
          <w:sz w:val="20"/>
        </w:rPr>
      </w:pPr>
    </w:p>
    <w:tbl>
      <w:tblPr>
        <w:tblW w:w="8323" w:type="dxa"/>
        <w:jc w:val="center"/>
        <w:tblLayout w:type="fixed"/>
        <w:tblLook w:val="04A0" w:firstRow="1" w:lastRow="0" w:firstColumn="1" w:lastColumn="0" w:noHBand="0" w:noVBand="1"/>
      </w:tblPr>
      <w:tblGrid>
        <w:gridCol w:w="1775"/>
        <w:gridCol w:w="1685"/>
        <w:gridCol w:w="1332"/>
        <w:gridCol w:w="2044"/>
        <w:gridCol w:w="1487"/>
      </w:tblGrid>
      <w:tr w:rsidR="00DE58D2" w:rsidRPr="008A02E4" w:rsidTr="00503B24">
        <w:trPr>
          <w:trHeight w:val="70"/>
          <w:tblHeader/>
          <w:jc w:val="center"/>
        </w:trPr>
        <w:tc>
          <w:tcPr>
            <w:tcW w:w="1775" w:type="dxa"/>
            <w:tcBorders>
              <w:top w:val="single" w:sz="4" w:space="0" w:color="1F4E78"/>
              <w:left w:val="nil"/>
              <w:bottom w:val="double" w:sz="6" w:space="0" w:color="1F4E78"/>
              <w:right w:val="nil"/>
            </w:tcBorders>
            <w:shd w:val="clear" w:color="000000" w:fill="FFFFFF"/>
            <w:vAlign w:val="bottom"/>
            <w:hideMark/>
          </w:tcPr>
          <w:p w:rsidR="00DE58D2" w:rsidRPr="008A02E4" w:rsidRDefault="00DE58D2"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1685" w:type="dxa"/>
            <w:tcBorders>
              <w:top w:val="single" w:sz="4" w:space="0" w:color="1F4E78"/>
              <w:left w:val="nil"/>
              <w:bottom w:val="double" w:sz="6" w:space="0" w:color="1F4E78"/>
              <w:right w:val="nil"/>
            </w:tcBorders>
            <w:shd w:val="clear" w:color="000000" w:fill="FFFFFF"/>
            <w:vAlign w:val="center"/>
            <w:hideMark/>
          </w:tcPr>
          <w:p w:rsidR="00DE58D2" w:rsidRPr="008A02E4" w:rsidRDefault="00DE58D2"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332" w:type="dxa"/>
            <w:tcBorders>
              <w:top w:val="single" w:sz="4" w:space="0" w:color="1F4E78"/>
              <w:left w:val="nil"/>
              <w:bottom w:val="double" w:sz="6" w:space="0" w:color="1F4E78"/>
              <w:right w:val="nil"/>
            </w:tcBorders>
            <w:shd w:val="clear" w:color="000000" w:fill="FFFFFF"/>
            <w:vAlign w:val="center"/>
            <w:hideMark/>
          </w:tcPr>
          <w:p w:rsidR="00DE58D2" w:rsidRPr="008A02E4" w:rsidRDefault="00DE58D2"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2044" w:type="dxa"/>
            <w:tcBorders>
              <w:top w:val="single" w:sz="4" w:space="0" w:color="1F4E78"/>
              <w:left w:val="nil"/>
              <w:bottom w:val="double" w:sz="6" w:space="0" w:color="1F4E78"/>
              <w:right w:val="nil"/>
            </w:tcBorders>
            <w:shd w:val="clear" w:color="000000" w:fill="FFFFFF"/>
            <w:vAlign w:val="center"/>
            <w:hideMark/>
          </w:tcPr>
          <w:p w:rsidR="00DE58D2" w:rsidRPr="008A02E4" w:rsidRDefault="00DE58D2"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487" w:type="dxa"/>
            <w:tcBorders>
              <w:top w:val="single" w:sz="4" w:space="0" w:color="1F4E78"/>
              <w:left w:val="nil"/>
              <w:bottom w:val="double" w:sz="6" w:space="0" w:color="1F4E78"/>
              <w:right w:val="nil"/>
            </w:tcBorders>
            <w:shd w:val="clear" w:color="auto" w:fill="DBE5F1" w:themeFill="accent1" w:themeFillTint="33"/>
            <w:vAlign w:val="center"/>
            <w:hideMark/>
          </w:tcPr>
          <w:p w:rsidR="00DE58D2" w:rsidRPr="008A02E4" w:rsidRDefault="00DE58D2"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DE58D2" w:rsidRPr="000A087D" w:rsidTr="00503B24">
        <w:trPr>
          <w:trHeight w:val="255"/>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Large breeder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$122,851</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$272,620</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$2,422,495</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4.05%</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Small breeder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$1,732,138</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$741,091</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$7,983,488</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13.34%</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Large trainer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$354,686</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$43,868</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$724,731</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1.21%</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Small trainer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$2,857,503</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$1,010,818</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$11,384,086</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19.02%</w:t>
            </w:r>
          </w:p>
        </w:tc>
      </w:tr>
      <w:tr w:rsidR="00DE58D2" w:rsidRPr="000A087D" w:rsidTr="00503B24">
        <w:trPr>
          <w:trHeight w:val="240"/>
          <w:jc w:val="center"/>
        </w:trPr>
        <w:tc>
          <w:tcPr>
            <w:tcW w:w="1775" w:type="dxa"/>
            <w:tcBorders>
              <w:top w:val="nil"/>
              <w:left w:val="nil"/>
              <w:bottom w:val="nil"/>
              <w:right w:val="nil"/>
            </w:tcBorders>
            <w:shd w:val="clear" w:color="000000" w:fill="FFFFFF"/>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Large owner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$0</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$49,974</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$421,549</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0.70%</w:t>
            </w:r>
          </w:p>
        </w:tc>
      </w:tr>
      <w:tr w:rsidR="00DE58D2" w:rsidRPr="000A087D" w:rsidTr="00503B24">
        <w:trPr>
          <w:trHeight w:val="240"/>
          <w:jc w:val="center"/>
        </w:trPr>
        <w:tc>
          <w:tcPr>
            <w:tcW w:w="1775" w:type="dxa"/>
            <w:tcBorders>
              <w:top w:val="nil"/>
              <w:left w:val="nil"/>
              <w:bottom w:val="nil"/>
              <w:right w:val="nil"/>
            </w:tcBorders>
            <w:shd w:val="clear" w:color="000000" w:fill="FFFFFF"/>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Small owner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$0</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$1,948,937</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$16,439,928</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27.47%</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GAP</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$0</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$104,515</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$881,618</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1.47%</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GRV</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$146,407</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$2,289,466</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$19,587,047</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sidRPr="000A087D">
              <w:rPr>
                <w:rFonts w:eastAsia="Times New Roman" w:cs="Calibri"/>
                <w:sz w:val="18"/>
                <w:szCs w:val="18"/>
                <w:lang w:eastAsia="en-AU"/>
              </w:rPr>
              <w:t>32.73%</w:t>
            </w:r>
          </w:p>
        </w:tc>
      </w:tr>
      <w:tr w:rsidR="00DE58D2" w:rsidRPr="008A02E4" w:rsidTr="00503B24">
        <w:trPr>
          <w:trHeight w:val="240"/>
          <w:jc w:val="center"/>
        </w:trPr>
        <w:tc>
          <w:tcPr>
            <w:tcW w:w="1775" w:type="dxa"/>
            <w:tcBorders>
              <w:top w:val="single" w:sz="4" w:space="0" w:color="1F4E78"/>
              <w:left w:val="nil"/>
              <w:bottom w:val="single" w:sz="4" w:space="0" w:color="1F4E78"/>
              <w:right w:val="nil"/>
            </w:tcBorders>
            <w:shd w:val="clear" w:color="000000" w:fill="FFFFFF"/>
            <w:noWrap/>
            <w:vAlign w:val="bottom"/>
            <w:hideMark/>
          </w:tcPr>
          <w:p w:rsidR="00DE58D2" w:rsidRPr="008A02E4" w:rsidRDefault="00DE58D2" w:rsidP="00F8792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1685" w:type="dxa"/>
            <w:tcBorders>
              <w:top w:val="single" w:sz="4" w:space="0" w:color="1F4E78"/>
              <w:left w:val="nil"/>
              <w:bottom w:val="single" w:sz="4" w:space="0" w:color="1F4E78"/>
              <w:right w:val="nil"/>
            </w:tcBorders>
            <w:shd w:val="clear" w:color="000000" w:fill="FFFFFF"/>
            <w:noWrap/>
            <w:vAlign w:val="bottom"/>
            <w:hideMark/>
          </w:tcPr>
          <w:p w:rsidR="00DE58D2" w:rsidRPr="008A02E4" w:rsidRDefault="00DE58D2"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$5,213,586</w:t>
            </w:r>
          </w:p>
        </w:tc>
        <w:tc>
          <w:tcPr>
            <w:tcW w:w="1332" w:type="dxa"/>
            <w:tcBorders>
              <w:top w:val="single" w:sz="4" w:space="0" w:color="1F4E78"/>
              <w:left w:val="nil"/>
              <w:bottom w:val="single" w:sz="4" w:space="0" w:color="1F4E78"/>
              <w:right w:val="nil"/>
            </w:tcBorders>
            <w:shd w:val="clear" w:color="000000" w:fill="FFFFFF"/>
            <w:noWrap/>
            <w:vAlign w:val="bottom"/>
            <w:hideMark/>
          </w:tcPr>
          <w:p w:rsidR="00DE58D2" w:rsidRPr="008A02E4" w:rsidRDefault="00DE58D2"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$6,461,290</w:t>
            </w:r>
          </w:p>
        </w:tc>
        <w:tc>
          <w:tcPr>
            <w:tcW w:w="2044" w:type="dxa"/>
            <w:tcBorders>
              <w:top w:val="single" w:sz="4" w:space="0" w:color="1F4E78"/>
              <w:left w:val="nil"/>
              <w:bottom w:val="single" w:sz="4" w:space="0" w:color="1F4E78"/>
              <w:right w:val="nil"/>
            </w:tcBorders>
            <w:shd w:val="clear" w:color="000000" w:fill="FFFFFF"/>
            <w:noWrap/>
            <w:vAlign w:val="bottom"/>
            <w:hideMark/>
          </w:tcPr>
          <w:p w:rsidR="00DE58D2" w:rsidRPr="008A02E4" w:rsidRDefault="00DE58D2"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$59,844,943</w:t>
            </w:r>
          </w:p>
        </w:tc>
        <w:tc>
          <w:tcPr>
            <w:tcW w:w="1487" w:type="dxa"/>
            <w:tcBorders>
              <w:top w:val="single" w:sz="4" w:space="0" w:color="1F4E78"/>
              <w:left w:val="nil"/>
              <w:bottom w:val="single" w:sz="4" w:space="0" w:color="1F4E78"/>
              <w:right w:val="nil"/>
            </w:tcBorders>
            <w:shd w:val="clear" w:color="auto" w:fill="DBE5F1" w:themeFill="accent1" w:themeFillTint="33"/>
            <w:noWrap/>
            <w:vAlign w:val="bottom"/>
            <w:hideMark/>
          </w:tcPr>
          <w:p w:rsidR="00DE58D2" w:rsidRPr="008A02E4" w:rsidRDefault="00DE58D2"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100.00%</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Large owner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Pr>
                <w:rFonts w:cs="Calibri"/>
                <w:color w:val="FF0000"/>
                <w:sz w:val="18"/>
                <w:szCs w:val="18"/>
              </w:rPr>
              <w:t>-$41,617</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Pr>
                <w:rFonts w:cs="Calibri"/>
                <w:color w:val="FF0000"/>
                <w:sz w:val="18"/>
                <w:szCs w:val="18"/>
              </w:rPr>
              <w:t>-$351,056</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Pr>
                <w:rFonts w:cs="Calibri"/>
                <w:sz w:val="18"/>
                <w:szCs w:val="18"/>
              </w:rPr>
              <w:t>1.4</w:t>
            </w:r>
            <w:r w:rsidR="007A2E2D">
              <w:rPr>
                <w:rFonts w:cs="Calibri"/>
                <w:sz w:val="18"/>
                <w:szCs w:val="18"/>
              </w:rPr>
              <w:t>6</w:t>
            </w:r>
            <w:r>
              <w:rPr>
                <w:rFonts w:cs="Calibri"/>
                <w:sz w:val="18"/>
                <w:szCs w:val="18"/>
              </w:rPr>
              <w:t>%</w:t>
            </w:r>
          </w:p>
        </w:tc>
      </w:tr>
      <w:tr w:rsidR="00DE58D2"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DE58D2" w:rsidRPr="000A087D" w:rsidRDefault="00DE58D2" w:rsidP="00F8792B">
            <w:pPr>
              <w:rPr>
                <w:rFonts w:eastAsia="Times New Roman" w:cs="Calibri"/>
                <w:sz w:val="18"/>
                <w:szCs w:val="18"/>
                <w:lang w:eastAsia="en-AU"/>
              </w:rPr>
            </w:pPr>
            <w:r w:rsidRPr="000A087D">
              <w:rPr>
                <w:rFonts w:eastAsia="Times New Roman" w:cs="Calibri"/>
                <w:sz w:val="18"/>
                <w:szCs w:val="18"/>
                <w:lang w:eastAsia="en-AU"/>
              </w:rPr>
              <w:t>Small owner</w:t>
            </w:r>
          </w:p>
        </w:tc>
        <w:tc>
          <w:tcPr>
            <w:tcW w:w="1685"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1332"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Pr>
                <w:rFonts w:cs="Calibri"/>
                <w:color w:val="FF0000"/>
                <w:sz w:val="18"/>
                <w:szCs w:val="18"/>
              </w:rPr>
              <w:t>-$1,622,918</w:t>
            </w:r>
          </w:p>
        </w:tc>
        <w:tc>
          <w:tcPr>
            <w:tcW w:w="2044" w:type="dxa"/>
            <w:tcBorders>
              <w:top w:val="nil"/>
              <w:left w:val="nil"/>
              <w:bottom w:val="nil"/>
              <w:right w:val="nil"/>
            </w:tcBorders>
            <w:shd w:val="clear" w:color="000000" w:fill="FFFFFF"/>
            <w:noWrap/>
            <w:vAlign w:val="bottom"/>
            <w:hideMark/>
          </w:tcPr>
          <w:p w:rsidR="00DE58D2" w:rsidRPr="000A087D" w:rsidRDefault="00DE58D2" w:rsidP="00F8792B">
            <w:pPr>
              <w:jc w:val="right"/>
              <w:rPr>
                <w:rFonts w:eastAsia="Times New Roman" w:cs="Calibri"/>
                <w:color w:val="FF0000"/>
                <w:sz w:val="18"/>
                <w:szCs w:val="18"/>
                <w:lang w:eastAsia="en-AU"/>
              </w:rPr>
            </w:pPr>
            <w:r>
              <w:rPr>
                <w:rFonts w:cs="Calibri"/>
                <w:color w:val="FF0000"/>
                <w:sz w:val="18"/>
                <w:szCs w:val="18"/>
              </w:rPr>
              <w:t>-$13,689,847</w:t>
            </w:r>
          </w:p>
        </w:tc>
        <w:tc>
          <w:tcPr>
            <w:tcW w:w="1487" w:type="dxa"/>
            <w:tcBorders>
              <w:top w:val="nil"/>
              <w:left w:val="nil"/>
              <w:bottom w:val="nil"/>
              <w:right w:val="nil"/>
            </w:tcBorders>
            <w:shd w:val="clear" w:color="auto" w:fill="DBE5F1" w:themeFill="accent1" w:themeFillTint="33"/>
            <w:noWrap/>
            <w:vAlign w:val="bottom"/>
            <w:hideMark/>
          </w:tcPr>
          <w:p w:rsidR="00DE58D2" w:rsidRPr="000A087D" w:rsidRDefault="00DE58D2" w:rsidP="00F8792B">
            <w:pPr>
              <w:jc w:val="right"/>
              <w:rPr>
                <w:rFonts w:eastAsia="Times New Roman" w:cs="Calibri"/>
                <w:sz w:val="18"/>
                <w:szCs w:val="18"/>
                <w:lang w:eastAsia="en-AU"/>
              </w:rPr>
            </w:pPr>
            <w:r>
              <w:rPr>
                <w:rFonts w:cs="Calibri"/>
                <w:sz w:val="18"/>
                <w:szCs w:val="18"/>
              </w:rPr>
              <w:t>56.</w:t>
            </w:r>
            <w:r w:rsidR="007A2E2D">
              <w:rPr>
                <w:rFonts w:cs="Calibri"/>
                <w:sz w:val="18"/>
                <w:szCs w:val="18"/>
              </w:rPr>
              <w:t>91</w:t>
            </w:r>
            <w:r>
              <w:rPr>
                <w:rFonts w:cs="Calibri"/>
                <w:sz w:val="18"/>
                <w:szCs w:val="18"/>
              </w:rPr>
              <w:t>%</w:t>
            </w:r>
          </w:p>
        </w:tc>
      </w:tr>
      <w:tr w:rsidR="007A2E2D" w:rsidRPr="000A087D" w:rsidTr="00503B24">
        <w:trPr>
          <w:trHeight w:val="240"/>
          <w:jc w:val="center"/>
        </w:trPr>
        <w:tc>
          <w:tcPr>
            <w:tcW w:w="1775" w:type="dxa"/>
            <w:tcBorders>
              <w:top w:val="nil"/>
              <w:left w:val="nil"/>
              <w:bottom w:val="nil"/>
              <w:right w:val="nil"/>
            </w:tcBorders>
            <w:shd w:val="clear" w:color="000000" w:fill="FFFFFF"/>
            <w:noWrap/>
            <w:vAlign w:val="bottom"/>
            <w:hideMark/>
          </w:tcPr>
          <w:p w:rsidR="007A2E2D" w:rsidRPr="000A087D" w:rsidRDefault="007A2E2D" w:rsidP="007A2E2D">
            <w:pPr>
              <w:rPr>
                <w:rFonts w:eastAsia="Times New Roman" w:cs="Calibri"/>
                <w:sz w:val="18"/>
                <w:szCs w:val="18"/>
                <w:lang w:eastAsia="en-AU"/>
              </w:rPr>
            </w:pPr>
            <w:r w:rsidRPr="000A087D">
              <w:rPr>
                <w:rFonts w:eastAsia="Times New Roman" w:cs="Calibri"/>
                <w:sz w:val="18"/>
                <w:szCs w:val="18"/>
                <w:lang w:eastAsia="en-AU"/>
              </w:rPr>
              <w:t>GAP</w:t>
            </w:r>
          </w:p>
        </w:tc>
        <w:tc>
          <w:tcPr>
            <w:tcW w:w="1685" w:type="dxa"/>
            <w:tcBorders>
              <w:top w:val="nil"/>
              <w:left w:val="nil"/>
              <w:bottom w:val="nil"/>
              <w:right w:val="nil"/>
            </w:tcBorders>
            <w:shd w:val="clear" w:color="000000" w:fill="FFFFFF"/>
            <w:noWrap/>
            <w:vAlign w:val="bottom"/>
            <w:hideMark/>
          </w:tcPr>
          <w:p w:rsidR="007A2E2D" w:rsidRPr="000A087D" w:rsidRDefault="007A2E2D" w:rsidP="007A2E2D">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1332" w:type="dxa"/>
            <w:tcBorders>
              <w:top w:val="nil"/>
              <w:left w:val="nil"/>
              <w:bottom w:val="nil"/>
              <w:right w:val="nil"/>
            </w:tcBorders>
            <w:shd w:val="clear" w:color="000000" w:fill="FFFFFF"/>
            <w:noWrap/>
            <w:vAlign w:val="bottom"/>
            <w:hideMark/>
          </w:tcPr>
          <w:p w:rsidR="007A2E2D" w:rsidRPr="000A087D" w:rsidRDefault="007A2E2D" w:rsidP="007A2E2D">
            <w:pPr>
              <w:jc w:val="right"/>
              <w:rPr>
                <w:rFonts w:eastAsia="Times New Roman" w:cs="Calibri"/>
                <w:color w:val="FF0000"/>
                <w:sz w:val="18"/>
                <w:szCs w:val="18"/>
                <w:lang w:eastAsia="en-AU"/>
              </w:rPr>
            </w:pPr>
            <w:r>
              <w:rPr>
                <w:rFonts w:cs="Calibri"/>
                <w:color w:val="FF0000"/>
                <w:sz w:val="18"/>
                <w:szCs w:val="18"/>
              </w:rPr>
              <w:t>-$1,187,075</w:t>
            </w:r>
          </w:p>
        </w:tc>
        <w:tc>
          <w:tcPr>
            <w:tcW w:w="2044" w:type="dxa"/>
            <w:tcBorders>
              <w:top w:val="nil"/>
              <w:left w:val="nil"/>
              <w:bottom w:val="nil"/>
              <w:right w:val="nil"/>
            </w:tcBorders>
            <w:shd w:val="clear" w:color="000000" w:fill="FFFFFF"/>
            <w:noWrap/>
            <w:vAlign w:val="bottom"/>
            <w:hideMark/>
          </w:tcPr>
          <w:p w:rsidR="007A2E2D" w:rsidRPr="000A087D" w:rsidRDefault="007A2E2D" w:rsidP="007A2E2D">
            <w:pPr>
              <w:jc w:val="right"/>
              <w:rPr>
                <w:rFonts w:eastAsia="Times New Roman" w:cs="Calibri"/>
                <w:color w:val="FF0000"/>
                <w:sz w:val="18"/>
                <w:szCs w:val="18"/>
                <w:lang w:eastAsia="en-AU"/>
              </w:rPr>
            </w:pPr>
            <w:r>
              <w:rPr>
                <w:rFonts w:cs="Calibri"/>
                <w:color w:val="FF0000"/>
                <w:sz w:val="18"/>
                <w:szCs w:val="18"/>
              </w:rPr>
              <w:t>-$10,013,368</w:t>
            </w:r>
          </w:p>
        </w:tc>
        <w:tc>
          <w:tcPr>
            <w:tcW w:w="1487" w:type="dxa"/>
            <w:tcBorders>
              <w:top w:val="nil"/>
              <w:left w:val="nil"/>
              <w:bottom w:val="nil"/>
              <w:right w:val="nil"/>
            </w:tcBorders>
            <w:shd w:val="clear" w:color="auto" w:fill="DBE5F1" w:themeFill="accent1" w:themeFillTint="33"/>
            <w:noWrap/>
            <w:vAlign w:val="bottom"/>
            <w:hideMark/>
          </w:tcPr>
          <w:p w:rsidR="007A2E2D" w:rsidRPr="000A087D" w:rsidRDefault="007A2E2D" w:rsidP="007A2E2D">
            <w:pPr>
              <w:jc w:val="right"/>
              <w:rPr>
                <w:rFonts w:eastAsia="Times New Roman" w:cs="Calibri"/>
                <w:sz w:val="18"/>
                <w:szCs w:val="18"/>
                <w:lang w:eastAsia="en-AU"/>
              </w:rPr>
            </w:pPr>
            <w:r>
              <w:rPr>
                <w:rFonts w:cs="Calibri"/>
                <w:sz w:val="18"/>
                <w:szCs w:val="18"/>
              </w:rPr>
              <w:t>41.63%</w:t>
            </w:r>
          </w:p>
        </w:tc>
      </w:tr>
      <w:tr w:rsidR="007A2E2D" w:rsidRPr="000A087D" w:rsidTr="00503B24">
        <w:trPr>
          <w:trHeight w:val="240"/>
          <w:jc w:val="center"/>
        </w:trPr>
        <w:tc>
          <w:tcPr>
            <w:tcW w:w="1775" w:type="dxa"/>
            <w:tcBorders>
              <w:top w:val="single" w:sz="4" w:space="0" w:color="1F4E78"/>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rPr>
                <w:rFonts w:eastAsia="Times New Roman" w:cs="Calibri"/>
                <w:b/>
                <w:bCs/>
                <w:color w:val="1F4E78"/>
                <w:sz w:val="18"/>
                <w:szCs w:val="18"/>
                <w:lang w:eastAsia="en-AU"/>
              </w:rPr>
            </w:pPr>
            <w:r w:rsidRPr="008A02E4">
              <w:rPr>
                <w:rFonts w:eastAsia="Times New Roman" w:cs="Calibri"/>
                <w:b/>
                <w:bCs/>
                <w:color w:val="53565A"/>
                <w:sz w:val="18"/>
                <w:szCs w:val="18"/>
                <w:lang w:eastAsia="en-AU"/>
              </w:rPr>
              <w:t>Total cost savings</w:t>
            </w:r>
          </w:p>
        </w:tc>
        <w:tc>
          <w:tcPr>
            <w:tcW w:w="1685" w:type="dxa"/>
            <w:tcBorders>
              <w:top w:val="single" w:sz="4" w:space="0" w:color="1F4E78"/>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color w:val="FF0000"/>
                <w:sz w:val="18"/>
                <w:szCs w:val="18"/>
                <w:lang w:eastAsia="en-AU"/>
              </w:rPr>
            </w:pPr>
            <w:r w:rsidRPr="000A087D">
              <w:rPr>
                <w:rFonts w:eastAsia="Times New Roman" w:cs="Calibri"/>
                <w:b/>
                <w:bCs/>
                <w:color w:val="FF0000"/>
                <w:sz w:val="18"/>
                <w:szCs w:val="18"/>
                <w:lang w:eastAsia="en-AU"/>
              </w:rPr>
              <w:t>$0</w:t>
            </w:r>
          </w:p>
        </w:tc>
        <w:tc>
          <w:tcPr>
            <w:tcW w:w="1332" w:type="dxa"/>
            <w:tcBorders>
              <w:top w:val="single" w:sz="4" w:space="0" w:color="1F4E78"/>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color w:val="FF0000"/>
                <w:sz w:val="18"/>
                <w:szCs w:val="18"/>
                <w:lang w:eastAsia="en-AU"/>
              </w:rPr>
            </w:pPr>
            <w:r>
              <w:rPr>
                <w:rFonts w:cs="Calibri"/>
                <w:b/>
                <w:bCs/>
                <w:color w:val="FF0000"/>
                <w:sz w:val="18"/>
                <w:szCs w:val="18"/>
              </w:rPr>
              <w:t>-$2,851,609</w:t>
            </w:r>
          </w:p>
        </w:tc>
        <w:tc>
          <w:tcPr>
            <w:tcW w:w="2044" w:type="dxa"/>
            <w:tcBorders>
              <w:top w:val="single" w:sz="4" w:space="0" w:color="1F4E78"/>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color w:val="FF0000"/>
                <w:sz w:val="18"/>
                <w:szCs w:val="18"/>
                <w:lang w:eastAsia="en-AU"/>
              </w:rPr>
            </w:pPr>
            <w:r>
              <w:rPr>
                <w:rFonts w:cs="Calibri"/>
                <w:b/>
                <w:bCs/>
                <w:color w:val="FF0000"/>
                <w:sz w:val="18"/>
                <w:szCs w:val="18"/>
              </w:rPr>
              <w:t>-$24,054,271</w:t>
            </w:r>
          </w:p>
        </w:tc>
        <w:tc>
          <w:tcPr>
            <w:tcW w:w="1487"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7A2E2D" w:rsidRPr="000A087D" w:rsidRDefault="007A2E2D" w:rsidP="007A2E2D">
            <w:pPr>
              <w:jc w:val="right"/>
              <w:rPr>
                <w:rFonts w:eastAsia="Times New Roman" w:cs="Calibri"/>
                <w:b/>
                <w:bCs/>
                <w:color w:val="1F4E78"/>
                <w:sz w:val="18"/>
                <w:szCs w:val="18"/>
                <w:lang w:eastAsia="en-AU"/>
              </w:rPr>
            </w:pPr>
            <w:r w:rsidRPr="008A02E4">
              <w:rPr>
                <w:rFonts w:cs="Calibri"/>
                <w:b/>
                <w:bCs/>
                <w:color w:val="53565A"/>
                <w:sz w:val="18"/>
                <w:szCs w:val="18"/>
              </w:rPr>
              <w:t>100.00%</w:t>
            </w:r>
          </w:p>
        </w:tc>
      </w:tr>
      <w:tr w:rsidR="007A2E2D" w:rsidRPr="000A087D" w:rsidTr="00503B24">
        <w:trPr>
          <w:trHeight w:val="240"/>
          <w:jc w:val="center"/>
        </w:trPr>
        <w:tc>
          <w:tcPr>
            <w:tcW w:w="1775"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rPr>
                <w:rFonts w:eastAsia="Times New Roman" w:cs="Calibri"/>
                <w:b/>
                <w:bCs/>
                <w:i/>
                <w:iCs/>
                <w:sz w:val="18"/>
                <w:szCs w:val="18"/>
                <w:lang w:eastAsia="en-AU"/>
              </w:rPr>
            </w:pPr>
            <w:r w:rsidRPr="000A087D">
              <w:rPr>
                <w:rFonts w:eastAsia="Times New Roman" w:cs="Calibri"/>
                <w:b/>
                <w:bCs/>
                <w:i/>
                <w:iCs/>
                <w:sz w:val="18"/>
                <w:szCs w:val="18"/>
                <w:lang w:eastAsia="en-AU"/>
              </w:rPr>
              <w:t>Total net costs</w:t>
            </w:r>
          </w:p>
        </w:tc>
        <w:tc>
          <w:tcPr>
            <w:tcW w:w="1685"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i/>
                <w:iCs/>
                <w:sz w:val="18"/>
                <w:szCs w:val="18"/>
                <w:lang w:eastAsia="en-AU"/>
              </w:rPr>
            </w:pPr>
            <w:r w:rsidRPr="000A087D">
              <w:rPr>
                <w:rFonts w:eastAsia="Times New Roman" w:cs="Calibri"/>
                <w:b/>
                <w:bCs/>
                <w:i/>
                <w:iCs/>
                <w:sz w:val="18"/>
                <w:szCs w:val="18"/>
                <w:lang w:eastAsia="en-AU"/>
              </w:rPr>
              <w:t>$5,213,586</w:t>
            </w:r>
          </w:p>
        </w:tc>
        <w:tc>
          <w:tcPr>
            <w:tcW w:w="1332"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i/>
                <w:iCs/>
                <w:sz w:val="18"/>
                <w:szCs w:val="18"/>
                <w:lang w:eastAsia="en-AU"/>
              </w:rPr>
            </w:pPr>
            <w:r>
              <w:rPr>
                <w:rFonts w:cs="Calibri"/>
                <w:b/>
                <w:bCs/>
                <w:i/>
                <w:iCs/>
                <w:sz w:val="18"/>
                <w:szCs w:val="18"/>
              </w:rPr>
              <w:t>$3,609,680</w:t>
            </w:r>
          </w:p>
        </w:tc>
        <w:tc>
          <w:tcPr>
            <w:tcW w:w="2044"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7A2E2D" w:rsidRPr="000A087D" w:rsidRDefault="007A2E2D" w:rsidP="007A2E2D">
            <w:pPr>
              <w:jc w:val="right"/>
              <w:rPr>
                <w:rFonts w:eastAsia="Times New Roman" w:cs="Calibri"/>
                <w:b/>
                <w:bCs/>
                <w:i/>
                <w:iCs/>
                <w:sz w:val="18"/>
                <w:szCs w:val="18"/>
                <w:lang w:eastAsia="en-AU"/>
              </w:rPr>
            </w:pPr>
            <w:r>
              <w:rPr>
                <w:rFonts w:cs="Calibri"/>
                <w:b/>
                <w:bCs/>
                <w:i/>
                <w:iCs/>
                <w:sz w:val="18"/>
                <w:szCs w:val="18"/>
              </w:rPr>
              <w:t>$35,790,672</w:t>
            </w:r>
          </w:p>
        </w:tc>
        <w:tc>
          <w:tcPr>
            <w:tcW w:w="1487"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7A2E2D" w:rsidRPr="000A087D" w:rsidRDefault="007A2E2D" w:rsidP="007A2E2D">
            <w:pPr>
              <w:rPr>
                <w:rFonts w:eastAsia="Times New Roman" w:cs="Calibri"/>
                <w:b/>
                <w:bCs/>
                <w:i/>
                <w:iCs/>
                <w:sz w:val="18"/>
                <w:szCs w:val="18"/>
                <w:lang w:eastAsia="en-AU"/>
              </w:rPr>
            </w:pPr>
            <w:r>
              <w:rPr>
                <w:rFonts w:cs="Calibri"/>
                <w:b/>
                <w:bCs/>
                <w:i/>
                <w:iCs/>
                <w:sz w:val="18"/>
                <w:szCs w:val="18"/>
              </w:rPr>
              <w:t> </w:t>
            </w:r>
          </w:p>
        </w:tc>
      </w:tr>
    </w:tbl>
    <w:p w:rsidR="00EC2637" w:rsidRDefault="00EC2637" w:rsidP="007204FD">
      <w:pPr>
        <w:jc w:val="both"/>
      </w:pPr>
    </w:p>
    <w:p w:rsidR="00DE58D2" w:rsidRPr="00DE58D2" w:rsidRDefault="00DE58D2" w:rsidP="008A02E4">
      <w:pPr>
        <w:pStyle w:val="H11italic"/>
      </w:pPr>
      <w:bookmarkStart w:id="141" w:name="_Toc477190201"/>
      <w:r>
        <w:t>Incremental net cost – Option 3</w:t>
      </w:r>
      <w:bookmarkEnd w:id="141"/>
    </w:p>
    <w:p w:rsidR="00841AAB" w:rsidRDefault="00841AAB" w:rsidP="00841AAB">
      <w:pPr>
        <w:jc w:val="both"/>
      </w:pPr>
      <w:r>
        <w:t>Option 3 would result in an estimated incremental cost of $117.</w:t>
      </w:r>
      <w:r w:rsidR="006D36C1">
        <w:t>79</w:t>
      </w:r>
      <w:r>
        <w:t>m over 10 years in present value dollars with an annual net cost of $11.6</w:t>
      </w:r>
      <w:r w:rsidR="006D36C1">
        <w:t>6</w:t>
      </w:r>
      <w:r>
        <w:t>m and one-off costs of $19.34m</w:t>
      </w:r>
      <w:r>
        <w:rPr>
          <w:rStyle w:val="FootnoteReference"/>
        </w:rPr>
        <w:footnoteReference w:id="131"/>
      </w:r>
      <w:r>
        <w:t>.</w:t>
      </w:r>
      <w:r w:rsidR="007B521C">
        <w:t xml:space="preserve"> </w:t>
      </w:r>
      <w:r>
        <w:t>The main components of one-off costs under Option 3 would b</w:t>
      </w:r>
      <w:r w:rsidR="007E1AF6">
        <w:t xml:space="preserve">e health management plans </w:t>
      </w:r>
      <w:r w:rsidR="007E1AF6">
        <w:lastRenderedPageBreak/>
        <w:t>($0.15</w:t>
      </w:r>
      <w:r w:rsidR="004459E0">
        <w:t>m); food receptacles ($0.06m); food storage ($0.01m) perimeter fencing ($11.18m); outdoor housing ($7.71m); indoor housing ($0.09</w:t>
      </w:r>
      <w:r>
        <w:t>m) and GRV training ($0.15m)</w:t>
      </w:r>
      <w:r w:rsidR="004459E0">
        <w:rPr>
          <w:rStyle w:val="FootnoteReference"/>
        </w:rPr>
        <w:footnoteReference w:id="132"/>
      </w:r>
      <w:r>
        <w:t>.</w:t>
      </w:r>
      <w:r w:rsidR="007B521C">
        <w:t xml:space="preserve"> </w:t>
      </w:r>
      <w:r>
        <w:t>The mai</w:t>
      </w:r>
      <w:r w:rsidR="004459E0">
        <w:t>n cost components under Option 3</w:t>
      </w:r>
      <w:r>
        <w:t xml:space="preserve"> over 10 years in present value dollars wou</w:t>
      </w:r>
      <w:r w:rsidR="004459E0">
        <w:t>ld include: staff ratio 1:25 ($7.94) health checks ($15.73m); rearing ($37.42m); GAP reform ($13.63</w:t>
      </w:r>
      <w:r>
        <w:t>m)</w:t>
      </w:r>
      <w:r w:rsidR="004459E0">
        <w:t>; perimeter fencing ($11.18m)</w:t>
      </w:r>
      <w:r>
        <w:t xml:space="preserve"> and enforcement ($19.58m) (see Table 18).</w:t>
      </w:r>
      <w:r w:rsidR="007B521C">
        <w:t xml:space="preserve"> </w:t>
      </w:r>
      <w:r>
        <w:t>With respect to GAP the cost savings to owners and GAP are identical to Option</w:t>
      </w:r>
      <w:r w:rsidR="004459E0">
        <w:t>s</w:t>
      </w:r>
      <w:r>
        <w:t xml:space="preserve"> 1</w:t>
      </w:r>
      <w:r w:rsidR="004459E0">
        <w:t xml:space="preserve"> and 2 however Option 3 would result in</w:t>
      </w:r>
      <w:r w:rsidR="006D36C1">
        <w:t>:</w:t>
      </w:r>
      <w:r>
        <w:t xml:space="preserve"> higher incremental costs to owners with regards to rehoming, rehabilitation </w:t>
      </w:r>
      <w:r w:rsidR="004459E0">
        <w:t>($16,86m)</w:t>
      </w:r>
      <w:r w:rsidR="006D36C1">
        <w:t>;</w:t>
      </w:r>
      <w:r w:rsidR="004459E0">
        <w:t xml:space="preserve"> </w:t>
      </w:r>
      <w:r w:rsidR="003A53AE">
        <w:t>euthanasia costs for GAP if unable to rehome dogs after exhausting all avenues to rehome</w:t>
      </w:r>
      <w:r w:rsidR="006D36C1">
        <w:t xml:space="preserve">; and </w:t>
      </w:r>
      <w:r w:rsidR="001F7C75">
        <w:t>euthanasia costs for emergencies/illness</w:t>
      </w:r>
      <w:r>
        <w:t>.</w:t>
      </w:r>
      <w:r w:rsidR="001F7C75" w:rsidRPr="001F7C75">
        <w:t xml:space="preserve"> </w:t>
      </w:r>
      <w:r w:rsidR="001F7C75">
        <w:t>GRV state that “GRV will progressively move towards re-homing all greyhounds bred in Victoria (subject to medical, behavioural and legal requirements) by 2018-19”</w:t>
      </w:r>
      <w:r w:rsidR="001F7C75">
        <w:rPr>
          <w:rStyle w:val="FootnoteReference"/>
        </w:rPr>
        <w:footnoteReference w:id="133"/>
      </w:r>
      <w:r w:rsidR="001F7C75">
        <w:t>.</w:t>
      </w:r>
      <w:r w:rsidR="007B521C">
        <w:t xml:space="preserve"> </w:t>
      </w:r>
      <w:r w:rsidR="00EC5058">
        <w:t>Breeding reforms and training programs being implemented by GRV will reduce the number of dogs available for the market quite rapidly.</w:t>
      </w:r>
      <w:r w:rsidR="007B521C">
        <w:t xml:space="preserve"> </w:t>
      </w:r>
      <w:r w:rsidR="00B37708">
        <w:t xml:space="preserve">Notwithstanding </w:t>
      </w:r>
      <w:r w:rsidR="004459E0" w:rsidRPr="00C357B6">
        <w:t xml:space="preserve">that Option 3 results in the highest </w:t>
      </w:r>
      <w:r w:rsidRPr="00C357B6">
        <w:t>net cos</w:t>
      </w:r>
      <w:r w:rsidR="004459E0" w:rsidRPr="00C357B6">
        <w:t xml:space="preserve">t, </w:t>
      </w:r>
      <w:r w:rsidR="00B37708" w:rsidRPr="00C357B6">
        <w:t xml:space="preserve">of all the options, </w:t>
      </w:r>
      <w:r w:rsidR="00B37708" w:rsidRPr="00B37708">
        <w:t>t</w:t>
      </w:r>
      <w:r w:rsidR="00451E2D" w:rsidRPr="00B37708">
        <w:t xml:space="preserve">he magnitude of the impact </w:t>
      </w:r>
      <w:r w:rsidR="002418ED">
        <w:t>however</w:t>
      </w:r>
      <w:r w:rsidR="00447F2E" w:rsidRPr="00B37708">
        <w:t xml:space="preserve"> </w:t>
      </w:r>
      <w:r w:rsidR="00451E2D" w:rsidRPr="00B37708">
        <w:t>is not the most cost that can be imposed on the industry but rather a noticeable yet reasonable cost impost</w:t>
      </w:r>
      <w:r w:rsidR="00B37708" w:rsidRPr="00B37708">
        <w:t>.</w:t>
      </w:r>
      <w:r w:rsidR="007B521C">
        <w:t xml:space="preserve"> </w:t>
      </w:r>
      <w:r w:rsidR="00B37708" w:rsidRPr="00B37708">
        <w:t>For these</w:t>
      </w:r>
      <w:r w:rsidR="00447F2E" w:rsidRPr="00B37708">
        <w:t xml:space="preserve"> </w:t>
      </w:r>
      <w:r w:rsidR="002418ED" w:rsidRPr="00B37708">
        <w:t>reasons,</w:t>
      </w:r>
      <w:r w:rsidR="00B37708" w:rsidRPr="00B37708">
        <w:t xml:space="preserve"> Option 3</w:t>
      </w:r>
      <w:r w:rsidR="00447F2E" w:rsidRPr="00B37708">
        <w:t xml:space="preserve"> is </w:t>
      </w:r>
      <w:r w:rsidR="00B37708" w:rsidRPr="00B37708">
        <w:t>awarded a score of -5.0</w:t>
      </w:r>
      <w:r w:rsidR="00B37708" w:rsidRPr="00B37708">
        <w:rPr>
          <w:rStyle w:val="FootnoteReference"/>
        </w:rPr>
        <w:footnoteReference w:id="134"/>
      </w:r>
      <w:r w:rsidR="00B37708">
        <w:t xml:space="preserve"> against net cost</w:t>
      </w:r>
      <w:r w:rsidR="00DB7C93">
        <w:t xml:space="preserve"> which more closely reflects the analysis of this option</w:t>
      </w:r>
      <w:r w:rsidR="00B37708" w:rsidRPr="00B37708">
        <w:t>.</w:t>
      </w:r>
    </w:p>
    <w:p w:rsidR="007204FD" w:rsidRDefault="007204FD" w:rsidP="007204FD">
      <w:pPr>
        <w:jc w:val="both"/>
      </w:pPr>
    </w:p>
    <w:p w:rsidR="004C45C1" w:rsidRDefault="004C45C1" w:rsidP="004C45C1">
      <w:pPr>
        <w:jc w:val="both"/>
      </w:pPr>
      <w:r>
        <w:t>A total summary of the distribution of costs under Option 3 is provided for in Table 21.</w:t>
      </w:r>
      <w:r w:rsidR="007B521C">
        <w:t xml:space="preserve"> </w:t>
      </w:r>
      <w:r>
        <w:t>The largest share of 10-year present value cost is incurred by small trainers (29.86%) followed by small owners (24.46%) small breeders (21.16%) and GRV (13.81%).</w:t>
      </w:r>
      <w:r w:rsidR="007B521C">
        <w:t xml:space="preserve"> </w:t>
      </w:r>
      <w:r>
        <w:t>Small owners are also likely to obtain the highest share of 56.</w:t>
      </w:r>
      <w:r w:rsidR="006D36C1">
        <w:t>91</w:t>
      </w:r>
      <w:r>
        <w:t>% of all 10-year present value cost savings, followed by GAP (4</w:t>
      </w:r>
      <w:r w:rsidR="006D36C1">
        <w:t>1</w:t>
      </w:r>
      <w:r>
        <w:t>.</w:t>
      </w:r>
      <w:r w:rsidR="006D36C1">
        <w:t>63</w:t>
      </w:r>
      <w:r>
        <w:t>%) under Option 3.</w:t>
      </w:r>
    </w:p>
    <w:p w:rsidR="004C45C1" w:rsidRDefault="004C45C1" w:rsidP="004C45C1">
      <w:pPr>
        <w:jc w:val="both"/>
      </w:pPr>
    </w:p>
    <w:p w:rsidR="004C45C1" w:rsidRDefault="004C45C1" w:rsidP="004C45C1">
      <w:pPr>
        <w:jc w:val="center"/>
        <w:rPr>
          <w:b/>
          <w:sz w:val="20"/>
        </w:rPr>
      </w:pPr>
      <w:r>
        <w:rPr>
          <w:b/>
          <w:sz w:val="20"/>
        </w:rPr>
        <w:t>Table 21</w:t>
      </w:r>
      <w:r w:rsidRPr="000A087D">
        <w:rPr>
          <w:b/>
          <w:sz w:val="20"/>
        </w:rPr>
        <w:t>: Distribution of 10-year</w:t>
      </w:r>
      <w:r w:rsidR="004311EF">
        <w:rPr>
          <w:b/>
          <w:sz w:val="20"/>
        </w:rPr>
        <w:t xml:space="preserve"> estimated</w:t>
      </w:r>
      <w:r w:rsidRPr="000A087D">
        <w:rPr>
          <w:b/>
          <w:sz w:val="20"/>
        </w:rPr>
        <w:t xml:space="preserve"> additional cost of </w:t>
      </w:r>
      <w:r>
        <w:rPr>
          <w:b/>
          <w:sz w:val="20"/>
        </w:rPr>
        <w:t>Option 3</w:t>
      </w:r>
      <w:r w:rsidR="00E6209E">
        <w:rPr>
          <w:rStyle w:val="FootnoteReference"/>
          <w:b/>
          <w:sz w:val="20"/>
        </w:rPr>
        <w:footnoteReference w:id="135"/>
      </w:r>
    </w:p>
    <w:p w:rsidR="004C45C1" w:rsidRDefault="004C45C1" w:rsidP="008A02E4"/>
    <w:tbl>
      <w:tblPr>
        <w:tblW w:w="8073" w:type="dxa"/>
        <w:jc w:val="center"/>
        <w:tblLayout w:type="fixed"/>
        <w:tblLook w:val="04A0" w:firstRow="1" w:lastRow="0" w:firstColumn="1" w:lastColumn="0" w:noHBand="0" w:noVBand="1"/>
      </w:tblPr>
      <w:tblGrid>
        <w:gridCol w:w="1668"/>
        <w:gridCol w:w="2044"/>
        <w:gridCol w:w="1641"/>
        <w:gridCol w:w="1380"/>
        <w:gridCol w:w="1340"/>
      </w:tblGrid>
      <w:tr w:rsidR="004C45C1" w:rsidRPr="008A02E4" w:rsidTr="00503B24">
        <w:trPr>
          <w:trHeight w:val="113"/>
          <w:tblHeader/>
          <w:jc w:val="center"/>
        </w:trPr>
        <w:tc>
          <w:tcPr>
            <w:tcW w:w="1668" w:type="dxa"/>
            <w:tcBorders>
              <w:top w:val="single" w:sz="4" w:space="0" w:color="1F4E78"/>
              <w:left w:val="nil"/>
              <w:bottom w:val="double" w:sz="6" w:space="0" w:color="1F4E78"/>
              <w:right w:val="nil"/>
            </w:tcBorders>
            <w:shd w:val="clear" w:color="000000" w:fill="FFFFFF"/>
            <w:vAlign w:val="bottom"/>
            <w:hideMark/>
          </w:tcPr>
          <w:p w:rsidR="004C45C1" w:rsidRPr="008A02E4" w:rsidRDefault="004C45C1"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2044" w:type="dxa"/>
            <w:tcBorders>
              <w:top w:val="single" w:sz="4" w:space="0" w:color="1F4E78"/>
              <w:left w:val="nil"/>
              <w:bottom w:val="double" w:sz="6" w:space="0" w:color="1F4E78"/>
              <w:right w:val="nil"/>
            </w:tcBorders>
            <w:shd w:val="clear" w:color="000000" w:fill="FFFFFF"/>
            <w:vAlign w:val="center"/>
            <w:hideMark/>
          </w:tcPr>
          <w:p w:rsidR="004C45C1" w:rsidRPr="008A02E4" w:rsidRDefault="004C45C1"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641" w:type="dxa"/>
            <w:tcBorders>
              <w:top w:val="single" w:sz="4" w:space="0" w:color="1F4E78"/>
              <w:left w:val="nil"/>
              <w:bottom w:val="double" w:sz="6" w:space="0" w:color="1F4E78"/>
              <w:right w:val="nil"/>
            </w:tcBorders>
            <w:shd w:val="clear" w:color="000000" w:fill="FFFFFF"/>
            <w:vAlign w:val="center"/>
            <w:hideMark/>
          </w:tcPr>
          <w:p w:rsidR="004C45C1" w:rsidRPr="008A02E4" w:rsidRDefault="004C45C1"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center"/>
            <w:hideMark/>
          </w:tcPr>
          <w:p w:rsidR="004C45C1" w:rsidRPr="008A02E4" w:rsidRDefault="004C45C1"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center"/>
            <w:hideMark/>
          </w:tcPr>
          <w:p w:rsidR="004C45C1" w:rsidRPr="008A02E4" w:rsidRDefault="004C45C1"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4C45C1" w:rsidRPr="00885061" w:rsidTr="00503B24">
        <w:trPr>
          <w:trHeight w:val="255"/>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Large breeder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$470,131</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$1,043,274</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$9,270,490</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6.54%</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Small breeder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$6,569,136</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$2,778,943</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$30,010,444</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21.16%</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Large trainer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$1,357,326</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$167,877</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$2,773,428</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1.96%</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Small trainer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$10,801,430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$3,739,819</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$42,348,046</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29.86%</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Large owner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$105,457</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$889,565</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0.63%</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Small owner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$4,112,930</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$34,693,928</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24.46%</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GAP</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$269,264</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$2,271,334</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1.60%</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GRV</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$146,407</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$2,289,466</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$19,587,047</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sidRPr="00885061">
              <w:rPr>
                <w:rFonts w:eastAsia="Times New Roman" w:cs="Calibri"/>
                <w:sz w:val="18"/>
                <w:szCs w:val="18"/>
                <w:lang w:eastAsia="en-AU"/>
              </w:rPr>
              <w:t>13.81%</w:t>
            </w:r>
          </w:p>
        </w:tc>
      </w:tr>
      <w:tr w:rsidR="004C45C1" w:rsidRPr="008A02E4" w:rsidTr="00503B24">
        <w:trPr>
          <w:trHeight w:val="240"/>
          <w:jc w:val="center"/>
        </w:trPr>
        <w:tc>
          <w:tcPr>
            <w:tcW w:w="1668" w:type="dxa"/>
            <w:tcBorders>
              <w:top w:val="single" w:sz="4" w:space="0" w:color="1F4E78"/>
              <w:left w:val="nil"/>
              <w:bottom w:val="single" w:sz="4" w:space="0" w:color="1F4E78"/>
              <w:right w:val="nil"/>
            </w:tcBorders>
            <w:shd w:val="clear" w:color="000000" w:fill="FFFFFF"/>
            <w:noWrap/>
            <w:vAlign w:val="bottom"/>
            <w:hideMark/>
          </w:tcPr>
          <w:p w:rsidR="004C45C1" w:rsidRPr="008A02E4" w:rsidRDefault="004C45C1" w:rsidP="00F8792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2044" w:type="dxa"/>
            <w:tcBorders>
              <w:top w:val="single" w:sz="4" w:space="0" w:color="1F4E78"/>
              <w:left w:val="nil"/>
              <w:bottom w:val="single" w:sz="4" w:space="0" w:color="1F4E78"/>
              <w:right w:val="nil"/>
            </w:tcBorders>
            <w:shd w:val="clear" w:color="000000" w:fill="FFFFFF"/>
            <w:noWrap/>
            <w:vAlign w:val="bottom"/>
            <w:hideMark/>
          </w:tcPr>
          <w:p w:rsidR="004C45C1" w:rsidRPr="008A02E4" w:rsidRDefault="004C45C1"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$19,344,431</w:t>
            </w:r>
          </w:p>
        </w:tc>
        <w:tc>
          <w:tcPr>
            <w:tcW w:w="1641" w:type="dxa"/>
            <w:tcBorders>
              <w:top w:val="single" w:sz="4" w:space="0" w:color="1F4E78"/>
              <w:left w:val="nil"/>
              <w:bottom w:val="single" w:sz="4" w:space="0" w:color="1F4E78"/>
              <w:right w:val="nil"/>
            </w:tcBorders>
            <w:shd w:val="clear" w:color="000000" w:fill="FFFFFF"/>
            <w:noWrap/>
            <w:vAlign w:val="bottom"/>
            <w:hideMark/>
          </w:tcPr>
          <w:p w:rsidR="004C45C1" w:rsidRPr="008A02E4" w:rsidRDefault="004C45C1"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$14,507,031</w:t>
            </w:r>
          </w:p>
        </w:tc>
        <w:tc>
          <w:tcPr>
            <w:tcW w:w="1380" w:type="dxa"/>
            <w:tcBorders>
              <w:top w:val="single" w:sz="4" w:space="0" w:color="1F4E78"/>
              <w:left w:val="nil"/>
              <w:bottom w:val="single" w:sz="4" w:space="0" w:color="1F4E78"/>
              <w:right w:val="nil"/>
            </w:tcBorders>
            <w:shd w:val="clear" w:color="000000" w:fill="FFFFFF"/>
            <w:noWrap/>
            <w:vAlign w:val="bottom"/>
            <w:hideMark/>
          </w:tcPr>
          <w:p w:rsidR="004C45C1" w:rsidRPr="008A02E4" w:rsidRDefault="004C45C1"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$141,844,282</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4C45C1" w:rsidRPr="008A02E4" w:rsidRDefault="004C45C1"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100.00%</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Large owner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Pr>
                <w:rFonts w:cs="Calibri"/>
                <w:sz w:val="18"/>
                <w:szCs w:val="18"/>
              </w:rPr>
              <w:t>1.4</w:t>
            </w:r>
            <w:r w:rsidR="00D04B83">
              <w:rPr>
                <w:rFonts w:cs="Calibri"/>
                <w:sz w:val="18"/>
                <w:szCs w:val="18"/>
              </w:rPr>
              <w:t>6</w:t>
            </w:r>
            <w:r>
              <w:rPr>
                <w:rFonts w:cs="Calibri"/>
                <w:sz w:val="18"/>
                <w:szCs w:val="18"/>
              </w:rPr>
              <w:t>%</w:t>
            </w:r>
          </w:p>
        </w:tc>
      </w:tr>
      <w:tr w:rsidR="004C45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4C45C1" w:rsidRPr="00885061" w:rsidRDefault="004C45C1" w:rsidP="00F8792B">
            <w:pPr>
              <w:rPr>
                <w:rFonts w:eastAsia="Times New Roman" w:cs="Calibri"/>
                <w:sz w:val="18"/>
                <w:szCs w:val="18"/>
                <w:lang w:eastAsia="en-AU"/>
              </w:rPr>
            </w:pPr>
            <w:r w:rsidRPr="00885061">
              <w:rPr>
                <w:rFonts w:eastAsia="Times New Roman" w:cs="Calibri"/>
                <w:sz w:val="18"/>
                <w:szCs w:val="18"/>
                <w:lang w:eastAsia="en-AU"/>
              </w:rPr>
              <w:t>Small owner</w:t>
            </w:r>
          </w:p>
        </w:tc>
        <w:tc>
          <w:tcPr>
            <w:tcW w:w="2044"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1641"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4C45C1" w:rsidRPr="00885061" w:rsidRDefault="004C45C1" w:rsidP="00F8792B">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4C45C1" w:rsidRPr="00885061" w:rsidRDefault="004C45C1" w:rsidP="00F8792B">
            <w:pPr>
              <w:jc w:val="right"/>
              <w:rPr>
                <w:rFonts w:eastAsia="Times New Roman" w:cs="Calibri"/>
                <w:sz w:val="18"/>
                <w:szCs w:val="18"/>
                <w:lang w:eastAsia="en-AU"/>
              </w:rPr>
            </w:pPr>
            <w:r>
              <w:rPr>
                <w:rFonts w:cs="Calibri"/>
                <w:sz w:val="18"/>
                <w:szCs w:val="18"/>
              </w:rPr>
              <w:t>56.</w:t>
            </w:r>
            <w:r w:rsidR="00D04B83">
              <w:rPr>
                <w:rFonts w:cs="Calibri"/>
                <w:sz w:val="18"/>
                <w:szCs w:val="18"/>
              </w:rPr>
              <w:t>91</w:t>
            </w:r>
            <w:r>
              <w:rPr>
                <w:rFonts w:cs="Calibri"/>
                <w:sz w:val="18"/>
                <w:szCs w:val="18"/>
              </w:rPr>
              <w:t>%</w:t>
            </w:r>
          </w:p>
        </w:tc>
      </w:tr>
      <w:tr w:rsidR="006D36C1" w:rsidRPr="00885061" w:rsidTr="00503B24">
        <w:trPr>
          <w:trHeight w:val="240"/>
          <w:jc w:val="center"/>
        </w:trPr>
        <w:tc>
          <w:tcPr>
            <w:tcW w:w="1668" w:type="dxa"/>
            <w:tcBorders>
              <w:top w:val="nil"/>
              <w:left w:val="nil"/>
              <w:bottom w:val="nil"/>
              <w:right w:val="nil"/>
            </w:tcBorders>
            <w:shd w:val="clear" w:color="000000" w:fill="FFFFFF"/>
            <w:noWrap/>
            <w:vAlign w:val="bottom"/>
            <w:hideMark/>
          </w:tcPr>
          <w:p w:rsidR="006D36C1" w:rsidRPr="00885061" w:rsidRDefault="006D36C1" w:rsidP="006D36C1">
            <w:pPr>
              <w:rPr>
                <w:rFonts w:eastAsia="Times New Roman" w:cs="Calibri"/>
                <w:sz w:val="18"/>
                <w:szCs w:val="18"/>
                <w:lang w:eastAsia="en-AU"/>
              </w:rPr>
            </w:pPr>
            <w:r w:rsidRPr="00885061">
              <w:rPr>
                <w:rFonts w:eastAsia="Times New Roman" w:cs="Calibri"/>
                <w:sz w:val="18"/>
                <w:szCs w:val="18"/>
                <w:lang w:eastAsia="en-AU"/>
              </w:rPr>
              <w:t>GAP</w:t>
            </w:r>
          </w:p>
        </w:tc>
        <w:tc>
          <w:tcPr>
            <w:tcW w:w="2044" w:type="dxa"/>
            <w:tcBorders>
              <w:top w:val="nil"/>
              <w:left w:val="nil"/>
              <w:bottom w:val="nil"/>
              <w:right w:val="nil"/>
            </w:tcBorders>
            <w:shd w:val="clear" w:color="000000" w:fill="FFFFFF"/>
            <w:noWrap/>
            <w:vAlign w:val="bottom"/>
            <w:hideMark/>
          </w:tcPr>
          <w:p w:rsidR="006D36C1" w:rsidRPr="00885061" w:rsidRDefault="006D36C1" w:rsidP="006D36C1">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1641" w:type="dxa"/>
            <w:tcBorders>
              <w:top w:val="nil"/>
              <w:left w:val="nil"/>
              <w:bottom w:val="nil"/>
              <w:right w:val="nil"/>
            </w:tcBorders>
            <w:shd w:val="clear" w:color="000000" w:fill="FFFFFF"/>
            <w:noWrap/>
            <w:vAlign w:val="bottom"/>
            <w:hideMark/>
          </w:tcPr>
          <w:p w:rsidR="006D36C1" w:rsidRPr="00885061" w:rsidRDefault="006D36C1" w:rsidP="006D36C1">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6D36C1" w:rsidRPr="00885061" w:rsidRDefault="006D36C1" w:rsidP="006D36C1">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6D36C1" w:rsidRPr="00885061" w:rsidRDefault="006D36C1" w:rsidP="006D36C1">
            <w:pPr>
              <w:jc w:val="right"/>
              <w:rPr>
                <w:rFonts w:eastAsia="Times New Roman" w:cs="Calibri"/>
                <w:sz w:val="18"/>
                <w:szCs w:val="18"/>
                <w:lang w:eastAsia="en-AU"/>
              </w:rPr>
            </w:pPr>
            <w:r>
              <w:rPr>
                <w:rFonts w:cs="Calibri"/>
                <w:sz w:val="18"/>
                <w:szCs w:val="18"/>
              </w:rPr>
              <w:t>41.63%</w:t>
            </w:r>
          </w:p>
        </w:tc>
      </w:tr>
      <w:tr w:rsidR="006D36C1" w:rsidRPr="00885061" w:rsidTr="00503B24">
        <w:trPr>
          <w:trHeight w:val="240"/>
          <w:jc w:val="center"/>
        </w:trPr>
        <w:tc>
          <w:tcPr>
            <w:tcW w:w="1668" w:type="dxa"/>
            <w:tcBorders>
              <w:top w:val="single" w:sz="4" w:space="0" w:color="1F4E78"/>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rPr>
                <w:rFonts w:eastAsia="Times New Roman" w:cs="Calibri"/>
                <w:b/>
                <w:bCs/>
                <w:color w:val="1F4E78"/>
                <w:sz w:val="18"/>
                <w:szCs w:val="18"/>
                <w:lang w:eastAsia="en-AU"/>
              </w:rPr>
            </w:pPr>
            <w:r w:rsidRPr="008A02E4">
              <w:rPr>
                <w:rFonts w:eastAsia="Times New Roman" w:cs="Calibri"/>
                <w:b/>
                <w:bCs/>
                <w:color w:val="53565A"/>
                <w:sz w:val="18"/>
                <w:szCs w:val="18"/>
                <w:lang w:eastAsia="en-AU"/>
              </w:rPr>
              <w:t>Total cost savings</w:t>
            </w:r>
          </w:p>
        </w:tc>
        <w:tc>
          <w:tcPr>
            <w:tcW w:w="2044" w:type="dxa"/>
            <w:tcBorders>
              <w:top w:val="single" w:sz="4" w:space="0" w:color="1F4E78"/>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color w:val="FF0000"/>
                <w:sz w:val="18"/>
                <w:szCs w:val="18"/>
                <w:lang w:eastAsia="en-AU"/>
              </w:rPr>
            </w:pPr>
            <w:r w:rsidRPr="00885061">
              <w:rPr>
                <w:rFonts w:eastAsia="Times New Roman" w:cs="Calibri"/>
                <w:b/>
                <w:bCs/>
                <w:color w:val="FF0000"/>
                <w:sz w:val="18"/>
                <w:szCs w:val="18"/>
                <w:lang w:eastAsia="en-AU"/>
              </w:rPr>
              <w:t>$0</w:t>
            </w:r>
          </w:p>
        </w:tc>
        <w:tc>
          <w:tcPr>
            <w:tcW w:w="1641" w:type="dxa"/>
            <w:tcBorders>
              <w:top w:val="single" w:sz="4" w:space="0" w:color="1F4E78"/>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6D36C1" w:rsidRPr="00885061" w:rsidRDefault="006D36C1" w:rsidP="006D36C1">
            <w:pPr>
              <w:jc w:val="right"/>
              <w:rPr>
                <w:rFonts w:eastAsia="Times New Roman" w:cs="Calibri"/>
                <w:b/>
                <w:bCs/>
                <w:color w:val="1F4E78"/>
                <w:sz w:val="18"/>
                <w:szCs w:val="18"/>
                <w:lang w:eastAsia="en-AU"/>
              </w:rPr>
            </w:pPr>
            <w:r w:rsidRPr="008A02E4">
              <w:rPr>
                <w:rFonts w:cs="Calibri"/>
                <w:b/>
                <w:bCs/>
                <w:color w:val="53565A"/>
                <w:sz w:val="18"/>
                <w:szCs w:val="18"/>
              </w:rPr>
              <w:t>100.00%</w:t>
            </w:r>
          </w:p>
        </w:tc>
      </w:tr>
      <w:tr w:rsidR="006D36C1" w:rsidRPr="00885061" w:rsidTr="00503B24">
        <w:trPr>
          <w:trHeight w:val="240"/>
          <w:jc w:val="center"/>
        </w:trPr>
        <w:tc>
          <w:tcPr>
            <w:tcW w:w="166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rPr>
                <w:rFonts w:eastAsia="Times New Roman" w:cs="Calibri"/>
                <w:b/>
                <w:bCs/>
                <w:i/>
                <w:iCs/>
                <w:sz w:val="18"/>
                <w:szCs w:val="18"/>
                <w:lang w:eastAsia="en-AU"/>
              </w:rPr>
            </w:pPr>
            <w:r w:rsidRPr="00885061">
              <w:rPr>
                <w:rFonts w:eastAsia="Times New Roman" w:cs="Calibri"/>
                <w:b/>
                <w:bCs/>
                <w:i/>
                <w:iCs/>
                <w:sz w:val="18"/>
                <w:szCs w:val="18"/>
                <w:lang w:eastAsia="en-AU"/>
              </w:rPr>
              <w:t>Total net costs</w:t>
            </w:r>
          </w:p>
        </w:tc>
        <w:tc>
          <w:tcPr>
            <w:tcW w:w="2044"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i/>
                <w:iCs/>
                <w:sz w:val="18"/>
                <w:szCs w:val="18"/>
                <w:lang w:eastAsia="en-AU"/>
              </w:rPr>
            </w:pPr>
            <w:r w:rsidRPr="00885061">
              <w:rPr>
                <w:rFonts w:eastAsia="Times New Roman" w:cs="Calibri"/>
                <w:b/>
                <w:bCs/>
                <w:i/>
                <w:iCs/>
                <w:sz w:val="18"/>
                <w:szCs w:val="18"/>
                <w:lang w:eastAsia="en-AU"/>
              </w:rPr>
              <w:t>$19,344,431</w:t>
            </w:r>
          </w:p>
        </w:tc>
        <w:tc>
          <w:tcPr>
            <w:tcW w:w="1641"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i/>
                <w:iCs/>
                <w:sz w:val="18"/>
                <w:szCs w:val="18"/>
                <w:lang w:eastAsia="en-AU"/>
              </w:rPr>
            </w:pPr>
            <w:r>
              <w:rPr>
                <w:rFonts w:cs="Calibri"/>
                <w:b/>
                <w:bCs/>
                <w:i/>
                <w:iCs/>
                <w:sz w:val="18"/>
                <w:szCs w:val="18"/>
              </w:rPr>
              <w:t>$11,655,421</w:t>
            </w:r>
          </w:p>
        </w:tc>
        <w:tc>
          <w:tcPr>
            <w:tcW w:w="138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6D36C1" w:rsidRPr="00885061" w:rsidRDefault="006D36C1" w:rsidP="006D36C1">
            <w:pPr>
              <w:jc w:val="right"/>
              <w:rPr>
                <w:rFonts w:eastAsia="Times New Roman" w:cs="Calibri"/>
                <w:b/>
                <w:bCs/>
                <w:i/>
                <w:iCs/>
                <w:sz w:val="18"/>
                <w:szCs w:val="18"/>
                <w:lang w:eastAsia="en-AU"/>
              </w:rPr>
            </w:pPr>
            <w:r>
              <w:rPr>
                <w:rFonts w:cs="Calibri"/>
                <w:b/>
                <w:bCs/>
                <w:i/>
                <w:iCs/>
                <w:sz w:val="18"/>
                <w:szCs w:val="18"/>
              </w:rPr>
              <w:t>$117,790,011</w:t>
            </w:r>
          </w:p>
        </w:tc>
        <w:tc>
          <w:tcPr>
            <w:tcW w:w="1340"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6D36C1" w:rsidRPr="00885061" w:rsidRDefault="006D36C1" w:rsidP="006D36C1">
            <w:pPr>
              <w:rPr>
                <w:rFonts w:eastAsia="Times New Roman" w:cs="Calibri"/>
                <w:b/>
                <w:bCs/>
                <w:i/>
                <w:iCs/>
                <w:sz w:val="18"/>
                <w:szCs w:val="18"/>
                <w:lang w:eastAsia="en-AU"/>
              </w:rPr>
            </w:pPr>
            <w:r>
              <w:rPr>
                <w:rFonts w:cs="Calibri"/>
                <w:b/>
                <w:bCs/>
                <w:i/>
                <w:iCs/>
                <w:sz w:val="18"/>
                <w:szCs w:val="18"/>
              </w:rPr>
              <w:t> </w:t>
            </w:r>
          </w:p>
        </w:tc>
      </w:tr>
    </w:tbl>
    <w:p w:rsidR="007204FD" w:rsidRDefault="007204FD" w:rsidP="007204FD">
      <w:pPr>
        <w:jc w:val="both"/>
      </w:pPr>
    </w:p>
    <w:p w:rsidR="00C02451" w:rsidRDefault="00C02451" w:rsidP="008A02E4">
      <w:r>
        <w:br w:type="page"/>
      </w:r>
    </w:p>
    <w:p w:rsidR="004E419C" w:rsidRPr="00DE58D2" w:rsidRDefault="004E419C" w:rsidP="008A02E4">
      <w:pPr>
        <w:pStyle w:val="H11italic"/>
      </w:pPr>
      <w:bookmarkStart w:id="142" w:name="_Toc477190202"/>
      <w:r>
        <w:lastRenderedPageBreak/>
        <w:t>Incremental net cost – Option 4</w:t>
      </w:r>
      <w:bookmarkEnd w:id="142"/>
    </w:p>
    <w:p w:rsidR="004E419C" w:rsidRDefault="004E419C" w:rsidP="004E419C">
      <w:pPr>
        <w:jc w:val="both"/>
      </w:pPr>
      <w:r>
        <w:t>Option 4 would result in an e</w:t>
      </w:r>
      <w:r w:rsidR="00D84171">
        <w:t>stimated incremental cost of $62.</w:t>
      </w:r>
      <w:r w:rsidR="00BB6A41">
        <w:t>18</w:t>
      </w:r>
      <w:r>
        <w:t>m over 10 years in present value dolla</w:t>
      </w:r>
      <w:r w:rsidR="00D84171">
        <w:t>rs with an annual net cost of $5.9</w:t>
      </w:r>
      <w:r w:rsidR="00BB6A41">
        <w:t>3</w:t>
      </w:r>
      <w:r w:rsidR="00D84171">
        <w:t>m and one-off costs of $12.13</w:t>
      </w:r>
      <w:r>
        <w:t>m</w:t>
      </w:r>
      <w:r>
        <w:rPr>
          <w:rStyle w:val="FootnoteReference"/>
        </w:rPr>
        <w:footnoteReference w:id="136"/>
      </w:r>
      <w:r>
        <w:t>.</w:t>
      </w:r>
      <w:r w:rsidR="007B521C">
        <w:t xml:space="preserve"> </w:t>
      </w:r>
      <w:r>
        <w:t>The main components</w:t>
      </w:r>
      <w:r w:rsidR="00D84171">
        <w:t xml:space="preserve"> of one-off costs under Option 4</w:t>
      </w:r>
      <w:r>
        <w:t xml:space="preserve"> would b</w:t>
      </w:r>
      <w:r w:rsidR="00D84171">
        <w:t>e health management plans ($0.12m); food receptacles ($0.04m); food storage ($0.008</w:t>
      </w:r>
      <w:r>
        <w:t>m) perimet</w:t>
      </w:r>
      <w:r w:rsidR="00D84171">
        <w:t>er fencing ($7.05m); outdoor housing ($4.86m); and indoor housing ($0.05m</w:t>
      </w:r>
      <w:r>
        <w:t>)</w:t>
      </w:r>
      <w:r>
        <w:rPr>
          <w:rStyle w:val="FootnoteReference"/>
        </w:rPr>
        <w:footnoteReference w:id="137"/>
      </w:r>
      <w:r>
        <w:t>.</w:t>
      </w:r>
      <w:r w:rsidR="007B521C">
        <w:t xml:space="preserve"> </w:t>
      </w:r>
      <w:r>
        <w:t>The mai</w:t>
      </w:r>
      <w:r w:rsidR="00D84171">
        <w:t>n cost components under Option 4</w:t>
      </w:r>
      <w:r>
        <w:t xml:space="preserve"> over 10 years in present value dollars would include</w:t>
      </w:r>
      <w:r w:rsidR="00364829">
        <w:t>: staff ratio 1:25 ($5m</w:t>
      </w:r>
      <w:r>
        <w:t>)</w:t>
      </w:r>
      <w:r w:rsidR="00364829">
        <w:t xml:space="preserve"> health checks ($9.92m); rearing ($23.6m); GAP reform ($3.58</w:t>
      </w:r>
      <w:r>
        <w:t xml:space="preserve">m) and enforcement </w:t>
      </w:r>
      <w:r w:rsidR="00364829">
        <w:t>($4.97</w:t>
      </w:r>
      <w:r>
        <w:t>m) (see Table 18).</w:t>
      </w:r>
      <w:r w:rsidR="007B521C">
        <w:t xml:space="preserve"> </w:t>
      </w:r>
      <w:r>
        <w:t>With respect to GAP the cost savings to owners and GAP are identical to Option</w:t>
      </w:r>
      <w:r w:rsidR="00364829">
        <w:t>s</w:t>
      </w:r>
      <w:r>
        <w:t xml:space="preserve"> 1</w:t>
      </w:r>
      <w:r w:rsidR="00364829">
        <w:t>, 2 and 3 however Option 4</w:t>
      </w:r>
      <w:r>
        <w:t xml:space="preserve"> would result in slightly higher incremental costs to owners with regards to rehoming, reh</w:t>
      </w:r>
      <w:r w:rsidR="00364829">
        <w:t>abilitation and euthanasia ($26,22</w:t>
      </w:r>
      <w:r>
        <w:t>m).</w:t>
      </w:r>
      <w:r w:rsidR="007B521C">
        <w:t xml:space="preserve"> </w:t>
      </w:r>
      <w:r>
        <w:t xml:space="preserve">As shown in Table 18, owners are more likely to continue euthanasing </w:t>
      </w:r>
      <w:r w:rsidR="00364829">
        <w:t>some dogs at a cost of $1.</w:t>
      </w:r>
      <w:r>
        <w:t>5</w:t>
      </w:r>
      <w:r w:rsidR="00364829">
        <w:t>3</w:t>
      </w:r>
      <w:r>
        <w:t>m over 10 years in pr</w:t>
      </w:r>
      <w:r w:rsidR="00364829">
        <w:t xml:space="preserve">esent value terms but with </w:t>
      </w:r>
      <w:r w:rsidR="00364829" w:rsidRPr="00364829">
        <w:t>1,439</w:t>
      </w:r>
      <w:r>
        <w:t xml:space="preserve"> </w:t>
      </w:r>
      <w:r w:rsidR="00364829">
        <w:t xml:space="preserve">fewer </w:t>
      </w:r>
      <w:r>
        <w:t>dogs being euthanased as compared to the base case</w:t>
      </w:r>
      <w:r w:rsidR="00364829">
        <w:t xml:space="preserve"> (see Table 16).</w:t>
      </w:r>
      <w:r w:rsidR="007B521C">
        <w:t xml:space="preserve"> </w:t>
      </w:r>
      <w:r w:rsidR="00364829">
        <w:t xml:space="preserve">Option </w:t>
      </w:r>
      <w:r w:rsidR="002418ED">
        <w:t>4</w:t>
      </w:r>
      <w:r>
        <w:t xml:space="preserve"> </w:t>
      </w:r>
      <w:r w:rsidR="00364829">
        <w:t>is awarded a score of -</w:t>
      </w:r>
      <w:r w:rsidR="00B5291E">
        <w:t>2</w:t>
      </w:r>
      <w:r>
        <w:t>.</w:t>
      </w:r>
      <w:r w:rsidR="00B5291E">
        <w:t>6</w:t>
      </w:r>
      <w:r>
        <w:rPr>
          <w:rStyle w:val="FootnoteReference"/>
        </w:rPr>
        <w:footnoteReference w:id="138"/>
      </w:r>
      <w:r>
        <w:t>.</w:t>
      </w:r>
    </w:p>
    <w:p w:rsidR="007204FD" w:rsidRDefault="007204FD" w:rsidP="007204FD">
      <w:pPr>
        <w:jc w:val="both"/>
      </w:pPr>
    </w:p>
    <w:p w:rsidR="00332FA3" w:rsidRDefault="00332FA3" w:rsidP="00332FA3">
      <w:pPr>
        <w:jc w:val="both"/>
      </w:pPr>
      <w:r>
        <w:t xml:space="preserve">A total summary of the distribution of costs under Option 4 </w:t>
      </w:r>
      <w:r w:rsidR="00D84171">
        <w:t>is provided for in Table 22</w:t>
      </w:r>
      <w:r>
        <w:t>.</w:t>
      </w:r>
      <w:r w:rsidR="007B521C">
        <w:t xml:space="preserve"> </w:t>
      </w:r>
      <w:r>
        <w:t>The largest share of 10-year present value cost is incurred by small trainers (31.15%) followed by small owners (29.65%) small breeders (22.03%).</w:t>
      </w:r>
      <w:r w:rsidR="007B521C">
        <w:t xml:space="preserve"> </w:t>
      </w:r>
      <w:r>
        <w:t>Small owners are also likely to obtain the highest share of 56.</w:t>
      </w:r>
      <w:r w:rsidR="00BB6A41">
        <w:t>91</w:t>
      </w:r>
      <w:r>
        <w:t>% of all 10-year present value cost savings, followed by GAP (4</w:t>
      </w:r>
      <w:r w:rsidR="00BB6A41">
        <w:t>1</w:t>
      </w:r>
      <w:r>
        <w:t>.</w:t>
      </w:r>
      <w:r w:rsidR="00BB6A41">
        <w:t>63</w:t>
      </w:r>
      <w:r>
        <w:t>%) under Option 4.</w:t>
      </w:r>
    </w:p>
    <w:p w:rsidR="00364829" w:rsidRDefault="00364829" w:rsidP="00332FA3">
      <w:pPr>
        <w:jc w:val="center"/>
        <w:rPr>
          <w:b/>
          <w:sz w:val="20"/>
        </w:rPr>
      </w:pPr>
    </w:p>
    <w:p w:rsidR="00332FA3" w:rsidRDefault="00D84171" w:rsidP="00332FA3">
      <w:pPr>
        <w:jc w:val="center"/>
        <w:rPr>
          <w:b/>
          <w:sz w:val="20"/>
        </w:rPr>
      </w:pPr>
      <w:r>
        <w:rPr>
          <w:b/>
          <w:sz w:val="20"/>
        </w:rPr>
        <w:t>Table 22</w:t>
      </w:r>
      <w:r w:rsidR="00332FA3" w:rsidRPr="000A087D">
        <w:rPr>
          <w:b/>
          <w:sz w:val="20"/>
        </w:rPr>
        <w:t xml:space="preserve">: Distribution of 10-year </w:t>
      </w:r>
      <w:r w:rsidR="004E2642">
        <w:rPr>
          <w:b/>
          <w:sz w:val="20"/>
        </w:rPr>
        <w:t xml:space="preserve">estimated </w:t>
      </w:r>
      <w:r w:rsidR="00332FA3" w:rsidRPr="000A087D">
        <w:rPr>
          <w:b/>
          <w:sz w:val="20"/>
        </w:rPr>
        <w:t xml:space="preserve">additional cost of </w:t>
      </w:r>
      <w:r w:rsidR="00332FA3">
        <w:rPr>
          <w:b/>
          <w:sz w:val="20"/>
        </w:rPr>
        <w:t>Option 4</w:t>
      </w:r>
      <w:r w:rsidR="00E6209E">
        <w:rPr>
          <w:rStyle w:val="FootnoteReference"/>
          <w:b/>
          <w:sz w:val="20"/>
        </w:rPr>
        <w:footnoteReference w:id="139"/>
      </w:r>
    </w:p>
    <w:p w:rsidR="00332FA3" w:rsidRDefault="00332FA3" w:rsidP="008A02E4"/>
    <w:tbl>
      <w:tblPr>
        <w:tblW w:w="7931" w:type="dxa"/>
        <w:jc w:val="center"/>
        <w:tblLayout w:type="fixed"/>
        <w:tblLook w:val="04A0" w:firstRow="1" w:lastRow="0" w:firstColumn="1" w:lastColumn="0" w:noHBand="0" w:noVBand="1"/>
      </w:tblPr>
      <w:tblGrid>
        <w:gridCol w:w="1668"/>
        <w:gridCol w:w="1941"/>
        <w:gridCol w:w="1602"/>
        <w:gridCol w:w="1380"/>
        <w:gridCol w:w="1340"/>
      </w:tblGrid>
      <w:tr w:rsidR="00332FA3" w:rsidRPr="008A02E4" w:rsidTr="00503B24">
        <w:trPr>
          <w:trHeight w:val="525"/>
          <w:tblHeader/>
          <w:jc w:val="center"/>
        </w:trPr>
        <w:tc>
          <w:tcPr>
            <w:tcW w:w="1668" w:type="dxa"/>
            <w:tcBorders>
              <w:top w:val="single" w:sz="4" w:space="0" w:color="1F4E78"/>
              <w:left w:val="nil"/>
              <w:bottom w:val="double" w:sz="6" w:space="0" w:color="1F4E78"/>
              <w:right w:val="nil"/>
            </w:tcBorders>
            <w:shd w:val="clear" w:color="000000" w:fill="FFFFFF"/>
            <w:vAlign w:val="bottom"/>
            <w:hideMark/>
          </w:tcPr>
          <w:p w:rsidR="00332FA3" w:rsidRPr="008A02E4" w:rsidRDefault="00332FA3"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1941" w:type="dxa"/>
            <w:tcBorders>
              <w:top w:val="single" w:sz="4" w:space="0" w:color="1F4E78"/>
              <w:left w:val="nil"/>
              <w:bottom w:val="double" w:sz="6" w:space="0" w:color="1F4E78"/>
              <w:right w:val="nil"/>
            </w:tcBorders>
            <w:shd w:val="clear" w:color="000000" w:fill="FFFFFF"/>
            <w:vAlign w:val="center"/>
            <w:hideMark/>
          </w:tcPr>
          <w:p w:rsidR="00332FA3" w:rsidRPr="008A02E4" w:rsidRDefault="00332FA3"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602" w:type="dxa"/>
            <w:tcBorders>
              <w:top w:val="single" w:sz="4" w:space="0" w:color="1F4E78"/>
              <w:left w:val="nil"/>
              <w:bottom w:val="double" w:sz="6" w:space="0" w:color="1F4E78"/>
              <w:right w:val="nil"/>
            </w:tcBorders>
            <w:shd w:val="clear" w:color="000000" w:fill="FFFFFF"/>
            <w:vAlign w:val="center"/>
            <w:hideMark/>
          </w:tcPr>
          <w:p w:rsidR="00332FA3" w:rsidRPr="008A02E4" w:rsidRDefault="00332FA3"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center"/>
            <w:hideMark/>
          </w:tcPr>
          <w:p w:rsidR="00332FA3" w:rsidRPr="008A02E4" w:rsidRDefault="00332FA3"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center"/>
            <w:hideMark/>
          </w:tcPr>
          <w:p w:rsidR="00332FA3" w:rsidRPr="008A02E4" w:rsidRDefault="00332FA3"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332FA3" w:rsidRPr="00FA653D" w:rsidTr="00503B24">
        <w:trPr>
          <w:trHeight w:val="255"/>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Large breeder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$296,484</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$657,931</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$5,846,347</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6.78%</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Small breeder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$4,150,534</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$1,759,974</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$18,996,500</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22.03%</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Large trainer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$855,985</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$105,870</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$1,749,036</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2.03%</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Small trainer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$6,829,299</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$2,375,261</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$26,865,411</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31.15%</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Large owner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$77,714</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$655,547</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0.76%</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Small owner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$3,030,888</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$25,566,542</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29.65%</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GAP</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$186,886</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$1,576,447</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1.83%</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GRV</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$416</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$3,505</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0.00%</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Councils</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$589,598</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$4,973,459</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sidRPr="00FA653D">
              <w:rPr>
                <w:rFonts w:eastAsia="Times New Roman" w:cs="Calibri"/>
                <w:sz w:val="18"/>
                <w:szCs w:val="18"/>
                <w:lang w:eastAsia="en-AU"/>
              </w:rPr>
              <w:t>5.77%</w:t>
            </w:r>
          </w:p>
        </w:tc>
      </w:tr>
      <w:tr w:rsidR="00332FA3" w:rsidRPr="008A02E4" w:rsidTr="00503B24">
        <w:trPr>
          <w:trHeight w:val="240"/>
          <w:jc w:val="center"/>
        </w:trPr>
        <w:tc>
          <w:tcPr>
            <w:tcW w:w="1668" w:type="dxa"/>
            <w:tcBorders>
              <w:top w:val="single" w:sz="4" w:space="0" w:color="1F4E78"/>
              <w:left w:val="nil"/>
              <w:bottom w:val="single" w:sz="4" w:space="0" w:color="1F4E78"/>
              <w:right w:val="nil"/>
            </w:tcBorders>
            <w:shd w:val="clear" w:color="000000" w:fill="FFFFFF"/>
            <w:noWrap/>
            <w:vAlign w:val="bottom"/>
            <w:hideMark/>
          </w:tcPr>
          <w:p w:rsidR="00332FA3" w:rsidRPr="008A02E4" w:rsidRDefault="00332FA3" w:rsidP="00F8792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1941" w:type="dxa"/>
            <w:tcBorders>
              <w:top w:val="single" w:sz="4" w:space="0" w:color="1F4E78"/>
              <w:left w:val="nil"/>
              <w:bottom w:val="single" w:sz="4" w:space="0" w:color="1F4E78"/>
              <w:right w:val="nil"/>
            </w:tcBorders>
            <w:shd w:val="clear" w:color="000000" w:fill="FFFFFF"/>
            <w:noWrap/>
            <w:vAlign w:val="bottom"/>
            <w:hideMark/>
          </w:tcPr>
          <w:p w:rsidR="00332FA3" w:rsidRPr="008A02E4" w:rsidRDefault="00332FA3"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$12,132,302</w:t>
            </w:r>
          </w:p>
        </w:tc>
        <w:tc>
          <w:tcPr>
            <w:tcW w:w="1602" w:type="dxa"/>
            <w:tcBorders>
              <w:top w:val="single" w:sz="4" w:space="0" w:color="1F4E78"/>
              <w:left w:val="nil"/>
              <w:bottom w:val="single" w:sz="4" w:space="0" w:color="1F4E78"/>
              <w:right w:val="nil"/>
            </w:tcBorders>
            <w:shd w:val="clear" w:color="000000" w:fill="FFFFFF"/>
            <w:noWrap/>
            <w:vAlign w:val="bottom"/>
            <w:hideMark/>
          </w:tcPr>
          <w:p w:rsidR="00332FA3" w:rsidRPr="008A02E4" w:rsidRDefault="00332FA3"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$8,784,538</w:t>
            </w:r>
          </w:p>
        </w:tc>
        <w:tc>
          <w:tcPr>
            <w:tcW w:w="1380" w:type="dxa"/>
            <w:tcBorders>
              <w:top w:val="single" w:sz="4" w:space="0" w:color="1F4E78"/>
              <w:left w:val="nil"/>
              <w:bottom w:val="single" w:sz="4" w:space="0" w:color="1F4E78"/>
              <w:right w:val="nil"/>
            </w:tcBorders>
            <w:shd w:val="clear" w:color="000000" w:fill="FFFFFF"/>
            <w:noWrap/>
            <w:vAlign w:val="bottom"/>
            <w:hideMark/>
          </w:tcPr>
          <w:p w:rsidR="00332FA3" w:rsidRPr="008A02E4" w:rsidRDefault="00332FA3"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$86,232,795</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332FA3" w:rsidRPr="008A02E4" w:rsidRDefault="00332FA3"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100.00%</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Large owner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Pr>
                <w:rFonts w:cs="Calibri"/>
                <w:sz w:val="18"/>
                <w:szCs w:val="18"/>
              </w:rPr>
              <w:t>1.4</w:t>
            </w:r>
            <w:r w:rsidR="008F7947">
              <w:rPr>
                <w:rFonts w:cs="Calibri"/>
                <w:sz w:val="18"/>
                <w:szCs w:val="18"/>
              </w:rPr>
              <w:t>6</w:t>
            </w:r>
            <w:r>
              <w:rPr>
                <w:rFonts w:cs="Calibri"/>
                <w:sz w:val="18"/>
                <w:szCs w:val="18"/>
              </w:rPr>
              <w:t>%</w:t>
            </w:r>
          </w:p>
        </w:tc>
      </w:tr>
      <w:tr w:rsidR="00332FA3"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332FA3" w:rsidRPr="00FA653D" w:rsidRDefault="00332FA3" w:rsidP="00F8792B">
            <w:pPr>
              <w:rPr>
                <w:rFonts w:eastAsia="Times New Roman" w:cs="Calibri"/>
                <w:sz w:val="18"/>
                <w:szCs w:val="18"/>
                <w:lang w:eastAsia="en-AU"/>
              </w:rPr>
            </w:pPr>
            <w:r w:rsidRPr="00FA653D">
              <w:rPr>
                <w:rFonts w:eastAsia="Times New Roman" w:cs="Calibri"/>
                <w:sz w:val="18"/>
                <w:szCs w:val="18"/>
                <w:lang w:eastAsia="en-AU"/>
              </w:rPr>
              <w:t>Small owner</w:t>
            </w:r>
          </w:p>
        </w:tc>
        <w:tc>
          <w:tcPr>
            <w:tcW w:w="1941"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1602"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332FA3" w:rsidRPr="00FA653D" w:rsidRDefault="00332FA3" w:rsidP="00F8792B">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332FA3" w:rsidRPr="00FA653D" w:rsidRDefault="00332FA3" w:rsidP="00F8792B">
            <w:pPr>
              <w:jc w:val="right"/>
              <w:rPr>
                <w:rFonts w:eastAsia="Times New Roman" w:cs="Calibri"/>
                <w:sz w:val="18"/>
                <w:szCs w:val="18"/>
                <w:lang w:eastAsia="en-AU"/>
              </w:rPr>
            </w:pPr>
            <w:r>
              <w:rPr>
                <w:rFonts w:cs="Calibri"/>
                <w:sz w:val="18"/>
                <w:szCs w:val="18"/>
              </w:rPr>
              <w:t>56.</w:t>
            </w:r>
            <w:r w:rsidR="008F7947">
              <w:rPr>
                <w:rFonts w:cs="Calibri"/>
                <w:sz w:val="18"/>
                <w:szCs w:val="18"/>
              </w:rPr>
              <w:t>91</w:t>
            </w:r>
            <w:r>
              <w:rPr>
                <w:rFonts w:cs="Calibri"/>
                <w:sz w:val="18"/>
                <w:szCs w:val="18"/>
              </w:rPr>
              <w:t>%</w:t>
            </w:r>
          </w:p>
        </w:tc>
      </w:tr>
      <w:tr w:rsidR="008A324E" w:rsidRPr="00FA653D" w:rsidTr="00503B24">
        <w:trPr>
          <w:trHeight w:val="240"/>
          <w:jc w:val="center"/>
        </w:trPr>
        <w:tc>
          <w:tcPr>
            <w:tcW w:w="1668" w:type="dxa"/>
            <w:tcBorders>
              <w:top w:val="nil"/>
              <w:left w:val="nil"/>
              <w:bottom w:val="nil"/>
              <w:right w:val="nil"/>
            </w:tcBorders>
            <w:shd w:val="clear" w:color="000000" w:fill="FFFFFF"/>
            <w:noWrap/>
            <w:vAlign w:val="bottom"/>
            <w:hideMark/>
          </w:tcPr>
          <w:p w:rsidR="008A324E" w:rsidRPr="00FA653D" w:rsidRDefault="008A324E" w:rsidP="008A324E">
            <w:pPr>
              <w:rPr>
                <w:rFonts w:eastAsia="Times New Roman" w:cs="Calibri"/>
                <w:sz w:val="18"/>
                <w:szCs w:val="18"/>
                <w:lang w:eastAsia="en-AU"/>
              </w:rPr>
            </w:pPr>
            <w:r w:rsidRPr="00FA653D">
              <w:rPr>
                <w:rFonts w:eastAsia="Times New Roman" w:cs="Calibri"/>
                <w:sz w:val="18"/>
                <w:szCs w:val="18"/>
                <w:lang w:eastAsia="en-AU"/>
              </w:rPr>
              <w:t>GAP</w:t>
            </w:r>
          </w:p>
        </w:tc>
        <w:tc>
          <w:tcPr>
            <w:tcW w:w="1941" w:type="dxa"/>
            <w:tcBorders>
              <w:top w:val="nil"/>
              <w:left w:val="nil"/>
              <w:bottom w:val="nil"/>
              <w:right w:val="nil"/>
            </w:tcBorders>
            <w:shd w:val="clear" w:color="000000" w:fill="FFFFFF"/>
            <w:noWrap/>
            <w:vAlign w:val="bottom"/>
            <w:hideMark/>
          </w:tcPr>
          <w:p w:rsidR="008A324E" w:rsidRPr="00FA653D" w:rsidRDefault="008A324E" w:rsidP="008A324E">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1602" w:type="dxa"/>
            <w:tcBorders>
              <w:top w:val="nil"/>
              <w:left w:val="nil"/>
              <w:bottom w:val="nil"/>
              <w:right w:val="nil"/>
            </w:tcBorders>
            <w:shd w:val="clear" w:color="000000" w:fill="FFFFFF"/>
            <w:noWrap/>
            <w:vAlign w:val="bottom"/>
            <w:hideMark/>
          </w:tcPr>
          <w:p w:rsidR="008A324E" w:rsidRPr="00FA653D" w:rsidRDefault="008A324E" w:rsidP="008A324E">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8A324E" w:rsidRPr="00FA653D" w:rsidRDefault="008A324E" w:rsidP="008A324E">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8A324E" w:rsidRPr="00FA653D" w:rsidRDefault="008A324E" w:rsidP="008A324E">
            <w:pPr>
              <w:jc w:val="right"/>
              <w:rPr>
                <w:rFonts w:eastAsia="Times New Roman" w:cs="Calibri"/>
                <w:sz w:val="18"/>
                <w:szCs w:val="18"/>
                <w:lang w:eastAsia="en-AU"/>
              </w:rPr>
            </w:pPr>
            <w:r>
              <w:rPr>
                <w:rFonts w:cs="Calibri"/>
                <w:sz w:val="18"/>
                <w:szCs w:val="18"/>
              </w:rPr>
              <w:t>41.63%</w:t>
            </w:r>
          </w:p>
        </w:tc>
      </w:tr>
      <w:tr w:rsidR="008A324E" w:rsidRPr="00FA653D" w:rsidTr="00503B24">
        <w:trPr>
          <w:trHeight w:val="240"/>
          <w:jc w:val="center"/>
        </w:trPr>
        <w:tc>
          <w:tcPr>
            <w:tcW w:w="1668" w:type="dxa"/>
            <w:tcBorders>
              <w:top w:val="single" w:sz="4" w:space="0" w:color="1F4E78"/>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rPr>
                <w:rFonts w:eastAsia="Times New Roman" w:cs="Calibri"/>
                <w:b/>
                <w:bCs/>
                <w:color w:val="1F4E78"/>
                <w:sz w:val="18"/>
                <w:szCs w:val="18"/>
                <w:lang w:eastAsia="en-AU"/>
              </w:rPr>
            </w:pPr>
            <w:r w:rsidRPr="008A02E4">
              <w:rPr>
                <w:rFonts w:eastAsia="Times New Roman" w:cs="Calibri"/>
                <w:b/>
                <w:bCs/>
                <w:color w:val="53565A"/>
                <w:sz w:val="18"/>
                <w:szCs w:val="18"/>
                <w:lang w:eastAsia="en-AU"/>
              </w:rPr>
              <w:t>Total cost savings</w:t>
            </w:r>
          </w:p>
        </w:tc>
        <w:tc>
          <w:tcPr>
            <w:tcW w:w="1941" w:type="dxa"/>
            <w:tcBorders>
              <w:top w:val="single" w:sz="4" w:space="0" w:color="1F4E78"/>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color w:val="FF0000"/>
                <w:sz w:val="18"/>
                <w:szCs w:val="18"/>
                <w:lang w:eastAsia="en-AU"/>
              </w:rPr>
            </w:pPr>
            <w:r w:rsidRPr="00FA653D">
              <w:rPr>
                <w:rFonts w:eastAsia="Times New Roman" w:cs="Calibri"/>
                <w:b/>
                <w:bCs/>
                <w:color w:val="FF0000"/>
                <w:sz w:val="18"/>
                <w:szCs w:val="18"/>
                <w:lang w:eastAsia="en-AU"/>
              </w:rPr>
              <w:t>$0</w:t>
            </w:r>
          </w:p>
        </w:tc>
        <w:tc>
          <w:tcPr>
            <w:tcW w:w="1602" w:type="dxa"/>
            <w:tcBorders>
              <w:top w:val="single" w:sz="4" w:space="0" w:color="1F4E78"/>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8A324E" w:rsidRPr="00FA653D" w:rsidRDefault="008A324E" w:rsidP="008A324E">
            <w:pPr>
              <w:jc w:val="right"/>
              <w:rPr>
                <w:rFonts w:eastAsia="Times New Roman" w:cs="Calibri"/>
                <w:b/>
                <w:bCs/>
                <w:color w:val="1F4E78"/>
                <w:sz w:val="18"/>
                <w:szCs w:val="18"/>
                <w:lang w:eastAsia="en-AU"/>
              </w:rPr>
            </w:pPr>
            <w:r w:rsidRPr="008A02E4">
              <w:rPr>
                <w:rFonts w:cs="Calibri"/>
                <w:b/>
                <w:bCs/>
                <w:color w:val="53565A"/>
                <w:sz w:val="18"/>
                <w:szCs w:val="18"/>
              </w:rPr>
              <w:t>100.00%</w:t>
            </w:r>
          </w:p>
        </w:tc>
      </w:tr>
      <w:tr w:rsidR="008A324E" w:rsidRPr="00FA653D" w:rsidTr="00503B24">
        <w:trPr>
          <w:trHeight w:val="240"/>
          <w:jc w:val="center"/>
        </w:trPr>
        <w:tc>
          <w:tcPr>
            <w:tcW w:w="166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rPr>
                <w:rFonts w:eastAsia="Times New Roman" w:cs="Calibri"/>
                <w:b/>
                <w:bCs/>
                <w:i/>
                <w:iCs/>
                <w:sz w:val="18"/>
                <w:szCs w:val="18"/>
                <w:lang w:eastAsia="en-AU"/>
              </w:rPr>
            </w:pPr>
            <w:r w:rsidRPr="00FA653D">
              <w:rPr>
                <w:rFonts w:eastAsia="Times New Roman" w:cs="Calibri"/>
                <w:b/>
                <w:bCs/>
                <w:i/>
                <w:iCs/>
                <w:sz w:val="18"/>
                <w:szCs w:val="18"/>
                <w:lang w:eastAsia="en-AU"/>
              </w:rPr>
              <w:t>Total net costs</w:t>
            </w:r>
          </w:p>
        </w:tc>
        <w:tc>
          <w:tcPr>
            <w:tcW w:w="1941"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i/>
                <w:iCs/>
                <w:sz w:val="18"/>
                <w:szCs w:val="18"/>
                <w:lang w:eastAsia="en-AU"/>
              </w:rPr>
            </w:pPr>
            <w:r w:rsidRPr="00FA653D">
              <w:rPr>
                <w:rFonts w:eastAsia="Times New Roman" w:cs="Calibri"/>
                <w:b/>
                <w:bCs/>
                <w:i/>
                <w:iCs/>
                <w:sz w:val="18"/>
                <w:szCs w:val="18"/>
                <w:lang w:eastAsia="en-AU"/>
              </w:rPr>
              <w:t>$12,132,302</w:t>
            </w:r>
          </w:p>
        </w:tc>
        <w:tc>
          <w:tcPr>
            <w:tcW w:w="1602"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i/>
                <w:iCs/>
                <w:sz w:val="18"/>
                <w:szCs w:val="18"/>
                <w:lang w:eastAsia="en-AU"/>
              </w:rPr>
            </w:pPr>
            <w:r>
              <w:rPr>
                <w:rFonts w:cs="Calibri"/>
                <w:b/>
                <w:bCs/>
                <w:i/>
                <w:iCs/>
                <w:sz w:val="18"/>
                <w:szCs w:val="18"/>
              </w:rPr>
              <w:t>$5,932,929</w:t>
            </w:r>
          </w:p>
        </w:tc>
        <w:tc>
          <w:tcPr>
            <w:tcW w:w="138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8A324E" w:rsidRPr="00FA653D" w:rsidRDefault="008A324E" w:rsidP="008A324E">
            <w:pPr>
              <w:jc w:val="right"/>
              <w:rPr>
                <w:rFonts w:eastAsia="Times New Roman" w:cs="Calibri"/>
                <w:b/>
                <w:bCs/>
                <w:i/>
                <w:iCs/>
                <w:sz w:val="18"/>
                <w:szCs w:val="18"/>
                <w:lang w:eastAsia="en-AU"/>
              </w:rPr>
            </w:pPr>
            <w:r>
              <w:rPr>
                <w:rFonts w:cs="Calibri"/>
                <w:b/>
                <w:bCs/>
                <w:i/>
                <w:iCs/>
                <w:sz w:val="18"/>
                <w:szCs w:val="18"/>
              </w:rPr>
              <w:t>$62,178,524</w:t>
            </w:r>
          </w:p>
        </w:tc>
        <w:tc>
          <w:tcPr>
            <w:tcW w:w="1340"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8A324E" w:rsidRPr="00FA653D" w:rsidRDefault="008A324E" w:rsidP="008A324E">
            <w:pPr>
              <w:rPr>
                <w:rFonts w:eastAsia="Times New Roman" w:cs="Calibri"/>
                <w:b/>
                <w:bCs/>
                <w:i/>
                <w:iCs/>
                <w:sz w:val="18"/>
                <w:szCs w:val="18"/>
                <w:lang w:eastAsia="en-AU"/>
              </w:rPr>
            </w:pPr>
            <w:r>
              <w:rPr>
                <w:rFonts w:cs="Calibri"/>
                <w:b/>
                <w:bCs/>
                <w:i/>
                <w:iCs/>
                <w:sz w:val="18"/>
                <w:szCs w:val="18"/>
              </w:rPr>
              <w:t> </w:t>
            </w:r>
          </w:p>
        </w:tc>
      </w:tr>
    </w:tbl>
    <w:p w:rsidR="007204FD" w:rsidRDefault="007204FD" w:rsidP="007204FD">
      <w:pPr>
        <w:jc w:val="both"/>
      </w:pPr>
    </w:p>
    <w:p w:rsidR="00364829" w:rsidRPr="00DE58D2" w:rsidRDefault="00364829" w:rsidP="008A02E4">
      <w:pPr>
        <w:pStyle w:val="H11italic"/>
      </w:pPr>
      <w:bookmarkStart w:id="143" w:name="_Toc477190203"/>
      <w:r>
        <w:t>Incremental net cost – Option 5</w:t>
      </w:r>
      <w:bookmarkEnd w:id="143"/>
    </w:p>
    <w:p w:rsidR="00665517" w:rsidRDefault="00364829" w:rsidP="00665517">
      <w:pPr>
        <w:jc w:val="both"/>
      </w:pPr>
      <w:r>
        <w:t>The net incremental costs under Option</w:t>
      </w:r>
      <w:r w:rsidR="00665517">
        <w:t xml:space="preserve"> 5</w:t>
      </w:r>
      <w:r>
        <w:t xml:space="preserve"> are identical to Option 3 except for the removal of the need for additional health checks under this option (i.e. the removal of proposed standard 6.2.3).</w:t>
      </w:r>
      <w:r w:rsidR="007B521C">
        <w:t xml:space="preserve"> </w:t>
      </w:r>
      <w:r>
        <w:t xml:space="preserve">The total additional cost of Option 5, as compared to the base case, is </w:t>
      </w:r>
      <w:r>
        <w:lastRenderedPageBreak/>
        <w:t>$10</w:t>
      </w:r>
      <w:r w:rsidR="00B4574B">
        <w:t>2</w:t>
      </w:r>
      <w:r>
        <w:t>.</w:t>
      </w:r>
      <w:r w:rsidR="00B4574B">
        <w:t>06</w:t>
      </w:r>
      <w:r>
        <w:t>m over 10 years in present value dollars with one-off costs of $19.34m and annual costs of $9.7</w:t>
      </w:r>
      <w:r w:rsidR="00B4574B">
        <w:t>9</w:t>
      </w:r>
      <w:r>
        <w:t>m</w:t>
      </w:r>
      <w:r>
        <w:rPr>
          <w:rStyle w:val="FootnoteReference"/>
        </w:rPr>
        <w:footnoteReference w:id="140"/>
      </w:r>
      <w:r>
        <w:t>.</w:t>
      </w:r>
      <w:r w:rsidR="00665517">
        <w:t xml:space="preserve"> Option 5 is awarded a score of -</w:t>
      </w:r>
      <w:r w:rsidR="00B5291E">
        <w:t>4</w:t>
      </w:r>
      <w:r w:rsidR="00665517">
        <w:t>.</w:t>
      </w:r>
      <w:r w:rsidR="00B5291E">
        <w:t>3</w:t>
      </w:r>
      <w:r w:rsidR="00665517">
        <w:rPr>
          <w:rStyle w:val="FootnoteReference"/>
        </w:rPr>
        <w:footnoteReference w:id="141"/>
      </w:r>
      <w:r w:rsidR="00665517">
        <w:t>.</w:t>
      </w:r>
    </w:p>
    <w:p w:rsidR="00364829" w:rsidRDefault="00364829" w:rsidP="00364829">
      <w:pPr>
        <w:jc w:val="both"/>
      </w:pPr>
    </w:p>
    <w:p w:rsidR="00364829" w:rsidRDefault="00364829" w:rsidP="00364829">
      <w:pPr>
        <w:jc w:val="both"/>
      </w:pPr>
      <w:r>
        <w:t>A total summary of the distribution of costs under Option 5 is provided for in Table 23.</w:t>
      </w:r>
      <w:r w:rsidR="007B521C">
        <w:t xml:space="preserve"> </w:t>
      </w:r>
      <w:r>
        <w:t>The largest share of 10-year present value cost is incurred by small owners (27.51%) followed by small trainers (27.30%), GRV (15.53%) and small breeders (18.37%).</w:t>
      </w:r>
      <w:r w:rsidR="007B521C">
        <w:t xml:space="preserve"> </w:t>
      </w:r>
      <w:r>
        <w:t>Small owners are also likely to obtain the highest share of 56.</w:t>
      </w:r>
      <w:r w:rsidR="00346F7D">
        <w:t>91</w:t>
      </w:r>
      <w:r>
        <w:t>% of all 10-year present value cost savings, followed by GAP (4</w:t>
      </w:r>
      <w:r w:rsidR="00346F7D">
        <w:t>1</w:t>
      </w:r>
      <w:r>
        <w:t>.</w:t>
      </w:r>
      <w:r w:rsidR="00346F7D">
        <w:t>63</w:t>
      </w:r>
      <w:r>
        <w:t>%) under Option 5.</w:t>
      </w:r>
    </w:p>
    <w:p w:rsidR="00364829" w:rsidRDefault="00364829" w:rsidP="00364829">
      <w:pPr>
        <w:jc w:val="both"/>
      </w:pPr>
    </w:p>
    <w:p w:rsidR="00364829" w:rsidRDefault="00364829" w:rsidP="00364829">
      <w:pPr>
        <w:jc w:val="center"/>
        <w:rPr>
          <w:b/>
          <w:sz w:val="20"/>
        </w:rPr>
      </w:pPr>
      <w:r>
        <w:rPr>
          <w:b/>
          <w:sz w:val="20"/>
        </w:rPr>
        <w:t>Table 23</w:t>
      </w:r>
      <w:r w:rsidRPr="000A087D">
        <w:rPr>
          <w:b/>
          <w:sz w:val="20"/>
        </w:rPr>
        <w:t>: Distribution of 10-year</w:t>
      </w:r>
      <w:r w:rsidR="004E2642">
        <w:rPr>
          <w:b/>
          <w:sz w:val="20"/>
        </w:rPr>
        <w:t xml:space="preserve"> estimated</w:t>
      </w:r>
      <w:r w:rsidRPr="000A087D">
        <w:rPr>
          <w:b/>
          <w:sz w:val="20"/>
        </w:rPr>
        <w:t xml:space="preserve"> additional cost of </w:t>
      </w:r>
      <w:r>
        <w:rPr>
          <w:b/>
          <w:sz w:val="20"/>
        </w:rPr>
        <w:t>Option 5</w:t>
      </w:r>
      <w:r w:rsidR="00E6209E">
        <w:rPr>
          <w:rStyle w:val="FootnoteReference"/>
          <w:b/>
          <w:sz w:val="20"/>
        </w:rPr>
        <w:footnoteReference w:id="142"/>
      </w:r>
    </w:p>
    <w:p w:rsidR="00364829" w:rsidRDefault="00364829" w:rsidP="00364829">
      <w:pPr>
        <w:rPr>
          <w:rFonts w:asciiTheme="majorHAnsi" w:eastAsiaTheme="majorEastAsia" w:hAnsiTheme="majorHAnsi" w:cstheme="majorBidi"/>
          <w:b/>
          <w:color w:val="365F91" w:themeColor="accent1" w:themeShade="BF"/>
          <w:sz w:val="26"/>
          <w:szCs w:val="26"/>
        </w:rPr>
      </w:pPr>
    </w:p>
    <w:tbl>
      <w:tblPr>
        <w:tblW w:w="7887" w:type="dxa"/>
        <w:jc w:val="center"/>
        <w:tblLayout w:type="fixed"/>
        <w:tblLook w:val="04A0" w:firstRow="1" w:lastRow="0" w:firstColumn="1" w:lastColumn="0" w:noHBand="0" w:noVBand="1"/>
      </w:tblPr>
      <w:tblGrid>
        <w:gridCol w:w="1699"/>
        <w:gridCol w:w="1659"/>
        <w:gridCol w:w="1809"/>
        <w:gridCol w:w="1380"/>
        <w:gridCol w:w="1340"/>
      </w:tblGrid>
      <w:tr w:rsidR="00364829" w:rsidRPr="008A02E4" w:rsidTr="00503B24">
        <w:trPr>
          <w:trHeight w:val="70"/>
          <w:tblHeader/>
          <w:jc w:val="center"/>
        </w:trPr>
        <w:tc>
          <w:tcPr>
            <w:tcW w:w="1699" w:type="dxa"/>
            <w:tcBorders>
              <w:top w:val="single" w:sz="4" w:space="0" w:color="1F4E78"/>
              <w:left w:val="nil"/>
              <w:bottom w:val="double" w:sz="6" w:space="0" w:color="1F4E78"/>
              <w:right w:val="nil"/>
            </w:tcBorders>
            <w:shd w:val="clear" w:color="000000" w:fill="FFFFFF"/>
            <w:vAlign w:val="bottom"/>
            <w:hideMark/>
          </w:tcPr>
          <w:p w:rsidR="00364829" w:rsidRPr="008A02E4" w:rsidRDefault="00364829"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1659"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809"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364829" w:rsidRPr="00207474" w:rsidTr="00503B24">
        <w:trPr>
          <w:trHeight w:val="255"/>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Large breeder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$470,131</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$1,002,786</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$8,928,964</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7.08%</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Small breeder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$6,569,136</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$1,967,587</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$23,166,388</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18.37%</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Large trainer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$1,357,326</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$94,688</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$2,156,048</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1.71%</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Small trainer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$10,801,430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$2,800,423</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$34,423,924</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27.30%</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Large owner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$105,457</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$889,565</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0.71%</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Small owner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$4,112,930</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$34,693,928</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27.51%</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GAP</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$269,264</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$2,271,334</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1.80%</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GRV</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$146,407</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$2,289,466</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$19,587,047</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sidRPr="00207474">
              <w:rPr>
                <w:rFonts w:eastAsia="Times New Roman" w:cs="Calibri"/>
                <w:sz w:val="18"/>
                <w:szCs w:val="18"/>
                <w:lang w:eastAsia="en-AU"/>
              </w:rPr>
              <w:t>15.53%</w:t>
            </w:r>
          </w:p>
        </w:tc>
      </w:tr>
      <w:tr w:rsidR="00364829" w:rsidRPr="008A02E4" w:rsidTr="00503B24">
        <w:trPr>
          <w:trHeight w:val="240"/>
          <w:jc w:val="center"/>
        </w:trPr>
        <w:tc>
          <w:tcPr>
            <w:tcW w:w="1699" w:type="dxa"/>
            <w:tcBorders>
              <w:top w:val="single" w:sz="4" w:space="0" w:color="1F4E78"/>
              <w:left w:val="nil"/>
              <w:bottom w:val="single" w:sz="4" w:space="0" w:color="1F4E78"/>
              <w:right w:val="nil"/>
            </w:tcBorders>
            <w:shd w:val="clear" w:color="000000" w:fill="FFFFFF"/>
            <w:noWrap/>
            <w:vAlign w:val="bottom"/>
            <w:hideMark/>
          </w:tcPr>
          <w:p w:rsidR="00364829" w:rsidRPr="008A02E4" w:rsidRDefault="00364829" w:rsidP="00F8792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1659" w:type="dxa"/>
            <w:tcBorders>
              <w:top w:val="single" w:sz="4" w:space="0" w:color="1F4E78"/>
              <w:left w:val="nil"/>
              <w:bottom w:val="single" w:sz="4" w:space="0" w:color="1F4E78"/>
              <w:right w:val="nil"/>
            </w:tcBorders>
            <w:shd w:val="clear" w:color="000000" w:fill="FFFFFF"/>
            <w:noWrap/>
            <w:vAlign w:val="bottom"/>
            <w:hideMark/>
          </w:tcPr>
          <w:p w:rsidR="00364829" w:rsidRPr="008A02E4" w:rsidRDefault="00364829"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$19,344,431</w:t>
            </w:r>
          </w:p>
        </w:tc>
        <w:tc>
          <w:tcPr>
            <w:tcW w:w="1809" w:type="dxa"/>
            <w:tcBorders>
              <w:top w:val="single" w:sz="4" w:space="0" w:color="1F4E78"/>
              <w:left w:val="nil"/>
              <w:bottom w:val="single" w:sz="4" w:space="0" w:color="1F4E78"/>
              <w:right w:val="nil"/>
            </w:tcBorders>
            <w:shd w:val="clear" w:color="000000" w:fill="FFFFFF"/>
            <w:noWrap/>
            <w:vAlign w:val="bottom"/>
            <w:hideMark/>
          </w:tcPr>
          <w:p w:rsidR="00364829" w:rsidRPr="008A02E4" w:rsidRDefault="00364829"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$12,642,601</w:t>
            </w:r>
          </w:p>
        </w:tc>
        <w:tc>
          <w:tcPr>
            <w:tcW w:w="1380" w:type="dxa"/>
            <w:tcBorders>
              <w:top w:val="single" w:sz="4" w:space="0" w:color="1F4E78"/>
              <w:left w:val="nil"/>
              <w:bottom w:val="single" w:sz="4" w:space="0" w:color="1F4E78"/>
              <w:right w:val="nil"/>
            </w:tcBorders>
            <w:shd w:val="clear" w:color="000000" w:fill="FFFFFF"/>
            <w:noWrap/>
            <w:vAlign w:val="bottom"/>
            <w:hideMark/>
          </w:tcPr>
          <w:p w:rsidR="00364829" w:rsidRPr="008A02E4" w:rsidRDefault="00364829"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$126,117,198</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364829" w:rsidRPr="008A02E4" w:rsidRDefault="00364829" w:rsidP="00F8792B">
            <w:pPr>
              <w:jc w:val="right"/>
              <w:rPr>
                <w:rFonts w:eastAsia="Times New Roman" w:cs="Calibri"/>
                <w:b/>
                <w:bCs/>
                <w:color w:val="53565A"/>
                <w:sz w:val="18"/>
                <w:szCs w:val="18"/>
                <w:lang w:eastAsia="en-AU"/>
              </w:rPr>
            </w:pPr>
            <w:r w:rsidRPr="008A02E4">
              <w:rPr>
                <w:rFonts w:eastAsia="Times New Roman" w:cs="Calibri"/>
                <w:b/>
                <w:bCs/>
                <w:color w:val="53565A"/>
                <w:sz w:val="18"/>
                <w:szCs w:val="18"/>
                <w:lang w:eastAsia="en-AU"/>
              </w:rPr>
              <w:t>100.00%</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Large owner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Pr>
                <w:rFonts w:cs="Calibri"/>
                <w:sz w:val="18"/>
                <w:szCs w:val="18"/>
              </w:rPr>
              <w:t>1.4</w:t>
            </w:r>
            <w:r w:rsidR="00346F7D">
              <w:rPr>
                <w:rFonts w:cs="Calibri"/>
                <w:sz w:val="18"/>
                <w:szCs w:val="18"/>
              </w:rPr>
              <w:t>6</w:t>
            </w:r>
            <w:r>
              <w:rPr>
                <w:rFonts w:cs="Calibri"/>
                <w:sz w:val="18"/>
                <w:szCs w:val="18"/>
              </w:rPr>
              <w:t>%</w:t>
            </w:r>
          </w:p>
        </w:tc>
      </w:tr>
      <w:tr w:rsidR="00364829"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64829" w:rsidRPr="00207474" w:rsidRDefault="00364829" w:rsidP="00F8792B">
            <w:pPr>
              <w:rPr>
                <w:rFonts w:eastAsia="Times New Roman" w:cs="Calibri"/>
                <w:sz w:val="18"/>
                <w:szCs w:val="18"/>
                <w:lang w:eastAsia="en-AU"/>
              </w:rPr>
            </w:pPr>
            <w:r w:rsidRPr="00207474">
              <w:rPr>
                <w:rFonts w:eastAsia="Times New Roman" w:cs="Calibri"/>
                <w:sz w:val="18"/>
                <w:szCs w:val="18"/>
                <w:lang w:eastAsia="en-AU"/>
              </w:rPr>
              <w:t>Small owner</w:t>
            </w:r>
          </w:p>
        </w:tc>
        <w:tc>
          <w:tcPr>
            <w:tcW w:w="165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1809"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364829" w:rsidRPr="00207474" w:rsidRDefault="00364829" w:rsidP="00F8792B">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364829" w:rsidRPr="00207474" w:rsidRDefault="00364829" w:rsidP="00F8792B">
            <w:pPr>
              <w:jc w:val="right"/>
              <w:rPr>
                <w:rFonts w:eastAsia="Times New Roman" w:cs="Calibri"/>
                <w:sz w:val="18"/>
                <w:szCs w:val="18"/>
                <w:lang w:eastAsia="en-AU"/>
              </w:rPr>
            </w:pPr>
            <w:r>
              <w:rPr>
                <w:rFonts w:cs="Calibri"/>
                <w:sz w:val="18"/>
                <w:szCs w:val="18"/>
              </w:rPr>
              <w:t>56.</w:t>
            </w:r>
            <w:r w:rsidR="00346F7D">
              <w:rPr>
                <w:rFonts w:cs="Calibri"/>
                <w:sz w:val="18"/>
                <w:szCs w:val="18"/>
              </w:rPr>
              <w:t>91</w:t>
            </w:r>
            <w:r>
              <w:rPr>
                <w:rFonts w:cs="Calibri"/>
                <w:sz w:val="18"/>
                <w:szCs w:val="18"/>
              </w:rPr>
              <w:t>%</w:t>
            </w:r>
          </w:p>
        </w:tc>
      </w:tr>
      <w:tr w:rsidR="00346F7D" w:rsidRPr="00207474" w:rsidTr="00503B24">
        <w:trPr>
          <w:trHeight w:val="240"/>
          <w:jc w:val="center"/>
        </w:trPr>
        <w:tc>
          <w:tcPr>
            <w:tcW w:w="1699" w:type="dxa"/>
            <w:tcBorders>
              <w:top w:val="nil"/>
              <w:left w:val="nil"/>
              <w:bottom w:val="nil"/>
              <w:right w:val="nil"/>
            </w:tcBorders>
            <w:shd w:val="clear" w:color="000000" w:fill="FFFFFF"/>
            <w:noWrap/>
            <w:vAlign w:val="bottom"/>
            <w:hideMark/>
          </w:tcPr>
          <w:p w:rsidR="00346F7D" w:rsidRPr="00207474" w:rsidRDefault="00346F7D" w:rsidP="00346F7D">
            <w:pPr>
              <w:rPr>
                <w:rFonts w:eastAsia="Times New Roman" w:cs="Calibri"/>
                <w:sz w:val="18"/>
                <w:szCs w:val="18"/>
                <w:lang w:eastAsia="en-AU"/>
              </w:rPr>
            </w:pPr>
            <w:r w:rsidRPr="00207474">
              <w:rPr>
                <w:rFonts w:eastAsia="Times New Roman" w:cs="Calibri"/>
                <w:sz w:val="18"/>
                <w:szCs w:val="18"/>
                <w:lang w:eastAsia="en-AU"/>
              </w:rPr>
              <w:t>GAP</w:t>
            </w:r>
          </w:p>
        </w:tc>
        <w:tc>
          <w:tcPr>
            <w:tcW w:w="1659" w:type="dxa"/>
            <w:tcBorders>
              <w:top w:val="nil"/>
              <w:left w:val="nil"/>
              <w:bottom w:val="nil"/>
              <w:right w:val="nil"/>
            </w:tcBorders>
            <w:shd w:val="clear" w:color="000000" w:fill="FFFFFF"/>
            <w:noWrap/>
            <w:vAlign w:val="bottom"/>
            <w:hideMark/>
          </w:tcPr>
          <w:p w:rsidR="00346F7D" w:rsidRPr="00207474" w:rsidRDefault="00346F7D" w:rsidP="00346F7D">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1809" w:type="dxa"/>
            <w:tcBorders>
              <w:top w:val="nil"/>
              <w:left w:val="nil"/>
              <w:bottom w:val="nil"/>
              <w:right w:val="nil"/>
            </w:tcBorders>
            <w:shd w:val="clear" w:color="000000" w:fill="FFFFFF"/>
            <w:noWrap/>
            <w:vAlign w:val="bottom"/>
            <w:hideMark/>
          </w:tcPr>
          <w:p w:rsidR="00346F7D" w:rsidRPr="00207474" w:rsidRDefault="00346F7D" w:rsidP="00346F7D">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346F7D" w:rsidRPr="00207474" w:rsidRDefault="00346F7D" w:rsidP="00346F7D">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346F7D" w:rsidRPr="00207474" w:rsidRDefault="00346F7D" w:rsidP="00346F7D">
            <w:pPr>
              <w:jc w:val="right"/>
              <w:rPr>
                <w:rFonts w:eastAsia="Times New Roman" w:cs="Calibri"/>
                <w:sz w:val="18"/>
                <w:szCs w:val="18"/>
                <w:lang w:eastAsia="en-AU"/>
              </w:rPr>
            </w:pPr>
            <w:r>
              <w:rPr>
                <w:rFonts w:cs="Calibri"/>
                <w:sz w:val="18"/>
                <w:szCs w:val="18"/>
              </w:rPr>
              <w:t>41.63%</w:t>
            </w:r>
          </w:p>
        </w:tc>
      </w:tr>
      <w:tr w:rsidR="00346F7D" w:rsidRPr="008A02E4" w:rsidTr="00503B24">
        <w:trPr>
          <w:trHeight w:val="240"/>
          <w:jc w:val="center"/>
        </w:trPr>
        <w:tc>
          <w:tcPr>
            <w:tcW w:w="1699" w:type="dxa"/>
            <w:tcBorders>
              <w:top w:val="single" w:sz="4" w:space="0" w:color="1F4E78"/>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rPr>
                <w:rFonts w:eastAsia="Times New Roman" w:cs="Calibri"/>
                <w:b/>
                <w:bCs/>
                <w:color w:val="1F4E78"/>
                <w:sz w:val="18"/>
                <w:szCs w:val="18"/>
                <w:lang w:eastAsia="en-AU"/>
              </w:rPr>
            </w:pPr>
            <w:r w:rsidRPr="008A02E4">
              <w:rPr>
                <w:rFonts w:eastAsia="Times New Roman" w:cs="Calibri"/>
                <w:b/>
                <w:bCs/>
                <w:color w:val="53565A"/>
                <w:sz w:val="18"/>
                <w:szCs w:val="18"/>
                <w:lang w:eastAsia="en-AU"/>
              </w:rPr>
              <w:t>Total cost savings</w:t>
            </w:r>
          </w:p>
        </w:tc>
        <w:tc>
          <w:tcPr>
            <w:tcW w:w="1659" w:type="dxa"/>
            <w:tcBorders>
              <w:top w:val="single" w:sz="4" w:space="0" w:color="1F4E78"/>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color w:val="FF0000"/>
                <w:sz w:val="18"/>
                <w:szCs w:val="18"/>
                <w:lang w:eastAsia="en-AU"/>
              </w:rPr>
            </w:pPr>
            <w:r w:rsidRPr="00207474">
              <w:rPr>
                <w:rFonts w:eastAsia="Times New Roman" w:cs="Calibri"/>
                <w:b/>
                <w:bCs/>
                <w:color w:val="FF0000"/>
                <w:sz w:val="18"/>
                <w:szCs w:val="18"/>
                <w:lang w:eastAsia="en-AU"/>
              </w:rPr>
              <w:t>$0</w:t>
            </w:r>
          </w:p>
        </w:tc>
        <w:tc>
          <w:tcPr>
            <w:tcW w:w="1809" w:type="dxa"/>
            <w:tcBorders>
              <w:top w:val="single" w:sz="4" w:space="0" w:color="1F4E78"/>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346F7D" w:rsidRPr="008A02E4" w:rsidRDefault="00346F7D" w:rsidP="00346F7D">
            <w:pPr>
              <w:jc w:val="right"/>
              <w:rPr>
                <w:rFonts w:eastAsia="Times New Roman" w:cs="Calibri"/>
                <w:b/>
                <w:bCs/>
                <w:color w:val="53565A"/>
                <w:sz w:val="18"/>
                <w:szCs w:val="18"/>
                <w:lang w:eastAsia="en-AU"/>
              </w:rPr>
            </w:pPr>
            <w:r w:rsidRPr="008A02E4">
              <w:rPr>
                <w:rFonts w:cs="Calibri"/>
                <w:b/>
                <w:bCs/>
                <w:color w:val="53565A"/>
                <w:sz w:val="18"/>
                <w:szCs w:val="18"/>
              </w:rPr>
              <w:t>100.00%</w:t>
            </w:r>
          </w:p>
        </w:tc>
      </w:tr>
      <w:tr w:rsidR="00346F7D" w:rsidRPr="00207474" w:rsidTr="00503B24">
        <w:trPr>
          <w:trHeight w:val="240"/>
          <w:jc w:val="center"/>
        </w:trPr>
        <w:tc>
          <w:tcPr>
            <w:tcW w:w="169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rPr>
                <w:rFonts w:eastAsia="Times New Roman" w:cs="Calibri"/>
                <w:b/>
                <w:bCs/>
                <w:i/>
                <w:iCs/>
                <w:sz w:val="18"/>
                <w:szCs w:val="18"/>
                <w:lang w:eastAsia="en-AU"/>
              </w:rPr>
            </w:pPr>
            <w:r w:rsidRPr="00207474">
              <w:rPr>
                <w:rFonts w:eastAsia="Times New Roman" w:cs="Calibri"/>
                <w:b/>
                <w:bCs/>
                <w:i/>
                <w:iCs/>
                <w:sz w:val="18"/>
                <w:szCs w:val="18"/>
                <w:lang w:eastAsia="en-AU"/>
              </w:rPr>
              <w:t>Total net costs</w:t>
            </w:r>
          </w:p>
        </w:tc>
        <w:tc>
          <w:tcPr>
            <w:tcW w:w="165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i/>
                <w:iCs/>
                <w:sz w:val="18"/>
                <w:szCs w:val="18"/>
                <w:lang w:eastAsia="en-AU"/>
              </w:rPr>
            </w:pPr>
            <w:r w:rsidRPr="00207474">
              <w:rPr>
                <w:rFonts w:eastAsia="Times New Roman" w:cs="Calibri"/>
                <w:b/>
                <w:bCs/>
                <w:i/>
                <w:iCs/>
                <w:sz w:val="18"/>
                <w:szCs w:val="18"/>
                <w:lang w:eastAsia="en-AU"/>
              </w:rPr>
              <w:t>$19,344,431</w:t>
            </w:r>
          </w:p>
        </w:tc>
        <w:tc>
          <w:tcPr>
            <w:tcW w:w="180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i/>
                <w:iCs/>
                <w:sz w:val="18"/>
                <w:szCs w:val="18"/>
                <w:lang w:eastAsia="en-AU"/>
              </w:rPr>
            </w:pPr>
            <w:r>
              <w:rPr>
                <w:rFonts w:cs="Calibri"/>
                <w:b/>
                <w:bCs/>
                <w:i/>
                <w:iCs/>
                <w:sz w:val="18"/>
                <w:szCs w:val="18"/>
              </w:rPr>
              <w:t>$9,790,991</w:t>
            </w:r>
          </w:p>
        </w:tc>
        <w:tc>
          <w:tcPr>
            <w:tcW w:w="1380"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46F7D" w:rsidRPr="00207474" w:rsidRDefault="00346F7D" w:rsidP="00346F7D">
            <w:pPr>
              <w:jc w:val="right"/>
              <w:rPr>
                <w:rFonts w:eastAsia="Times New Roman" w:cs="Calibri"/>
                <w:b/>
                <w:bCs/>
                <w:i/>
                <w:iCs/>
                <w:sz w:val="18"/>
                <w:szCs w:val="18"/>
                <w:lang w:eastAsia="en-AU"/>
              </w:rPr>
            </w:pPr>
            <w:r>
              <w:rPr>
                <w:rFonts w:cs="Calibri"/>
                <w:b/>
                <w:bCs/>
                <w:i/>
                <w:iCs/>
                <w:sz w:val="18"/>
                <w:szCs w:val="18"/>
              </w:rPr>
              <w:t>$102,062,926</w:t>
            </w:r>
          </w:p>
        </w:tc>
        <w:tc>
          <w:tcPr>
            <w:tcW w:w="1340"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346F7D" w:rsidRPr="00207474" w:rsidRDefault="00346F7D" w:rsidP="00346F7D">
            <w:pPr>
              <w:rPr>
                <w:rFonts w:eastAsia="Times New Roman" w:cs="Calibri"/>
                <w:b/>
                <w:bCs/>
                <w:i/>
                <w:iCs/>
                <w:sz w:val="18"/>
                <w:szCs w:val="18"/>
                <w:lang w:eastAsia="en-AU"/>
              </w:rPr>
            </w:pPr>
            <w:r>
              <w:rPr>
                <w:rFonts w:cs="Calibri"/>
                <w:b/>
                <w:bCs/>
                <w:i/>
                <w:iCs/>
                <w:sz w:val="18"/>
                <w:szCs w:val="18"/>
              </w:rPr>
              <w:t> </w:t>
            </w:r>
          </w:p>
        </w:tc>
      </w:tr>
    </w:tbl>
    <w:p w:rsidR="00364829" w:rsidRDefault="00364829" w:rsidP="008A02E4"/>
    <w:p w:rsidR="00364829" w:rsidRPr="00DE58D2" w:rsidRDefault="00364829" w:rsidP="008A02E4">
      <w:pPr>
        <w:pStyle w:val="H11italic"/>
      </w:pPr>
      <w:bookmarkStart w:id="144" w:name="_Toc477190204"/>
      <w:r>
        <w:t xml:space="preserve">Incremental net cost – Option </w:t>
      </w:r>
      <w:r w:rsidR="00665517">
        <w:t>6</w:t>
      </w:r>
      <w:bookmarkEnd w:id="144"/>
    </w:p>
    <w:p w:rsidR="00364829" w:rsidRDefault="00364829" w:rsidP="00364829">
      <w:pPr>
        <w:jc w:val="both"/>
      </w:pPr>
      <w:r>
        <w:t xml:space="preserve">The net incremental costs under Option 6 </w:t>
      </w:r>
      <w:r w:rsidR="00665517">
        <w:t xml:space="preserve">are </w:t>
      </w:r>
      <w:r>
        <w:t>identical to Option 3 except for the reduced requirements for rearing (16 weeks to 18 months for all dogs) under this option (i.e. reduction of requirements under proposed standard 6.3.9).</w:t>
      </w:r>
      <w:r w:rsidR="007B521C">
        <w:t xml:space="preserve"> </w:t>
      </w:r>
      <w:r>
        <w:t>The total additional cost of Option 6, as compared to the base case, is $</w:t>
      </w:r>
      <w:r w:rsidR="002418ED">
        <w:t>86</w:t>
      </w:r>
      <w:r>
        <w:t>.</w:t>
      </w:r>
      <w:r w:rsidR="002418ED">
        <w:t>36</w:t>
      </w:r>
      <w:r>
        <w:t>m over 10 years in present value dollars with one-off costs of $19.34m and annual costs of $</w:t>
      </w:r>
      <w:r w:rsidR="002418ED">
        <w:t>7</w:t>
      </w:r>
      <w:r>
        <w:t>.</w:t>
      </w:r>
      <w:r w:rsidR="002418ED">
        <w:t>93</w:t>
      </w:r>
      <w:r>
        <w:t>m</w:t>
      </w:r>
      <w:r>
        <w:rPr>
          <w:rStyle w:val="FootnoteReference"/>
        </w:rPr>
        <w:footnoteReference w:id="143"/>
      </w:r>
      <w:r>
        <w:t>.</w:t>
      </w:r>
      <w:r w:rsidR="00665517">
        <w:t xml:space="preserve"> Option 6 is awarded a score of -</w:t>
      </w:r>
      <w:r w:rsidR="002418ED">
        <w:t>3</w:t>
      </w:r>
      <w:r w:rsidR="00665517">
        <w:t>.</w:t>
      </w:r>
      <w:r w:rsidR="002418ED">
        <w:t>7</w:t>
      </w:r>
      <w:r w:rsidR="00665517">
        <w:rPr>
          <w:rStyle w:val="FootnoteReference"/>
        </w:rPr>
        <w:footnoteReference w:id="144"/>
      </w:r>
      <w:r w:rsidR="00665517">
        <w:t>.</w:t>
      </w:r>
    </w:p>
    <w:p w:rsidR="00364829" w:rsidRDefault="00364829" w:rsidP="008A02E4"/>
    <w:p w:rsidR="00364829" w:rsidRDefault="00364829" w:rsidP="00364829">
      <w:pPr>
        <w:jc w:val="both"/>
      </w:pPr>
      <w:r>
        <w:t>A total summary of the distribution of costs under Option 6 is provided for in Table 24.</w:t>
      </w:r>
      <w:r w:rsidR="007B521C">
        <w:t xml:space="preserve"> </w:t>
      </w:r>
      <w:r>
        <w:t>The largest share of 10-year present value cost is incurred by small</w:t>
      </w:r>
      <w:r w:rsidR="0039120B">
        <w:t xml:space="preserve"> trainers</w:t>
      </w:r>
      <w:r>
        <w:t xml:space="preserve"> (2</w:t>
      </w:r>
      <w:r w:rsidR="0039120B">
        <w:t>9</w:t>
      </w:r>
      <w:r>
        <w:t>.</w:t>
      </w:r>
      <w:r w:rsidR="0039120B">
        <w:t>05</w:t>
      </w:r>
      <w:r>
        <w:t xml:space="preserve">%) followed by small </w:t>
      </w:r>
      <w:r w:rsidR="0039120B">
        <w:t>breeders (</w:t>
      </w:r>
      <w:r>
        <w:t>2</w:t>
      </w:r>
      <w:r w:rsidR="0039120B">
        <w:t>0.81%</w:t>
      </w:r>
      <w:r>
        <w:t xml:space="preserve">) small </w:t>
      </w:r>
      <w:r w:rsidR="0039120B">
        <w:t>owners</w:t>
      </w:r>
      <w:r>
        <w:t xml:space="preserve"> (</w:t>
      </w:r>
      <w:r w:rsidR="0039120B">
        <w:t>20</w:t>
      </w:r>
      <w:r>
        <w:t>.</w:t>
      </w:r>
      <w:r w:rsidR="0039120B">
        <w:t>23</w:t>
      </w:r>
      <w:r>
        <w:t>%) and GRV (1</w:t>
      </w:r>
      <w:r w:rsidR="0039120B">
        <w:t>7</w:t>
      </w:r>
      <w:r>
        <w:t>.</w:t>
      </w:r>
      <w:r w:rsidR="0039120B">
        <w:t>74</w:t>
      </w:r>
      <w:r>
        <w:t>%).</w:t>
      </w:r>
      <w:r w:rsidR="007B521C">
        <w:t xml:space="preserve"> </w:t>
      </w:r>
      <w:r>
        <w:t>Small owners are also likely to obtain the highest share of 56.</w:t>
      </w:r>
      <w:r w:rsidR="00B4574B">
        <w:t>91</w:t>
      </w:r>
      <w:r>
        <w:t>% of all 10-year present value cost savings, followed by GAP (4</w:t>
      </w:r>
      <w:r w:rsidR="00B4574B">
        <w:t>1</w:t>
      </w:r>
      <w:r>
        <w:t>.</w:t>
      </w:r>
      <w:r w:rsidR="00B4574B">
        <w:t>63</w:t>
      </w:r>
      <w:r>
        <w:t>%) under Option 6.</w:t>
      </w:r>
    </w:p>
    <w:p w:rsidR="00364829" w:rsidRDefault="00364829" w:rsidP="00364829">
      <w:pPr>
        <w:jc w:val="both"/>
      </w:pPr>
    </w:p>
    <w:p w:rsidR="008A02E4" w:rsidRDefault="008A02E4">
      <w:pPr>
        <w:rPr>
          <w:b/>
          <w:sz w:val="20"/>
        </w:rPr>
      </w:pPr>
      <w:r>
        <w:rPr>
          <w:b/>
          <w:sz w:val="20"/>
        </w:rPr>
        <w:br w:type="page"/>
      </w:r>
    </w:p>
    <w:p w:rsidR="00364829" w:rsidRDefault="00364829" w:rsidP="00364829">
      <w:pPr>
        <w:jc w:val="center"/>
        <w:rPr>
          <w:b/>
          <w:sz w:val="20"/>
        </w:rPr>
      </w:pPr>
      <w:r>
        <w:rPr>
          <w:b/>
          <w:sz w:val="20"/>
        </w:rPr>
        <w:lastRenderedPageBreak/>
        <w:t>Table 24</w:t>
      </w:r>
      <w:r w:rsidRPr="000A087D">
        <w:rPr>
          <w:b/>
          <w:sz w:val="20"/>
        </w:rPr>
        <w:t xml:space="preserve">: Distribution of 10-year </w:t>
      </w:r>
      <w:r w:rsidR="004E2642">
        <w:rPr>
          <w:b/>
          <w:sz w:val="20"/>
        </w:rPr>
        <w:t xml:space="preserve">estimated </w:t>
      </w:r>
      <w:r w:rsidRPr="000A087D">
        <w:rPr>
          <w:b/>
          <w:sz w:val="20"/>
        </w:rPr>
        <w:t xml:space="preserve">additional cost of </w:t>
      </w:r>
      <w:r>
        <w:rPr>
          <w:b/>
          <w:sz w:val="20"/>
        </w:rPr>
        <w:t>Option 6</w:t>
      </w:r>
      <w:r w:rsidR="00633546">
        <w:rPr>
          <w:rStyle w:val="FootnoteReference"/>
          <w:b/>
          <w:sz w:val="20"/>
        </w:rPr>
        <w:footnoteReference w:id="145"/>
      </w:r>
    </w:p>
    <w:p w:rsidR="00364829" w:rsidRDefault="00364829" w:rsidP="008A02E4"/>
    <w:tbl>
      <w:tblPr>
        <w:tblW w:w="7787" w:type="dxa"/>
        <w:jc w:val="center"/>
        <w:tblLayout w:type="fixed"/>
        <w:tblLook w:val="04A0" w:firstRow="1" w:lastRow="0" w:firstColumn="1" w:lastColumn="0" w:noHBand="0" w:noVBand="1"/>
      </w:tblPr>
      <w:tblGrid>
        <w:gridCol w:w="1668"/>
        <w:gridCol w:w="1948"/>
        <w:gridCol w:w="1454"/>
        <w:gridCol w:w="1379"/>
        <w:gridCol w:w="1338"/>
      </w:tblGrid>
      <w:tr w:rsidR="00364829" w:rsidRPr="008A02E4" w:rsidTr="00503B24">
        <w:trPr>
          <w:trHeight w:val="70"/>
          <w:tblHeader/>
          <w:jc w:val="center"/>
        </w:trPr>
        <w:tc>
          <w:tcPr>
            <w:tcW w:w="1668" w:type="dxa"/>
            <w:tcBorders>
              <w:top w:val="single" w:sz="4" w:space="0" w:color="1F4E78"/>
              <w:left w:val="nil"/>
              <w:bottom w:val="double" w:sz="6" w:space="0" w:color="1F4E78"/>
              <w:right w:val="nil"/>
            </w:tcBorders>
            <w:shd w:val="clear" w:color="000000" w:fill="FFFFFF"/>
            <w:vAlign w:val="bottom"/>
            <w:hideMark/>
          </w:tcPr>
          <w:p w:rsidR="00364829" w:rsidRPr="008A02E4" w:rsidRDefault="00364829" w:rsidP="00F8792B">
            <w:pPr>
              <w:rPr>
                <w:rFonts w:eastAsia="Times New Roman" w:cs="Calibri"/>
                <w:b/>
                <w:bCs/>
                <w:color w:val="53565A"/>
                <w:sz w:val="20"/>
                <w:szCs w:val="20"/>
                <w:lang w:eastAsia="en-AU"/>
              </w:rPr>
            </w:pPr>
            <w:r w:rsidRPr="008A02E4">
              <w:rPr>
                <w:rFonts w:eastAsia="Times New Roman" w:cs="Calibri"/>
                <w:b/>
                <w:bCs/>
                <w:color w:val="53565A"/>
                <w:sz w:val="20"/>
                <w:szCs w:val="20"/>
                <w:lang w:eastAsia="en-AU"/>
              </w:rPr>
              <w:t>Category of participant</w:t>
            </w:r>
          </w:p>
        </w:tc>
        <w:tc>
          <w:tcPr>
            <w:tcW w:w="1948"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One-off cost</w:t>
            </w:r>
          </w:p>
        </w:tc>
        <w:tc>
          <w:tcPr>
            <w:tcW w:w="1454"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Annual cost</w:t>
            </w:r>
          </w:p>
        </w:tc>
        <w:tc>
          <w:tcPr>
            <w:tcW w:w="1379" w:type="dxa"/>
            <w:tcBorders>
              <w:top w:val="single" w:sz="4" w:space="0" w:color="1F4E78"/>
              <w:left w:val="nil"/>
              <w:bottom w:val="double" w:sz="6" w:space="0" w:color="1F4E78"/>
              <w:right w:val="nil"/>
            </w:tcBorders>
            <w:shd w:val="clear" w:color="000000" w:fill="FFFFFF"/>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10-year PV cost</w:t>
            </w:r>
          </w:p>
        </w:tc>
        <w:tc>
          <w:tcPr>
            <w:tcW w:w="1338" w:type="dxa"/>
            <w:tcBorders>
              <w:top w:val="single" w:sz="4" w:space="0" w:color="1F4E78"/>
              <w:left w:val="nil"/>
              <w:bottom w:val="double" w:sz="6" w:space="0" w:color="1F4E78"/>
              <w:right w:val="nil"/>
            </w:tcBorders>
            <w:shd w:val="clear" w:color="auto" w:fill="DBE5F1" w:themeFill="accent1" w:themeFillTint="33"/>
            <w:vAlign w:val="center"/>
            <w:hideMark/>
          </w:tcPr>
          <w:p w:rsidR="00364829" w:rsidRPr="008A02E4" w:rsidRDefault="00364829" w:rsidP="00503B24">
            <w:pPr>
              <w:jc w:val="center"/>
              <w:rPr>
                <w:rFonts w:eastAsia="Times New Roman" w:cs="Calibri"/>
                <w:b/>
                <w:bCs/>
                <w:color w:val="53565A"/>
                <w:sz w:val="20"/>
                <w:szCs w:val="20"/>
                <w:lang w:eastAsia="en-AU"/>
              </w:rPr>
            </w:pPr>
            <w:r w:rsidRPr="008A02E4">
              <w:rPr>
                <w:rFonts w:eastAsia="Times New Roman" w:cs="Calibri"/>
                <w:b/>
                <w:bCs/>
                <w:color w:val="53565A"/>
                <w:sz w:val="20"/>
                <w:szCs w:val="20"/>
                <w:lang w:eastAsia="en-AU"/>
              </w:rPr>
              <w:t>% of 10-year PV cost</w:t>
            </w:r>
          </w:p>
        </w:tc>
      </w:tr>
      <w:tr w:rsidR="0039120B" w:rsidRPr="00B13AD8" w:rsidTr="00503B24">
        <w:trPr>
          <w:trHeight w:val="255"/>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Large breeder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$470,131</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$1,018,964</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$9,065,428</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8.21%</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Small breeder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$6,569,136</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$1,944,948</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$22,975,420</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20.81%</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Large trainer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$1,357,326</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$131,645</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$2,467,794</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2.24%</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Small trainer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$10,801,430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$2,522,101</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$32,076,188</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29.05%</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Large owner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$67,902</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$572,776</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0.52%</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Small owner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$2,648,428</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$22,340,370</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20.23%</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GAP</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$157,749</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$1,330,669</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1.21%</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GRV</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$146,407</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$2,289,466</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$19,587,047</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17.74%</w:t>
            </w:r>
          </w:p>
        </w:tc>
      </w:tr>
      <w:tr w:rsidR="0039120B" w:rsidRPr="008A02E4" w:rsidTr="00503B24">
        <w:trPr>
          <w:trHeight w:val="240"/>
          <w:jc w:val="center"/>
        </w:trPr>
        <w:tc>
          <w:tcPr>
            <w:tcW w:w="1668" w:type="dxa"/>
            <w:tcBorders>
              <w:top w:val="single" w:sz="4" w:space="0" w:color="1F4E78"/>
              <w:left w:val="nil"/>
              <w:bottom w:val="single" w:sz="4" w:space="0" w:color="1F4E78"/>
              <w:right w:val="nil"/>
            </w:tcBorders>
            <w:shd w:val="clear" w:color="000000" w:fill="FFFFFF"/>
            <w:noWrap/>
            <w:vAlign w:val="bottom"/>
            <w:hideMark/>
          </w:tcPr>
          <w:p w:rsidR="0039120B" w:rsidRPr="008A02E4" w:rsidRDefault="0039120B" w:rsidP="0039120B">
            <w:pPr>
              <w:rPr>
                <w:rFonts w:eastAsia="Times New Roman" w:cs="Calibri"/>
                <w:b/>
                <w:bCs/>
                <w:color w:val="53565A"/>
                <w:sz w:val="18"/>
                <w:szCs w:val="18"/>
                <w:lang w:eastAsia="en-AU"/>
              </w:rPr>
            </w:pPr>
            <w:r w:rsidRPr="008A02E4">
              <w:rPr>
                <w:rFonts w:eastAsia="Times New Roman" w:cs="Calibri"/>
                <w:b/>
                <w:bCs/>
                <w:color w:val="53565A"/>
                <w:sz w:val="18"/>
                <w:szCs w:val="18"/>
                <w:lang w:eastAsia="en-AU"/>
              </w:rPr>
              <w:t>Total costs</w:t>
            </w:r>
          </w:p>
        </w:tc>
        <w:tc>
          <w:tcPr>
            <w:tcW w:w="1948" w:type="dxa"/>
            <w:tcBorders>
              <w:top w:val="single" w:sz="4" w:space="0" w:color="1F4E78"/>
              <w:left w:val="nil"/>
              <w:bottom w:val="single" w:sz="4" w:space="0" w:color="1F4E78"/>
              <w:right w:val="nil"/>
            </w:tcBorders>
            <w:shd w:val="clear" w:color="000000" w:fill="FFFFFF"/>
            <w:noWrap/>
            <w:vAlign w:val="bottom"/>
            <w:hideMark/>
          </w:tcPr>
          <w:p w:rsidR="0039120B" w:rsidRPr="008A02E4" w:rsidRDefault="0039120B" w:rsidP="0039120B">
            <w:pPr>
              <w:jc w:val="right"/>
              <w:rPr>
                <w:rFonts w:eastAsia="Times New Roman" w:cs="Calibri"/>
                <w:b/>
                <w:bCs/>
                <w:color w:val="53565A"/>
                <w:sz w:val="18"/>
                <w:szCs w:val="18"/>
                <w:lang w:eastAsia="en-AU"/>
              </w:rPr>
            </w:pPr>
            <w:r w:rsidRPr="008A02E4">
              <w:rPr>
                <w:rFonts w:cs="Calibri"/>
                <w:b/>
                <w:bCs/>
                <w:color w:val="53565A"/>
                <w:sz w:val="18"/>
                <w:szCs w:val="18"/>
              </w:rPr>
              <w:t>$19,344,431</w:t>
            </w:r>
          </w:p>
        </w:tc>
        <w:tc>
          <w:tcPr>
            <w:tcW w:w="1454" w:type="dxa"/>
            <w:tcBorders>
              <w:top w:val="single" w:sz="4" w:space="0" w:color="1F4E78"/>
              <w:left w:val="nil"/>
              <w:bottom w:val="single" w:sz="4" w:space="0" w:color="1F4E78"/>
              <w:right w:val="nil"/>
            </w:tcBorders>
            <w:shd w:val="clear" w:color="000000" w:fill="FFFFFF"/>
            <w:noWrap/>
            <w:vAlign w:val="bottom"/>
            <w:hideMark/>
          </w:tcPr>
          <w:p w:rsidR="0039120B" w:rsidRPr="008A02E4" w:rsidRDefault="0039120B" w:rsidP="0039120B">
            <w:pPr>
              <w:jc w:val="right"/>
              <w:rPr>
                <w:rFonts w:eastAsia="Times New Roman" w:cs="Calibri"/>
                <w:b/>
                <w:bCs/>
                <w:color w:val="53565A"/>
                <w:sz w:val="18"/>
                <w:szCs w:val="18"/>
                <w:lang w:eastAsia="en-AU"/>
              </w:rPr>
            </w:pPr>
            <w:r w:rsidRPr="008A02E4">
              <w:rPr>
                <w:rFonts w:cs="Calibri"/>
                <w:b/>
                <w:bCs/>
                <w:color w:val="53565A"/>
                <w:sz w:val="18"/>
                <w:szCs w:val="18"/>
              </w:rPr>
              <w:t>$10,781,203</w:t>
            </w:r>
          </w:p>
        </w:tc>
        <w:tc>
          <w:tcPr>
            <w:tcW w:w="1379" w:type="dxa"/>
            <w:tcBorders>
              <w:top w:val="single" w:sz="4" w:space="0" w:color="1F4E78"/>
              <w:left w:val="nil"/>
              <w:bottom w:val="single" w:sz="4" w:space="0" w:color="1F4E78"/>
              <w:right w:val="nil"/>
            </w:tcBorders>
            <w:shd w:val="clear" w:color="000000" w:fill="FFFFFF"/>
            <w:noWrap/>
            <w:vAlign w:val="bottom"/>
            <w:hideMark/>
          </w:tcPr>
          <w:p w:rsidR="0039120B" w:rsidRPr="008A02E4" w:rsidRDefault="0039120B" w:rsidP="0039120B">
            <w:pPr>
              <w:jc w:val="right"/>
              <w:rPr>
                <w:rFonts w:eastAsia="Times New Roman" w:cs="Calibri"/>
                <w:b/>
                <w:bCs/>
                <w:color w:val="53565A"/>
                <w:sz w:val="18"/>
                <w:szCs w:val="18"/>
                <w:lang w:eastAsia="en-AU"/>
              </w:rPr>
            </w:pPr>
            <w:r w:rsidRPr="008A02E4">
              <w:rPr>
                <w:rFonts w:cs="Calibri"/>
                <w:b/>
                <w:bCs/>
                <w:color w:val="53565A"/>
                <w:sz w:val="18"/>
                <w:szCs w:val="18"/>
              </w:rPr>
              <w:t>$110,415,692</w:t>
            </w:r>
          </w:p>
        </w:tc>
        <w:tc>
          <w:tcPr>
            <w:tcW w:w="1338" w:type="dxa"/>
            <w:tcBorders>
              <w:top w:val="single" w:sz="4" w:space="0" w:color="1F4E78"/>
              <w:left w:val="nil"/>
              <w:bottom w:val="single" w:sz="4" w:space="0" w:color="1F4E78"/>
              <w:right w:val="nil"/>
            </w:tcBorders>
            <w:shd w:val="clear" w:color="auto" w:fill="DBE5F1" w:themeFill="accent1" w:themeFillTint="33"/>
            <w:noWrap/>
            <w:vAlign w:val="bottom"/>
            <w:hideMark/>
          </w:tcPr>
          <w:p w:rsidR="0039120B" w:rsidRPr="008A02E4" w:rsidRDefault="0039120B" w:rsidP="0039120B">
            <w:pPr>
              <w:jc w:val="right"/>
              <w:rPr>
                <w:rFonts w:eastAsia="Times New Roman" w:cs="Calibri"/>
                <w:b/>
                <w:bCs/>
                <w:color w:val="53565A"/>
                <w:sz w:val="18"/>
                <w:szCs w:val="18"/>
                <w:lang w:eastAsia="en-AU"/>
              </w:rPr>
            </w:pPr>
            <w:r w:rsidRPr="008A02E4">
              <w:rPr>
                <w:rFonts w:cs="Calibri"/>
                <w:b/>
                <w:bCs/>
                <w:color w:val="53565A"/>
                <w:sz w:val="18"/>
                <w:szCs w:val="18"/>
              </w:rPr>
              <w:t>100.00%</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Large owner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-$41,617</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-$351,056</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1.46%</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Small owner</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-$1,622,918</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-$13,689,847</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56.91%</w:t>
            </w:r>
          </w:p>
        </w:tc>
      </w:tr>
      <w:tr w:rsidR="0039120B" w:rsidRPr="00B13AD8" w:rsidTr="00503B24">
        <w:trPr>
          <w:trHeight w:val="240"/>
          <w:jc w:val="center"/>
        </w:trPr>
        <w:tc>
          <w:tcPr>
            <w:tcW w:w="1668" w:type="dxa"/>
            <w:tcBorders>
              <w:top w:val="nil"/>
              <w:left w:val="nil"/>
              <w:bottom w:val="nil"/>
              <w:right w:val="nil"/>
            </w:tcBorders>
            <w:shd w:val="clear" w:color="000000" w:fill="FFFFFF"/>
            <w:noWrap/>
            <w:vAlign w:val="bottom"/>
            <w:hideMark/>
          </w:tcPr>
          <w:p w:rsidR="0039120B" w:rsidRPr="00B13AD8" w:rsidRDefault="0039120B" w:rsidP="0039120B">
            <w:pPr>
              <w:rPr>
                <w:rFonts w:eastAsia="Times New Roman" w:cs="Calibri"/>
                <w:sz w:val="18"/>
                <w:szCs w:val="18"/>
                <w:lang w:eastAsia="en-AU"/>
              </w:rPr>
            </w:pPr>
            <w:r w:rsidRPr="00B13AD8">
              <w:rPr>
                <w:rFonts w:eastAsia="Times New Roman" w:cs="Calibri"/>
                <w:sz w:val="18"/>
                <w:szCs w:val="18"/>
                <w:lang w:eastAsia="en-AU"/>
              </w:rPr>
              <w:t>GAP</w:t>
            </w:r>
          </w:p>
        </w:tc>
        <w:tc>
          <w:tcPr>
            <w:tcW w:w="1948"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$0</w:t>
            </w:r>
          </w:p>
        </w:tc>
        <w:tc>
          <w:tcPr>
            <w:tcW w:w="1454"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-$1,187,075</w:t>
            </w:r>
          </w:p>
        </w:tc>
        <w:tc>
          <w:tcPr>
            <w:tcW w:w="1379" w:type="dxa"/>
            <w:tcBorders>
              <w:top w:val="nil"/>
              <w:left w:val="nil"/>
              <w:bottom w:val="nil"/>
              <w:right w:val="nil"/>
            </w:tcBorders>
            <w:shd w:val="clear" w:color="000000" w:fill="FFFFFF"/>
            <w:noWrap/>
            <w:vAlign w:val="bottom"/>
            <w:hideMark/>
          </w:tcPr>
          <w:p w:rsidR="0039120B" w:rsidRPr="00B13AD8" w:rsidRDefault="0039120B" w:rsidP="0039120B">
            <w:pPr>
              <w:jc w:val="right"/>
              <w:rPr>
                <w:rFonts w:eastAsia="Times New Roman" w:cs="Calibri"/>
                <w:color w:val="FF0000"/>
                <w:sz w:val="18"/>
                <w:szCs w:val="18"/>
                <w:lang w:eastAsia="en-AU"/>
              </w:rPr>
            </w:pPr>
            <w:r>
              <w:rPr>
                <w:rFonts w:cs="Calibri"/>
                <w:color w:val="FF0000"/>
                <w:sz w:val="18"/>
                <w:szCs w:val="18"/>
              </w:rPr>
              <w:t>-$10,013,368</w:t>
            </w:r>
          </w:p>
        </w:tc>
        <w:tc>
          <w:tcPr>
            <w:tcW w:w="1338" w:type="dxa"/>
            <w:tcBorders>
              <w:top w:val="nil"/>
              <w:left w:val="nil"/>
              <w:bottom w:val="nil"/>
              <w:right w:val="nil"/>
            </w:tcBorders>
            <w:shd w:val="clear" w:color="auto" w:fill="DBE5F1" w:themeFill="accent1" w:themeFillTint="33"/>
            <w:noWrap/>
            <w:vAlign w:val="bottom"/>
            <w:hideMark/>
          </w:tcPr>
          <w:p w:rsidR="0039120B" w:rsidRPr="00B13AD8" w:rsidRDefault="0039120B" w:rsidP="0039120B">
            <w:pPr>
              <w:jc w:val="right"/>
              <w:rPr>
                <w:rFonts w:eastAsia="Times New Roman" w:cs="Calibri"/>
                <w:sz w:val="18"/>
                <w:szCs w:val="18"/>
                <w:lang w:eastAsia="en-AU"/>
              </w:rPr>
            </w:pPr>
            <w:r>
              <w:rPr>
                <w:rFonts w:cs="Calibri"/>
                <w:sz w:val="18"/>
                <w:szCs w:val="18"/>
              </w:rPr>
              <w:t>41.63%</w:t>
            </w:r>
          </w:p>
        </w:tc>
      </w:tr>
      <w:tr w:rsidR="0039120B" w:rsidRPr="008A02E4" w:rsidTr="00503B24">
        <w:trPr>
          <w:trHeight w:val="240"/>
          <w:jc w:val="center"/>
        </w:trPr>
        <w:tc>
          <w:tcPr>
            <w:tcW w:w="1668" w:type="dxa"/>
            <w:tcBorders>
              <w:top w:val="single" w:sz="4" w:space="0" w:color="1F4E78"/>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rPr>
                <w:rFonts w:eastAsia="Times New Roman" w:cs="Calibri"/>
                <w:b/>
                <w:bCs/>
                <w:color w:val="1F4E78"/>
                <w:sz w:val="18"/>
                <w:szCs w:val="18"/>
                <w:lang w:eastAsia="en-AU"/>
              </w:rPr>
            </w:pPr>
            <w:r w:rsidRPr="008A02E4">
              <w:rPr>
                <w:rFonts w:eastAsia="Times New Roman" w:cs="Calibri"/>
                <w:b/>
                <w:bCs/>
                <w:color w:val="53565A"/>
                <w:sz w:val="18"/>
                <w:szCs w:val="18"/>
                <w:lang w:eastAsia="en-AU"/>
              </w:rPr>
              <w:t>Total cost savings</w:t>
            </w:r>
          </w:p>
        </w:tc>
        <w:tc>
          <w:tcPr>
            <w:tcW w:w="1948" w:type="dxa"/>
            <w:tcBorders>
              <w:top w:val="single" w:sz="4" w:space="0" w:color="1F4E78"/>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color w:val="FF0000"/>
                <w:sz w:val="18"/>
                <w:szCs w:val="18"/>
                <w:lang w:eastAsia="en-AU"/>
              </w:rPr>
            </w:pPr>
            <w:r>
              <w:rPr>
                <w:rFonts w:cs="Calibri"/>
                <w:b/>
                <w:bCs/>
                <w:color w:val="FF0000"/>
                <w:sz w:val="18"/>
                <w:szCs w:val="18"/>
              </w:rPr>
              <w:t>$0</w:t>
            </w:r>
          </w:p>
        </w:tc>
        <w:tc>
          <w:tcPr>
            <w:tcW w:w="1454" w:type="dxa"/>
            <w:tcBorders>
              <w:top w:val="single" w:sz="4" w:space="0" w:color="1F4E78"/>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color w:val="FF0000"/>
                <w:sz w:val="18"/>
                <w:szCs w:val="18"/>
                <w:lang w:eastAsia="en-AU"/>
              </w:rPr>
            </w:pPr>
            <w:r>
              <w:rPr>
                <w:rFonts w:cs="Calibri"/>
                <w:b/>
                <w:bCs/>
                <w:color w:val="FF0000"/>
                <w:sz w:val="18"/>
                <w:szCs w:val="18"/>
              </w:rPr>
              <w:t>-$2,851,609</w:t>
            </w:r>
          </w:p>
        </w:tc>
        <w:tc>
          <w:tcPr>
            <w:tcW w:w="1379" w:type="dxa"/>
            <w:tcBorders>
              <w:top w:val="single" w:sz="4" w:space="0" w:color="1F4E78"/>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color w:val="FF0000"/>
                <w:sz w:val="18"/>
                <w:szCs w:val="18"/>
                <w:lang w:eastAsia="en-AU"/>
              </w:rPr>
            </w:pPr>
            <w:r>
              <w:rPr>
                <w:rFonts w:cs="Calibri"/>
                <w:b/>
                <w:bCs/>
                <w:color w:val="FF0000"/>
                <w:sz w:val="18"/>
                <w:szCs w:val="18"/>
              </w:rPr>
              <w:t>-$24,054,271</w:t>
            </w:r>
          </w:p>
        </w:tc>
        <w:tc>
          <w:tcPr>
            <w:tcW w:w="1338"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39120B" w:rsidRPr="008A02E4" w:rsidRDefault="0039120B" w:rsidP="0039120B">
            <w:pPr>
              <w:jc w:val="right"/>
              <w:rPr>
                <w:rFonts w:eastAsia="Times New Roman" w:cs="Calibri"/>
                <w:b/>
                <w:bCs/>
                <w:color w:val="53565A"/>
                <w:sz w:val="18"/>
                <w:szCs w:val="18"/>
                <w:lang w:eastAsia="en-AU"/>
              </w:rPr>
            </w:pPr>
            <w:r w:rsidRPr="008A02E4">
              <w:rPr>
                <w:rFonts w:cs="Calibri"/>
                <w:b/>
                <w:bCs/>
                <w:color w:val="53565A"/>
                <w:sz w:val="18"/>
                <w:szCs w:val="18"/>
              </w:rPr>
              <w:t>100.00%</w:t>
            </w:r>
          </w:p>
        </w:tc>
      </w:tr>
      <w:tr w:rsidR="0039120B" w:rsidRPr="00B13AD8" w:rsidTr="00503B24">
        <w:trPr>
          <w:trHeight w:val="240"/>
          <w:jc w:val="center"/>
        </w:trPr>
        <w:tc>
          <w:tcPr>
            <w:tcW w:w="166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rPr>
                <w:rFonts w:eastAsia="Times New Roman" w:cs="Calibri"/>
                <w:b/>
                <w:bCs/>
                <w:i/>
                <w:iCs/>
                <w:sz w:val="18"/>
                <w:szCs w:val="18"/>
                <w:lang w:eastAsia="en-AU"/>
              </w:rPr>
            </w:pPr>
            <w:r w:rsidRPr="00B13AD8">
              <w:rPr>
                <w:rFonts w:eastAsia="Times New Roman" w:cs="Calibri"/>
                <w:b/>
                <w:bCs/>
                <w:i/>
                <w:iCs/>
                <w:sz w:val="18"/>
                <w:szCs w:val="18"/>
                <w:lang w:eastAsia="en-AU"/>
              </w:rPr>
              <w:t>Total net costs</w:t>
            </w:r>
          </w:p>
        </w:tc>
        <w:tc>
          <w:tcPr>
            <w:tcW w:w="194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i/>
                <w:iCs/>
                <w:sz w:val="18"/>
                <w:szCs w:val="18"/>
                <w:lang w:eastAsia="en-AU"/>
              </w:rPr>
            </w:pPr>
            <w:r>
              <w:rPr>
                <w:rFonts w:cs="Calibri"/>
                <w:b/>
                <w:bCs/>
                <w:i/>
                <w:iCs/>
                <w:sz w:val="18"/>
                <w:szCs w:val="18"/>
              </w:rPr>
              <w:t>$19,344,431</w:t>
            </w:r>
          </w:p>
        </w:tc>
        <w:tc>
          <w:tcPr>
            <w:tcW w:w="1454"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i/>
                <w:iCs/>
                <w:sz w:val="18"/>
                <w:szCs w:val="18"/>
                <w:lang w:eastAsia="en-AU"/>
              </w:rPr>
            </w:pPr>
            <w:r>
              <w:rPr>
                <w:rFonts w:cs="Calibri"/>
                <w:b/>
                <w:bCs/>
                <w:i/>
                <w:iCs/>
                <w:sz w:val="18"/>
                <w:szCs w:val="18"/>
              </w:rPr>
              <w:t>$7,929,594</w:t>
            </w:r>
          </w:p>
        </w:tc>
        <w:tc>
          <w:tcPr>
            <w:tcW w:w="137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39120B" w:rsidRPr="00B13AD8" w:rsidRDefault="0039120B" w:rsidP="0039120B">
            <w:pPr>
              <w:jc w:val="right"/>
              <w:rPr>
                <w:rFonts w:eastAsia="Times New Roman" w:cs="Calibri"/>
                <w:b/>
                <w:bCs/>
                <w:i/>
                <w:iCs/>
                <w:sz w:val="18"/>
                <w:szCs w:val="18"/>
                <w:lang w:eastAsia="en-AU"/>
              </w:rPr>
            </w:pPr>
            <w:r>
              <w:rPr>
                <w:rFonts w:cs="Calibri"/>
                <w:b/>
                <w:bCs/>
                <w:i/>
                <w:iCs/>
                <w:sz w:val="18"/>
                <w:szCs w:val="18"/>
              </w:rPr>
              <w:t>$86,361,421</w:t>
            </w:r>
          </w:p>
        </w:tc>
        <w:tc>
          <w:tcPr>
            <w:tcW w:w="1338"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39120B" w:rsidRPr="00B13AD8" w:rsidRDefault="0039120B" w:rsidP="0039120B">
            <w:pPr>
              <w:rPr>
                <w:rFonts w:eastAsia="Times New Roman" w:cs="Calibri"/>
                <w:b/>
                <w:bCs/>
                <w:i/>
                <w:iCs/>
                <w:sz w:val="18"/>
                <w:szCs w:val="18"/>
                <w:lang w:eastAsia="en-AU"/>
              </w:rPr>
            </w:pPr>
            <w:r>
              <w:rPr>
                <w:rFonts w:cs="Calibri"/>
                <w:b/>
                <w:bCs/>
                <w:i/>
                <w:iCs/>
                <w:sz w:val="18"/>
                <w:szCs w:val="18"/>
              </w:rPr>
              <w:t> </w:t>
            </w:r>
          </w:p>
        </w:tc>
      </w:tr>
    </w:tbl>
    <w:p w:rsidR="00C84AE5" w:rsidRDefault="00C84AE5" w:rsidP="005E307C">
      <w:pPr>
        <w:pStyle w:val="Heading3"/>
      </w:pPr>
      <w:bookmarkStart w:id="145" w:name="_Toc469529181"/>
    </w:p>
    <w:p w:rsidR="00B46847" w:rsidRPr="00430C30" w:rsidRDefault="00B46847" w:rsidP="005E307C">
      <w:pPr>
        <w:pStyle w:val="Heading3"/>
      </w:pPr>
      <w:bookmarkStart w:id="146" w:name="_Toc477190205"/>
      <w:r>
        <w:t>5.2.4 Multi-Criteria Analysis</w:t>
      </w:r>
      <w:bookmarkEnd w:id="145"/>
      <w:bookmarkEnd w:id="146"/>
      <w:r w:rsidR="006C7CE3">
        <w:t xml:space="preserve"> </w:t>
      </w:r>
    </w:p>
    <w:p w:rsidR="00585D8A" w:rsidRDefault="00826576" w:rsidP="008A02E4">
      <w:pPr>
        <w:rPr>
          <w:lang w:val="en-US"/>
        </w:rPr>
      </w:pPr>
      <w:r>
        <w:rPr>
          <w:lang w:val="en-US"/>
        </w:rPr>
        <w:t>Table 25</w:t>
      </w:r>
      <w:r w:rsidR="00585D8A">
        <w:rPr>
          <w:lang w:val="en-US"/>
        </w:rPr>
        <w:t xml:space="preserve">, </w:t>
      </w:r>
      <w:r w:rsidR="00585D8A" w:rsidRPr="00281E50">
        <w:t>su</w:t>
      </w:r>
      <w:r w:rsidRPr="00281E50">
        <w:t>mmarises</w:t>
      </w:r>
      <w:r>
        <w:rPr>
          <w:lang w:val="en-US"/>
        </w:rPr>
        <w:t xml:space="preserve"> the relative scores discussed in Sections 5.2.1 to 5.2.3 </w:t>
      </w:r>
      <w:r w:rsidR="00585D8A">
        <w:rPr>
          <w:lang w:val="en-US"/>
        </w:rPr>
        <w:t>as part of a multi-criteria analysis.</w:t>
      </w:r>
    </w:p>
    <w:p w:rsidR="00374180" w:rsidRPr="002876C0" w:rsidRDefault="00826576" w:rsidP="005F3125">
      <w:pPr>
        <w:pStyle w:val="BodyText1"/>
        <w:spacing w:after="120"/>
        <w:jc w:val="center"/>
        <w:rPr>
          <w:rFonts w:ascii="Calibri" w:hAnsi="Calibri"/>
          <w:b/>
          <w:sz w:val="20"/>
          <w:lang w:val="en-US"/>
        </w:rPr>
      </w:pPr>
      <w:r>
        <w:rPr>
          <w:rFonts w:ascii="Calibri" w:hAnsi="Calibri"/>
          <w:b/>
          <w:sz w:val="20"/>
          <w:lang w:val="en-US"/>
        </w:rPr>
        <w:t>Table 25</w:t>
      </w:r>
      <w:r w:rsidR="00620946" w:rsidRPr="002876C0">
        <w:rPr>
          <w:rFonts w:ascii="Calibri" w:hAnsi="Calibri"/>
          <w:b/>
          <w:sz w:val="20"/>
          <w:lang w:val="en-US"/>
        </w:rPr>
        <w:t>:</w:t>
      </w:r>
      <w:r w:rsidR="00585D8A" w:rsidRPr="002876C0">
        <w:rPr>
          <w:rFonts w:ascii="Calibri" w:hAnsi="Calibri"/>
          <w:b/>
          <w:sz w:val="20"/>
          <w:lang w:val="en-US"/>
        </w:rPr>
        <w:t xml:space="preserve"> Multi-Criteria analysis</w:t>
      </w:r>
    </w:p>
    <w:tbl>
      <w:tblPr>
        <w:tblW w:w="8200" w:type="dxa"/>
        <w:jc w:val="center"/>
        <w:tblLayout w:type="fixed"/>
        <w:tblLook w:val="04A0" w:firstRow="1" w:lastRow="0" w:firstColumn="1" w:lastColumn="0" w:noHBand="0" w:noVBand="1"/>
      </w:tblPr>
      <w:tblGrid>
        <w:gridCol w:w="1901"/>
        <w:gridCol w:w="1452"/>
        <w:gridCol w:w="608"/>
        <w:gridCol w:w="775"/>
        <w:gridCol w:w="709"/>
        <w:gridCol w:w="709"/>
        <w:gridCol w:w="709"/>
        <w:gridCol w:w="677"/>
        <w:gridCol w:w="660"/>
      </w:tblGrid>
      <w:tr w:rsidR="00E078DE" w:rsidRPr="008A02E4" w:rsidTr="00C357B6">
        <w:trPr>
          <w:trHeight w:val="184"/>
          <w:jc w:val="center"/>
        </w:trPr>
        <w:tc>
          <w:tcPr>
            <w:tcW w:w="1901" w:type="dxa"/>
            <w:tcBorders>
              <w:top w:val="single" w:sz="4" w:space="0" w:color="1F497D" w:themeColor="text2"/>
            </w:tcBorders>
          </w:tcPr>
          <w:p w:rsidR="00EE5542" w:rsidRPr="008A02E4" w:rsidRDefault="00EE5542" w:rsidP="005F3125">
            <w:pPr>
              <w:pStyle w:val="BodyText1"/>
              <w:spacing w:before="0" w:after="0"/>
              <w:jc w:val="left"/>
              <w:rPr>
                <w:rFonts w:ascii="Calibri" w:hAnsi="Calibri"/>
                <w:b/>
                <w:color w:val="53565A"/>
                <w:sz w:val="18"/>
                <w:szCs w:val="18"/>
                <w:lang w:val="en-US"/>
              </w:rPr>
            </w:pPr>
          </w:p>
        </w:tc>
        <w:tc>
          <w:tcPr>
            <w:tcW w:w="1452" w:type="dxa"/>
            <w:tcBorders>
              <w:top w:val="single" w:sz="4" w:space="0" w:color="1F497D" w:themeColor="text2"/>
            </w:tcBorders>
          </w:tcPr>
          <w:p w:rsidR="00EE5542" w:rsidRPr="008A02E4" w:rsidRDefault="00EE5542" w:rsidP="005F3125">
            <w:pPr>
              <w:pStyle w:val="BodyText1"/>
              <w:spacing w:before="0" w:after="0"/>
              <w:jc w:val="left"/>
              <w:rPr>
                <w:rFonts w:ascii="Calibri" w:hAnsi="Calibri"/>
                <w:b/>
                <w:color w:val="53565A"/>
                <w:sz w:val="18"/>
                <w:szCs w:val="18"/>
                <w:lang w:val="en-US"/>
              </w:rPr>
            </w:pPr>
          </w:p>
        </w:tc>
        <w:tc>
          <w:tcPr>
            <w:tcW w:w="608" w:type="dxa"/>
            <w:tcBorders>
              <w:top w:val="single" w:sz="4" w:space="0" w:color="1F497D" w:themeColor="text2"/>
            </w:tcBorders>
          </w:tcPr>
          <w:p w:rsidR="00EE5542" w:rsidRPr="008A02E4" w:rsidRDefault="00EE5542" w:rsidP="005F3125">
            <w:pPr>
              <w:pStyle w:val="BodyText1"/>
              <w:spacing w:before="0" w:after="0"/>
              <w:jc w:val="left"/>
              <w:rPr>
                <w:rFonts w:ascii="Calibri" w:hAnsi="Calibri"/>
                <w:b/>
                <w:color w:val="53565A"/>
                <w:sz w:val="18"/>
                <w:szCs w:val="18"/>
                <w:lang w:val="en-US"/>
              </w:rPr>
            </w:pPr>
          </w:p>
        </w:tc>
        <w:tc>
          <w:tcPr>
            <w:tcW w:w="4236" w:type="dxa"/>
            <w:gridSpan w:val="6"/>
            <w:tcBorders>
              <w:top w:val="single" w:sz="4" w:space="0" w:color="1F497D" w:themeColor="text2"/>
              <w:bottom w:val="single" w:sz="4" w:space="0" w:color="244061" w:themeColor="accent1" w:themeShade="80"/>
            </w:tcBorders>
          </w:tcPr>
          <w:p w:rsidR="00EE5542" w:rsidRPr="008A02E4" w:rsidRDefault="00EE5542" w:rsidP="00EE5542">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Option</w:t>
            </w:r>
          </w:p>
        </w:tc>
      </w:tr>
      <w:tr w:rsidR="00E078DE" w:rsidRPr="008A02E4" w:rsidTr="00C357B6">
        <w:trPr>
          <w:trHeight w:val="184"/>
          <w:jc w:val="center"/>
        </w:trPr>
        <w:tc>
          <w:tcPr>
            <w:tcW w:w="1901" w:type="dxa"/>
            <w:tcBorders>
              <w:bottom w:val="double" w:sz="4" w:space="0" w:color="4F81BD" w:themeColor="accent1"/>
            </w:tcBorders>
          </w:tcPr>
          <w:p w:rsidR="00EE5542" w:rsidRPr="008A02E4" w:rsidRDefault="00EE5542" w:rsidP="005F3125">
            <w:pPr>
              <w:pStyle w:val="BodyText1"/>
              <w:spacing w:before="0" w:after="0"/>
              <w:jc w:val="left"/>
              <w:rPr>
                <w:rFonts w:ascii="Calibri" w:hAnsi="Calibri"/>
                <w:b/>
                <w:color w:val="53565A"/>
                <w:sz w:val="18"/>
                <w:szCs w:val="18"/>
                <w:lang w:val="en-US"/>
              </w:rPr>
            </w:pPr>
            <w:r w:rsidRPr="008A02E4">
              <w:rPr>
                <w:rFonts w:ascii="Calibri" w:hAnsi="Calibri"/>
                <w:b/>
                <w:color w:val="53565A"/>
                <w:sz w:val="18"/>
                <w:szCs w:val="18"/>
                <w:lang w:val="en-US"/>
              </w:rPr>
              <w:t>Criterion</w:t>
            </w:r>
          </w:p>
          <w:p w:rsidR="00EE5542" w:rsidRPr="008A02E4" w:rsidRDefault="00EE5542" w:rsidP="005F3125">
            <w:pPr>
              <w:pStyle w:val="BodyText1"/>
              <w:spacing w:before="0" w:after="0"/>
              <w:jc w:val="left"/>
              <w:rPr>
                <w:rFonts w:ascii="Calibri" w:hAnsi="Calibri"/>
                <w:b/>
                <w:color w:val="53565A"/>
                <w:sz w:val="18"/>
                <w:szCs w:val="18"/>
                <w:lang w:val="en-US"/>
              </w:rPr>
            </w:pPr>
            <w:r w:rsidRPr="008A02E4">
              <w:rPr>
                <w:rFonts w:ascii="Calibri" w:hAnsi="Calibri"/>
                <w:b/>
                <w:color w:val="53565A"/>
                <w:sz w:val="18"/>
                <w:szCs w:val="18"/>
                <w:lang w:val="en-US"/>
              </w:rPr>
              <w:t>(Weighting)</w:t>
            </w:r>
          </w:p>
        </w:tc>
        <w:tc>
          <w:tcPr>
            <w:tcW w:w="1452" w:type="dxa"/>
            <w:tcBorders>
              <w:bottom w:val="double" w:sz="4" w:space="0" w:color="4F81BD" w:themeColor="accent1"/>
            </w:tcBorders>
          </w:tcPr>
          <w:p w:rsidR="00EE5542" w:rsidRPr="008A02E4" w:rsidRDefault="00EE5542" w:rsidP="005F3125">
            <w:pPr>
              <w:pStyle w:val="BodyText1"/>
              <w:spacing w:before="0" w:after="0"/>
              <w:jc w:val="left"/>
              <w:rPr>
                <w:rFonts w:ascii="Calibri" w:hAnsi="Calibri"/>
                <w:b/>
                <w:color w:val="53565A"/>
                <w:sz w:val="18"/>
                <w:szCs w:val="18"/>
                <w:lang w:val="en-US"/>
              </w:rPr>
            </w:pPr>
            <w:r w:rsidRPr="008A02E4">
              <w:rPr>
                <w:rFonts w:ascii="Calibri" w:hAnsi="Calibri"/>
                <w:b/>
                <w:color w:val="53565A"/>
                <w:sz w:val="18"/>
                <w:szCs w:val="18"/>
                <w:lang w:val="en-US"/>
              </w:rPr>
              <w:t>Score type</w:t>
            </w:r>
          </w:p>
        </w:tc>
        <w:tc>
          <w:tcPr>
            <w:tcW w:w="608" w:type="dxa"/>
            <w:tcBorders>
              <w:bottom w:val="double" w:sz="4" w:space="0" w:color="4F81BD" w:themeColor="accent1"/>
            </w:tcBorders>
          </w:tcPr>
          <w:p w:rsidR="00EE5542" w:rsidRPr="008A02E4" w:rsidRDefault="00EE5542" w:rsidP="005F3125">
            <w:pPr>
              <w:pStyle w:val="BodyText1"/>
              <w:spacing w:before="0" w:after="0"/>
              <w:jc w:val="left"/>
              <w:rPr>
                <w:rFonts w:ascii="Calibri" w:hAnsi="Calibri"/>
                <w:b/>
                <w:color w:val="53565A"/>
                <w:sz w:val="18"/>
                <w:szCs w:val="18"/>
                <w:lang w:val="en-US"/>
              </w:rPr>
            </w:pPr>
            <w:r w:rsidRPr="008A02E4">
              <w:rPr>
                <w:rFonts w:ascii="Calibri" w:hAnsi="Calibri"/>
                <w:b/>
                <w:color w:val="53565A"/>
                <w:sz w:val="18"/>
                <w:szCs w:val="18"/>
                <w:lang w:val="en-US"/>
              </w:rPr>
              <w:t>Base Case</w:t>
            </w:r>
          </w:p>
        </w:tc>
        <w:tc>
          <w:tcPr>
            <w:tcW w:w="775"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1</w:t>
            </w:r>
          </w:p>
        </w:tc>
        <w:tc>
          <w:tcPr>
            <w:tcW w:w="709"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2</w:t>
            </w:r>
          </w:p>
        </w:tc>
        <w:tc>
          <w:tcPr>
            <w:tcW w:w="709"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3</w:t>
            </w:r>
          </w:p>
        </w:tc>
        <w:tc>
          <w:tcPr>
            <w:tcW w:w="709"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4</w:t>
            </w:r>
          </w:p>
        </w:tc>
        <w:tc>
          <w:tcPr>
            <w:tcW w:w="677"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5</w:t>
            </w:r>
          </w:p>
        </w:tc>
        <w:tc>
          <w:tcPr>
            <w:tcW w:w="660" w:type="dxa"/>
            <w:tcBorders>
              <w:top w:val="single" w:sz="4" w:space="0" w:color="244061" w:themeColor="accent1" w:themeShade="80"/>
              <w:bottom w:val="double" w:sz="4" w:space="0" w:color="4F81BD" w:themeColor="accent1"/>
            </w:tcBorders>
            <w:vAlign w:val="center"/>
          </w:tcPr>
          <w:p w:rsidR="00EE5542" w:rsidRPr="008A02E4" w:rsidRDefault="00EE5542" w:rsidP="00C37EE6">
            <w:pPr>
              <w:pStyle w:val="BodyText1"/>
              <w:spacing w:before="0" w:after="0"/>
              <w:jc w:val="center"/>
              <w:rPr>
                <w:rFonts w:ascii="Calibri" w:hAnsi="Calibri"/>
                <w:b/>
                <w:color w:val="53565A"/>
                <w:sz w:val="18"/>
                <w:szCs w:val="18"/>
                <w:lang w:val="en-US"/>
              </w:rPr>
            </w:pPr>
            <w:r w:rsidRPr="008A02E4">
              <w:rPr>
                <w:rFonts w:ascii="Calibri" w:hAnsi="Calibri"/>
                <w:b/>
                <w:color w:val="53565A"/>
                <w:sz w:val="18"/>
                <w:szCs w:val="18"/>
                <w:lang w:val="en-US"/>
              </w:rPr>
              <w:t>6</w:t>
            </w:r>
          </w:p>
        </w:tc>
      </w:tr>
      <w:tr w:rsidR="002D1725" w:rsidTr="00C357B6">
        <w:trPr>
          <w:trHeight w:val="289"/>
          <w:jc w:val="center"/>
        </w:trPr>
        <w:tc>
          <w:tcPr>
            <w:tcW w:w="1901" w:type="dxa"/>
            <w:tcBorders>
              <w:top w:val="double" w:sz="4" w:space="0" w:color="4F81BD" w:themeColor="accent1"/>
            </w:tcBorders>
            <w:shd w:val="clear" w:color="auto" w:fill="DBE5F1" w:themeFill="accent1" w:themeFillTint="33"/>
            <w:vAlign w:val="center"/>
          </w:tcPr>
          <w:p w:rsidR="002D1725" w:rsidRPr="00415266" w:rsidRDefault="002D1725" w:rsidP="002D1725">
            <w:pPr>
              <w:pStyle w:val="BodyText1"/>
              <w:spacing w:before="0" w:after="0"/>
              <w:jc w:val="left"/>
              <w:rPr>
                <w:rFonts w:ascii="Calibri" w:hAnsi="Calibri"/>
                <w:b/>
                <w:sz w:val="18"/>
                <w:szCs w:val="18"/>
                <w:lang w:val="en-US"/>
              </w:rPr>
            </w:pPr>
            <w:r w:rsidRPr="00415266">
              <w:rPr>
                <w:rFonts w:ascii="Calibri" w:hAnsi="Calibri"/>
                <w:b/>
                <w:sz w:val="18"/>
                <w:szCs w:val="18"/>
                <w:lang w:val="en-US"/>
              </w:rPr>
              <w:t>Animal Welfare</w:t>
            </w:r>
          </w:p>
        </w:tc>
        <w:tc>
          <w:tcPr>
            <w:tcW w:w="1452" w:type="dxa"/>
            <w:tcBorders>
              <w:top w:val="double" w:sz="4" w:space="0" w:color="4F81BD" w:themeColor="accent1"/>
            </w:tcBorders>
            <w:shd w:val="clear" w:color="auto" w:fill="DBE5F1" w:themeFill="accent1" w:themeFillTint="33"/>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+0.4</w:t>
            </w:r>
          </w:p>
        </w:tc>
        <w:tc>
          <w:tcPr>
            <w:tcW w:w="709"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+2.6</w:t>
            </w:r>
          </w:p>
        </w:tc>
        <w:tc>
          <w:tcPr>
            <w:tcW w:w="709"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+10.0</w:t>
            </w:r>
          </w:p>
        </w:tc>
        <w:tc>
          <w:tcPr>
            <w:tcW w:w="709"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+6.3</w:t>
            </w:r>
          </w:p>
        </w:tc>
        <w:tc>
          <w:tcPr>
            <w:tcW w:w="677"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+8.0</w:t>
            </w:r>
          </w:p>
        </w:tc>
        <w:tc>
          <w:tcPr>
            <w:tcW w:w="660" w:type="dxa"/>
            <w:tcBorders>
              <w:top w:val="doub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w:t>
            </w:r>
            <w:r w:rsidR="00C84AE5">
              <w:rPr>
                <w:rFonts w:ascii="Calibri" w:hAnsi="Calibri" w:cs="Calibri"/>
                <w:color w:val="000000"/>
                <w:sz w:val="18"/>
                <w:szCs w:val="18"/>
              </w:rPr>
              <w:t>7</w:t>
            </w:r>
            <w:r>
              <w:rPr>
                <w:rFonts w:ascii="Calibri" w:hAnsi="Calibri" w:cs="Calibri"/>
                <w:color w:val="000000"/>
                <w:sz w:val="18"/>
                <w:szCs w:val="18"/>
              </w:rPr>
              <w:t>.0</w:t>
            </w:r>
          </w:p>
        </w:tc>
      </w:tr>
      <w:tr w:rsidR="002D1725" w:rsidTr="00C357B6">
        <w:trPr>
          <w:trHeight w:val="383"/>
          <w:jc w:val="center"/>
        </w:trPr>
        <w:tc>
          <w:tcPr>
            <w:tcW w:w="1901" w:type="dxa"/>
            <w:shd w:val="clear" w:color="auto" w:fill="DBE5F1" w:themeFill="accent1" w:themeFillTint="33"/>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(25%)</w:t>
            </w:r>
          </w:p>
        </w:tc>
        <w:tc>
          <w:tcPr>
            <w:tcW w:w="1452" w:type="dxa"/>
            <w:shd w:val="clear" w:color="auto" w:fill="DBE5F1" w:themeFill="accent1" w:themeFillTint="33"/>
            <w:vAlign w:val="center"/>
          </w:tcPr>
          <w:p w:rsidR="002D1725" w:rsidRPr="00415266" w:rsidRDefault="002D1725" w:rsidP="002D1725">
            <w:pPr>
              <w:pStyle w:val="BodyText1"/>
              <w:spacing w:before="0" w:after="0"/>
              <w:jc w:val="left"/>
              <w:rPr>
                <w:rFonts w:ascii="Calibri" w:hAnsi="Calibri"/>
                <w:b/>
                <w:i/>
                <w:sz w:val="18"/>
                <w:szCs w:val="18"/>
                <w:lang w:val="en-US"/>
              </w:rPr>
            </w:pPr>
            <w:r w:rsidRPr="00415266">
              <w:rPr>
                <w:rFonts w:ascii="Calibri" w:hAnsi="Calibri"/>
                <w:b/>
                <w:i/>
                <w:sz w:val="18"/>
                <w:szCs w:val="18"/>
                <w:lang w:val="en-US"/>
              </w:rPr>
              <w:t>Weighted score</w:t>
            </w:r>
          </w:p>
        </w:tc>
        <w:tc>
          <w:tcPr>
            <w:tcW w:w="608" w:type="dxa"/>
            <w:shd w:val="clear" w:color="auto" w:fill="DBE5F1" w:themeFill="accent1" w:themeFillTint="33"/>
            <w:vAlign w:val="center"/>
          </w:tcPr>
          <w:p w:rsidR="002D1725" w:rsidRPr="00503B24" w:rsidRDefault="002D1725" w:rsidP="002D1725">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+0.1</w:t>
            </w:r>
          </w:p>
        </w:tc>
        <w:tc>
          <w:tcPr>
            <w:tcW w:w="709"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+0.7</w:t>
            </w:r>
          </w:p>
        </w:tc>
        <w:tc>
          <w:tcPr>
            <w:tcW w:w="709"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+1.6</w:t>
            </w:r>
          </w:p>
        </w:tc>
        <w:tc>
          <w:tcPr>
            <w:tcW w:w="677"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+2.0</w:t>
            </w:r>
          </w:p>
        </w:tc>
        <w:tc>
          <w:tcPr>
            <w:tcW w:w="660" w:type="dxa"/>
            <w:shd w:val="clear" w:color="auto" w:fill="DBE5F1" w:themeFill="accent1" w:themeFillTint="33"/>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+1.</w:t>
            </w:r>
            <w:r w:rsidR="00C84AE5">
              <w:rPr>
                <w:rFonts w:ascii="Calibri" w:hAnsi="Calibri" w:cs="Calibri"/>
                <w:b/>
                <w:bCs/>
                <w:color w:val="000000"/>
                <w:sz w:val="18"/>
                <w:szCs w:val="18"/>
              </w:rPr>
              <w:t>8</w:t>
            </w:r>
          </w:p>
        </w:tc>
      </w:tr>
      <w:tr w:rsidR="002D1725" w:rsidTr="00C357B6">
        <w:trPr>
          <w:trHeight w:val="273"/>
          <w:jc w:val="center"/>
        </w:trPr>
        <w:tc>
          <w:tcPr>
            <w:tcW w:w="1901" w:type="dxa"/>
            <w:vAlign w:val="center"/>
          </w:tcPr>
          <w:p w:rsidR="002D1725" w:rsidRPr="00415266" w:rsidRDefault="002D1725" w:rsidP="002D1725">
            <w:pPr>
              <w:pStyle w:val="BodyText1"/>
              <w:spacing w:before="0" w:after="0"/>
              <w:jc w:val="left"/>
              <w:rPr>
                <w:rFonts w:ascii="Calibri" w:hAnsi="Calibri"/>
                <w:b/>
                <w:sz w:val="18"/>
                <w:szCs w:val="18"/>
                <w:lang w:val="en-US"/>
              </w:rPr>
            </w:pPr>
            <w:r w:rsidRPr="00415266">
              <w:rPr>
                <w:rFonts w:ascii="Calibri" w:hAnsi="Calibri"/>
                <w:b/>
                <w:sz w:val="18"/>
                <w:szCs w:val="18"/>
                <w:lang w:val="en-US"/>
              </w:rPr>
              <w:t>Rehoming potential</w:t>
            </w:r>
          </w:p>
        </w:tc>
        <w:tc>
          <w:tcPr>
            <w:tcW w:w="1452" w:type="dxa"/>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vAlign w:val="center"/>
          </w:tcPr>
          <w:p w:rsidR="002D1725" w:rsidRPr="00FC0BC1" w:rsidRDefault="002D1725" w:rsidP="002D1725">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+0.7</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+2.9</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+10.0</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+6.4</w:t>
            </w:r>
          </w:p>
        </w:tc>
        <w:tc>
          <w:tcPr>
            <w:tcW w:w="677" w:type="dxa"/>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+10.0</w:t>
            </w:r>
          </w:p>
        </w:tc>
        <w:tc>
          <w:tcPr>
            <w:tcW w:w="660" w:type="dxa"/>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+5.2</w:t>
            </w:r>
          </w:p>
        </w:tc>
      </w:tr>
      <w:tr w:rsidR="002D1725" w:rsidTr="00C357B6">
        <w:trPr>
          <w:trHeight w:val="332"/>
          <w:jc w:val="center"/>
        </w:trPr>
        <w:tc>
          <w:tcPr>
            <w:tcW w:w="1901" w:type="dxa"/>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(25%)</w:t>
            </w:r>
          </w:p>
        </w:tc>
        <w:tc>
          <w:tcPr>
            <w:tcW w:w="1452" w:type="dxa"/>
            <w:vAlign w:val="center"/>
          </w:tcPr>
          <w:p w:rsidR="002D1725" w:rsidRPr="00415266" w:rsidRDefault="002D1725" w:rsidP="002D1725">
            <w:pPr>
              <w:pStyle w:val="BodyText1"/>
              <w:spacing w:before="0" w:after="0"/>
              <w:jc w:val="left"/>
              <w:rPr>
                <w:rFonts w:ascii="Calibri" w:hAnsi="Calibri"/>
                <w:b/>
                <w:sz w:val="18"/>
                <w:szCs w:val="18"/>
                <w:lang w:val="en-US"/>
              </w:rPr>
            </w:pPr>
            <w:r w:rsidRPr="00415266">
              <w:rPr>
                <w:rFonts w:ascii="Calibri" w:hAnsi="Calibri"/>
                <w:b/>
                <w:i/>
                <w:sz w:val="18"/>
                <w:szCs w:val="18"/>
                <w:lang w:val="en-US"/>
              </w:rPr>
              <w:t>Weighted score</w:t>
            </w:r>
          </w:p>
        </w:tc>
        <w:tc>
          <w:tcPr>
            <w:tcW w:w="608" w:type="dxa"/>
            <w:vAlign w:val="center"/>
          </w:tcPr>
          <w:p w:rsidR="002D1725" w:rsidRPr="00503B24" w:rsidRDefault="002D1725" w:rsidP="002D1725">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+0.2</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+0.7</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+1.6</w:t>
            </w:r>
          </w:p>
        </w:tc>
        <w:tc>
          <w:tcPr>
            <w:tcW w:w="677" w:type="dxa"/>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+2.5</w:t>
            </w:r>
          </w:p>
        </w:tc>
        <w:tc>
          <w:tcPr>
            <w:tcW w:w="660" w:type="dxa"/>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+1.3</w:t>
            </w:r>
          </w:p>
        </w:tc>
      </w:tr>
      <w:tr w:rsidR="002D1725" w:rsidTr="00C357B6">
        <w:trPr>
          <w:trHeight w:val="180"/>
          <w:jc w:val="center"/>
        </w:trPr>
        <w:tc>
          <w:tcPr>
            <w:tcW w:w="1901" w:type="dxa"/>
            <w:vAlign w:val="center"/>
          </w:tcPr>
          <w:p w:rsidR="002D1725" w:rsidRPr="00415266" w:rsidRDefault="002D1725" w:rsidP="002D1725">
            <w:pPr>
              <w:pStyle w:val="BodyText1"/>
              <w:spacing w:before="0" w:after="0"/>
              <w:jc w:val="left"/>
              <w:rPr>
                <w:rFonts w:ascii="Calibri" w:hAnsi="Calibri"/>
                <w:b/>
                <w:sz w:val="18"/>
                <w:szCs w:val="18"/>
                <w:lang w:val="en-US"/>
              </w:rPr>
            </w:pPr>
            <w:r w:rsidRPr="00415266">
              <w:rPr>
                <w:rFonts w:ascii="Calibri" w:hAnsi="Calibri"/>
                <w:b/>
                <w:sz w:val="18"/>
                <w:szCs w:val="18"/>
                <w:lang w:val="en-US"/>
              </w:rPr>
              <w:t>Net cost to industry and government</w:t>
            </w:r>
          </w:p>
        </w:tc>
        <w:tc>
          <w:tcPr>
            <w:tcW w:w="1452" w:type="dxa"/>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Assigned score</w:t>
            </w:r>
          </w:p>
        </w:tc>
        <w:tc>
          <w:tcPr>
            <w:tcW w:w="608" w:type="dxa"/>
            <w:vAlign w:val="center"/>
          </w:tcPr>
          <w:p w:rsidR="002D1725" w:rsidRPr="00FC0BC1" w:rsidRDefault="002D1725" w:rsidP="002D1725">
            <w:pPr>
              <w:pStyle w:val="BodyText1"/>
              <w:spacing w:before="0" w:after="0"/>
              <w:jc w:val="left"/>
              <w:rPr>
                <w:rFonts w:asciiTheme="majorHAnsi" w:hAnsiTheme="majorHAnsi"/>
                <w:b/>
                <w:sz w:val="18"/>
                <w:szCs w:val="18"/>
                <w:lang w:val="en-US"/>
              </w:rPr>
            </w:pPr>
            <w:r w:rsidRPr="00FC0BC1">
              <w:rPr>
                <w:rFonts w:asciiTheme="majorHAnsi" w:hAnsiTheme="majorHAnsi"/>
                <w:sz w:val="18"/>
                <w:szCs w:val="18"/>
              </w:rPr>
              <w:t>0.00</w:t>
            </w:r>
          </w:p>
        </w:tc>
        <w:tc>
          <w:tcPr>
            <w:tcW w:w="775"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+0.3</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-1.5</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-5.0</w:t>
            </w:r>
          </w:p>
        </w:tc>
        <w:tc>
          <w:tcPr>
            <w:tcW w:w="709" w:type="dxa"/>
            <w:vAlign w:val="center"/>
          </w:tcPr>
          <w:p w:rsidR="002D1725" w:rsidRPr="00FC0BC1" w:rsidRDefault="002D1725" w:rsidP="002D1725">
            <w:pPr>
              <w:pStyle w:val="BodyText1"/>
              <w:spacing w:before="0" w:after="0"/>
              <w:jc w:val="center"/>
              <w:rPr>
                <w:rFonts w:asciiTheme="majorHAnsi" w:hAnsiTheme="majorHAnsi"/>
                <w:b/>
                <w:sz w:val="18"/>
                <w:szCs w:val="18"/>
                <w:lang w:val="en-US"/>
              </w:rPr>
            </w:pPr>
            <w:r>
              <w:rPr>
                <w:rFonts w:ascii="Calibri" w:hAnsi="Calibri" w:cs="Calibri"/>
                <w:color w:val="000000"/>
                <w:sz w:val="18"/>
                <w:szCs w:val="18"/>
              </w:rPr>
              <w:t>-2.6</w:t>
            </w:r>
          </w:p>
        </w:tc>
        <w:tc>
          <w:tcPr>
            <w:tcW w:w="677" w:type="dxa"/>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-4.3</w:t>
            </w:r>
          </w:p>
        </w:tc>
        <w:tc>
          <w:tcPr>
            <w:tcW w:w="660" w:type="dxa"/>
            <w:vAlign w:val="center"/>
          </w:tcPr>
          <w:p w:rsidR="002D1725" w:rsidRPr="00FC0BC1" w:rsidRDefault="002D1725" w:rsidP="002D1725">
            <w:pPr>
              <w:pStyle w:val="BodyText1"/>
              <w:spacing w:before="0" w:after="0"/>
              <w:jc w:val="center"/>
              <w:rPr>
                <w:rFonts w:asciiTheme="majorHAnsi" w:hAnsiTheme="majorHAnsi"/>
                <w:sz w:val="18"/>
                <w:szCs w:val="18"/>
              </w:rPr>
            </w:pPr>
            <w:r>
              <w:rPr>
                <w:rFonts w:ascii="Calibri" w:hAnsi="Calibri" w:cs="Calibri"/>
                <w:color w:val="000000"/>
                <w:sz w:val="18"/>
                <w:szCs w:val="18"/>
              </w:rPr>
              <w:t>-3.7</w:t>
            </w:r>
          </w:p>
        </w:tc>
      </w:tr>
      <w:tr w:rsidR="002D1725" w:rsidTr="00C357B6">
        <w:trPr>
          <w:trHeight w:val="385"/>
          <w:jc w:val="center"/>
        </w:trPr>
        <w:tc>
          <w:tcPr>
            <w:tcW w:w="1901" w:type="dxa"/>
            <w:vAlign w:val="center"/>
          </w:tcPr>
          <w:p w:rsidR="002D1725" w:rsidRPr="00415266" w:rsidRDefault="002D1725" w:rsidP="002D1725">
            <w:pPr>
              <w:pStyle w:val="BodyText1"/>
              <w:spacing w:before="0" w:after="0"/>
              <w:jc w:val="left"/>
              <w:rPr>
                <w:rFonts w:ascii="Calibri" w:hAnsi="Calibri"/>
                <w:sz w:val="18"/>
                <w:szCs w:val="18"/>
                <w:lang w:val="en-US"/>
              </w:rPr>
            </w:pPr>
            <w:r w:rsidRPr="00415266">
              <w:rPr>
                <w:rFonts w:ascii="Calibri" w:hAnsi="Calibri"/>
                <w:sz w:val="18"/>
                <w:szCs w:val="18"/>
                <w:lang w:val="en-US"/>
              </w:rPr>
              <w:t>(50%)</w:t>
            </w:r>
          </w:p>
        </w:tc>
        <w:tc>
          <w:tcPr>
            <w:tcW w:w="1452" w:type="dxa"/>
            <w:vAlign w:val="center"/>
          </w:tcPr>
          <w:p w:rsidR="002D1725" w:rsidRPr="00415266" w:rsidRDefault="002D1725" w:rsidP="002D1725">
            <w:pPr>
              <w:pStyle w:val="BodyText1"/>
              <w:spacing w:before="0" w:after="0"/>
              <w:jc w:val="left"/>
              <w:rPr>
                <w:rFonts w:ascii="Calibri" w:hAnsi="Calibri"/>
                <w:b/>
                <w:sz w:val="18"/>
                <w:szCs w:val="18"/>
                <w:lang w:val="en-US"/>
              </w:rPr>
            </w:pPr>
            <w:r w:rsidRPr="00415266">
              <w:rPr>
                <w:rFonts w:ascii="Calibri" w:hAnsi="Calibri"/>
                <w:b/>
                <w:i/>
                <w:sz w:val="18"/>
                <w:szCs w:val="18"/>
                <w:lang w:val="en-US"/>
              </w:rPr>
              <w:t>Weighted score</w:t>
            </w:r>
          </w:p>
        </w:tc>
        <w:tc>
          <w:tcPr>
            <w:tcW w:w="608" w:type="dxa"/>
            <w:vAlign w:val="center"/>
          </w:tcPr>
          <w:p w:rsidR="002D1725" w:rsidRPr="00503B24" w:rsidRDefault="002D1725" w:rsidP="002D1725">
            <w:pPr>
              <w:pStyle w:val="BodyText1"/>
              <w:spacing w:before="0" w:after="0"/>
              <w:jc w:val="left"/>
              <w:rPr>
                <w:rFonts w:asciiTheme="majorHAnsi" w:hAnsiTheme="majorHAnsi"/>
                <w:b/>
                <w:i/>
                <w:sz w:val="18"/>
                <w:szCs w:val="18"/>
                <w:lang w:val="en-US"/>
              </w:rPr>
            </w:pPr>
            <w:r w:rsidRPr="00503B24">
              <w:rPr>
                <w:rFonts w:asciiTheme="majorHAnsi" w:hAnsiTheme="majorHAnsi"/>
                <w:b/>
                <w:i/>
                <w:sz w:val="18"/>
                <w:szCs w:val="18"/>
              </w:rPr>
              <w:t>0.00</w:t>
            </w:r>
          </w:p>
        </w:tc>
        <w:tc>
          <w:tcPr>
            <w:tcW w:w="775"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+0.2</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-0.8</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-2.5</w:t>
            </w:r>
          </w:p>
        </w:tc>
        <w:tc>
          <w:tcPr>
            <w:tcW w:w="709" w:type="dxa"/>
            <w:vAlign w:val="center"/>
          </w:tcPr>
          <w:p w:rsidR="002D1725" w:rsidRPr="00503B24"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color w:val="000000"/>
                <w:sz w:val="18"/>
                <w:szCs w:val="18"/>
              </w:rPr>
              <w:t>-1.3</w:t>
            </w:r>
          </w:p>
        </w:tc>
        <w:tc>
          <w:tcPr>
            <w:tcW w:w="677" w:type="dxa"/>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-2.2</w:t>
            </w:r>
          </w:p>
        </w:tc>
        <w:tc>
          <w:tcPr>
            <w:tcW w:w="660" w:type="dxa"/>
            <w:vAlign w:val="center"/>
          </w:tcPr>
          <w:p w:rsidR="002D1725" w:rsidRPr="00503B24" w:rsidRDefault="002D1725" w:rsidP="002D1725">
            <w:pPr>
              <w:pStyle w:val="BodyText1"/>
              <w:spacing w:before="0" w:after="0"/>
              <w:jc w:val="center"/>
              <w:rPr>
                <w:rFonts w:asciiTheme="majorHAnsi" w:hAnsiTheme="majorHAnsi"/>
                <w:b/>
                <w:i/>
                <w:sz w:val="18"/>
                <w:szCs w:val="18"/>
              </w:rPr>
            </w:pPr>
            <w:r>
              <w:rPr>
                <w:rFonts w:ascii="Calibri" w:hAnsi="Calibri" w:cs="Calibri"/>
                <w:b/>
                <w:bCs/>
                <w:color w:val="000000"/>
                <w:sz w:val="18"/>
                <w:szCs w:val="18"/>
              </w:rPr>
              <w:t>-1.8</w:t>
            </w:r>
          </w:p>
        </w:tc>
      </w:tr>
      <w:tr w:rsidR="002D1725" w:rsidTr="00C357B6">
        <w:trPr>
          <w:trHeight w:val="263"/>
          <w:jc w:val="center"/>
        </w:trPr>
        <w:tc>
          <w:tcPr>
            <w:tcW w:w="1901" w:type="dxa"/>
            <w:shd w:val="clear" w:color="auto" w:fill="DBE5F1" w:themeFill="accent1" w:themeFillTint="33"/>
            <w:vAlign w:val="center"/>
          </w:tcPr>
          <w:p w:rsidR="002D1725" w:rsidRPr="00503B24" w:rsidRDefault="002D1725" w:rsidP="002D1725">
            <w:pPr>
              <w:pStyle w:val="BodyText1"/>
              <w:spacing w:before="0" w:after="0"/>
              <w:jc w:val="left"/>
              <w:rPr>
                <w:rFonts w:ascii="Calibri" w:hAnsi="Calibri"/>
                <w:sz w:val="18"/>
                <w:szCs w:val="18"/>
                <w:lang w:val="en-US"/>
              </w:rPr>
            </w:pPr>
            <w:r w:rsidRPr="00503B24">
              <w:rPr>
                <w:rFonts w:ascii="Calibri" w:hAnsi="Calibri"/>
                <w:sz w:val="18"/>
                <w:szCs w:val="18"/>
                <w:lang w:val="en-US"/>
              </w:rPr>
              <w:t>Total score</w:t>
            </w:r>
          </w:p>
        </w:tc>
        <w:tc>
          <w:tcPr>
            <w:tcW w:w="1452" w:type="dxa"/>
            <w:shd w:val="clear" w:color="auto" w:fill="DBE5F1" w:themeFill="accent1" w:themeFillTint="33"/>
            <w:vAlign w:val="center"/>
          </w:tcPr>
          <w:p w:rsidR="002D1725" w:rsidRPr="00415266" w:rsidRDefault="002D1725" w:rsidP="002D1725">
            <w:pPr>
              <w:pStyle w:val="BodyText1"/>
              <w:spacing w:before="0" w:after="0"/>
              <w:jc w:val="left"/>
              <w:rPr>
                <w:rFonts w:ascii="Calibri" w:hAnsi="Calibri"/>
                <w:b/>
                <w:sz w:val="18"/>
                <w:szCs w:val="18"/>
                <w:lang w:val="en-US"/>
              </w:rPr>
            </w:pPr>
          </w:p>
        </w:tc>
        <w:tc>
          <w:tcPr>
            <w:tcW w:w="608" w:type="dxa"/>
            <w:shd w:val="clear" w:color="auto" w:fill="DBE5F1" w:themeFill="accent1" w:themeFillTint="33"/>
            <w:vAlign w:val="center"/>
          </w:tcPr>
          <w:p w:rsidR="002D1725" w:rsidRPr="00E078DE" w:rsidRDefault="002D1725" w:rsidP="002D1725">
            <w:pPr>
              <w:pStyle w:val="BodyText1"/>
              <w:spacing w:before="0" w:after="0"/>
              <w:jc w:val="left"/>
              <w:rPr>
                <w:rFonts w:asciiTheme="majorHAnsi" w:hAnsiTheme="majorHAnsi"/>
                <w:sz w:val="18"/>
                <w:szCs w:val="18"/>
                <w:lang w:val="en-US"/>
              </w:rPr>
            </w:pPr>
            <w:r w:rsidRPr="00B20E96">
              <w:rPr>
                <w:rFonts w:asciiTheme="majorHAnsi" w:hAnsiTheme="majorHAnsi"/>
                <w:sz w:val="18"/>
                <w:szCs w:val="18"/>
              </w:rPr>
              <w:t>0.00</w:t>
            </w:r>
          </w:p>
        </w:tc>
        <w:tc>
          <w:tcPr>
            <w:tcW w:w="775"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+1.5</w:t>
            </w:r>
          </w:p>
        </w:tc>
        <w:tc>
          <w:tcPr>
            <w:tcW w:w="709"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+4.0</w:t>
            </w:r>
          </w:p>
        </w:tc>
        <w:tc>
          <w:tcPr>
            <w:tcW w:w="709"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+15.0</w:t>
            </w:r>
          </w:p>
        </w:tc>
        <w:tc>
          <w:tcPr>
            <w:tcW w:w="709"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lang w:val="en-US"/>
              </w:rPr>
            </w:pPr>
            <w:r>
              <w:rPr>
                <w:rFonts w:ascii="Calibri" w:hAnsi="Calibri" w:cs="Calibri"/>
                <w:i/>
                <w:iCs/>
                <w:color w:val="000000"/>
                <w:sz w:val="18"/>
                <w:szCs w:val="18"/>
              </w:rPr>
              <w:t>+10.1</w:t>
            </w:r>
          </w:p>
        </w:tc>
        <w:tc>
          <w:tcPr>
            <w:tcW w:w="677"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rPr>
            </w:pPr>
            <w:r>
              <w:rPr>
                <w:rFonts w:ascii="Calibri" w:hAnsi="Calibri" w:cs="Calibri"/>
                <w:i/>
                <w:iCs/>
                <w:color w:val="000000"/>
                <w:sz w:val="18"/>
                <w:szCs w:val="18"/>
              </w:rPr>
              <w:t>+13.7</w:t>
            </w:r>
          </w:p>
        </w:tc>
        <w:tc>
          <w:tcPr>
            <w:tcW w:w="660" w:type="dxa"/>
            <w:shd w:val="clear" w:color="auto" w:fill="DBE5F1" w:themeFill="accent1" w:themeFillTint="33"/>
            <w:vAlign w:val="center"/>
          </w:tcPr>
          <w:p w:rsidR="002D1725" w:rsidRPr="00B20E96" w:rsidRDefault="002D1725" w:rsidP="002D1725">
            <w:pPr>
              <w:pStyle w:val="BodyText1"/>
              <w:spacing w:before="0" w:after="0"/>
              <w:jc w:val="center"/>
              <w:rPr>
                <w:rFonts w:asciiTheme="majorHAnsi" w:hAnsiTheme="majorHAnsi"/>
                <w:sz w:val="18"/>
                <w:szCs w:val="18"/>
              </w:rPr>
            </w:pPr>
            <w:r>
              <w:rPr>
                <w:rFonts w:ascii="Calibri" w:hAnsi="Calibri" w:cs="Calibri"/>
                <w:i/>
                <w:iCs/>
                <w:color w:val="000000"/>
                <w:sz w:val="18"/>
                <w:szCs w:val="18"/>
              </w:rPr>
              <w:t>+</w:t>
            </w:r>
            <w:r w:rsidR="00C84AE5">
              <w:rPr>
                <w:rFonts w:ascii="Calibri" w:hAnsi="Calibri" w:cs="Calibri"/>
                <w:i/>
                <w:iCs/>
                <w:color w:val="000000"/>
                <w:sz w:val="18"/>
                <w:szCs w:val="18"/>
              </w:rPr>
              <w:t>8</w:t>
            </w:r>
            <w:r>
              <w:rPr>
                <w:rFonts w:ascii="Calibri" w:hAnsi="Calibri" w:cs="Calibri"/>
                <w:i/>
                <w:iCs/>
                <w:color w:val="000000"/>
                <w:sz w:val="18"/>
                <w:szCs w:val="18"/>
              </w:rPr>
              <w:t>.5</w:t>
            </w:r>
          </w:p>
        </w:tc>
      </w:tr>
      <w:tr w:rsidR="002D1725" w:rsidTr="00C357B6">
        <w:trPr>
          <w:trHeight w:val="76"/>
          <w:jc w:val="center"/>
        </w:trPr>
        <w:tc>
          <w:tcPr>
            <w:tcW w:w="1901" w:type="dxa"/>
            <w:tcBorders>
              <w:bottom w:val="single" w:sz="4" w:space="0" w:color="4F81BD" w:themeColor="accent1"/>
            </w:tcBorders>
            <w:shd w:val="clear" w:color="auto" w:fill="DBE5F1" w:themeFill="accent1" w:themeFillTint="33"/>
            <w:vAlign w:val="center"/>
          </w:tcPr>
          <w:p w:rsidR="002D1725" w:rsidRPr="00415266" w:rsidRDefault="002D1725" w:rsidP="002D1725">
            <w:pPr>
              <w:pStyle w:val="BodyText1"/>
              <w:spacing w:before="0" w:after="0"/>
              <w:jc w:val="left"/>
              <w:rPr>
                <w:rFonts w:ascii="Calibri" w:hAnsi="Calibri"/>
                <w:b/>
                <w:i/>
                <w:sz w:val="18"/>
                <w:szCs w:val="18"/>
                <w:lang w:val="en-US"/>
              </w:rPr>
            </w:pPr>
            <w:r w:rsidRPr="00415266">
              <w:rPr>
                <w:rFonts w:ascii="Calibri" w:hAnsi="Calibri"/>
                <w:b/>
                <w:i/>
                <w:sz w:val="18"/>
                <w:szCs w:val="18"/>
                <w:lang w:val="en-US"/>
              </w:rPr>
              <w:t>Total weighted score</w:t>
            </w:r>
          </w:p>
        </w:tc>
        <w:tc>
          <w:tcPr>
            <w:tcW w:w="1452" w:type="dxa"/>
            <w:tcBorders>
              <w:bottom w:val="single" w:sz="4" w:space="0" w:color="4F81BD" w:themeColor="accent1"/>
            </w:tcBorders>
            <w:shd w:val="clear" w:color="auto" w:fill="DBE5F1" w:themeFill="accent1" w:themeFillTint="33"/>
            <w:vAlign w:val="center"/>
          </w:tcPr>
          <w:p w:rsidR="002D1725" w:rsidRPr="00415266" w:rsidRDefault="002D1725" w:rsidP="002D1725">
            <w:pPr>
              <w:pStyle w:val="BodyText1"/>
              <w:spacing w:before="0" w:after="0"/>
              <w:jc w:val="left"/>
              <w:rPr>
                <w:rFonts w:ascii="Calibri" w:hAnsi="Calibri"/>
                <w:b/>
                <w:sz w:val="18"/>
                <w:szCs w:val="18"/>
                <w:lang w:val="en-US"/>
              </w:rPr>
            </w:pPr>
          </w:p>
        </w:tc>
        <w:tc>
          <w:tcPr>
            <w:tcW w:w="608"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left"/>
              <w:rPr>
                <w:rFonts w:asciiTheme="majorHAnsi" w:hAnsiTheme="majorHAnsi"/>
                <w:b/>
                <w:i/>
                <w:sz w:val="18"/>
                <w:szCs w:val="18"/>
                <w:lang w:val="en-US"/>
              </w:rPr>
            </w:pPr>
            <w:r w:rsidRPr="00FC0BC1">
              <w:rPr>
                <w:rFonts w:asciiTheme="majorHAnsi" w:hAnsiTheme="majorHAnsi"/>
                <w:b/>
                <w:i/>
                <w:sz w:val="18"/>
                <w:szCs w:val="18"/>
              </w:rPr>
              <w:t>0.00</w:t>
            </w:r>
          </w:p>
        </w:tc>
        <w:tc>
          <w:tcPr>
            <w:tcW w:w="775"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+0.4</w:t>
            </w:r>
          </w:p>
        </w:tc>
        <w:tc>
          <w:tcPr>
            <w:tcW w:w="709"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+0.6</w:t>
            </w:r>
          </w:p>
        </w:tc>
        <w:tc>
          <w:tcPr>
            <w:tcW w:w="709"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+2.5</w:t>
            </w:r>
          </w:p>
        </w:tc>
        <w:tc>
          <w:tcPr>
            <w:tcW w:w="709"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lang w:val="en-US"/>
              </w:rPr>
            </w:pPr>
            <w:r>
              <w:rPr>
                <w:rFonts w:ascii="Calibri" w:hAnsi="Calibri" w:cs="Calibri"/>
                <w:b/>
                <w:bCs/>
                <w:i/>
                <w:iCs/>
                <w:color w:val="000000"/>
                <w:sz w:val="18"/>
                <w:szCs w:val="18"/>
              </w:rPr>
              <w:t>+1.9</w:t>
            </w:r>
          </w:p>
        </w:tc>
        <w:tc>
          <w:tcPr>
            <w:tcW w:w="677"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rPr>
            </w:pPr>
            <w:r>
              <w:rPr>
                <w:rFonts w:ascii="Calibri" w:hAnsi="Calibri" w:cs="Calibri"/>
                <w:b/>
                <w:bCs/>
                <w:i/>
                <w:iCs/>
                <w:color w:val="000000"/>
                <w:sz w:val="18"/>
                <w:szCs w:val="18"/>
              </w:rPr>
              <w:t>+2.3</w:t>
            </w:r>
          </w:p>
        </w:tc>
        <w:tc>
          <w:tcPr>
            <w:tcW w:w="660" w:type="dxa"/>
            <w:tcBorders>
              <w:bottom w:val="single" w:sz="4" w:space="0" w:color="4F81BD" w:themeColor="accent1"/>
            </w:tcBorders>
            <w:shd w:val="clear" w:color="auto" w:fill="DBE5F1" w:themeFill="accent1" w:themeFillTint="33"/>
            <w:vAlign w:val="center"/>
          </w:tcPr>
          <w:p w:rsidR="002D1725" w:rsidRPr="00FC0BC1" w:rsidRDefault="002D1725" w:rsidP="002D1725">
            <w:pPr>
              <w:pStyle w:val="BodyText1"/>
              <w:spacing w:before="0" w:after="0"/>
              <w:jc w:val="center"/>
              <w:rPr>
                <w:rFonts w:asciiTheme="majorHAnsi" w:hAnsiTheme="majorHAnsi"/>
                <w:b/>
                <w:i/>
                <w:sz w:val="18"/>
                <w:szCs w:val="18"/>
              </w:rPr>
            </w:pPr>
            <w:r>
              <w:rPr>
                <w:rFonts w:ascii="Calibri" w:hAnsi="Calibri" w:cs="Calibri"/>
                <w:b/>
                <w:bCs/>
                <w:i/>
                <w:iCs/>
                <w:color w:val="000000"/>
                <w:sz w:val="18"/>
                <w:szCs w:val="18"/>
              </w:rPr>
              <w:t>+</w:t>
            </w:r>
            <w:r w:rsidR="00C84AE5">
              <w:rPr>
                <w:rFonts w:ascii="Calibri" w:hAnsi="Calibri" w:cs="Calibri"/>
                <w:b/>
                <w:bCs/>
                <w:i/>
                <w:iCs/>
                <w:color w:val="000000"/>
                <w:sz w:val="18"/>
                <w:szCs w:val="18"/>
              </w:rPr>
              <w:t>1</w:t>
            </w:r>
            <w:r>
              <w:rPr>
                <w:rFonts w:ascii="Calibri" w:hAnsi="Calibri" w:cs="Calibri"/>
                <w:b/>
                <w:bCs/>
                <w:i/>
                <w:iCs/>
                <w:color w:val="000000"/>
                <w:sz w:val="18"/>
                <w:szCs w:val="18"/>
              </w:rPr>
              <w:t>.</w:t>
            </w:r>
            <w:r w:rsidR="00C84AE5">
              <w:rPr>
                <w:rFonts w:ascii="Calibri" w:hAnsi="Calibri" w:cs="Calibri"/>
                <w:b/>
                <w:bCs/>
                <w:i/>
                <w:iCs/>
                <w:color w:val="000000"/>
                <w:sz w:val="18"/>
                <w:szCs w:val="18"/>
              </w:rPr>
              <w:t>2</w:t>
            </w:r>
          </w:p>
        </w:tc>
      </w:tr>
    </w:tbl>
    <w:p w:rsidR="00EE5542" w:rsidRDefault="00EE5542" w:rsidP="00415266">
      <w:pPr>
        <w:jc w:val="both"/>
        <w:rPr>
          <w:highlight w:val="yellow"/>
          <w:lang w:val="en-US"/>
        </w:rPr>
      </w:pPr>
      <w:bookmarkStart w:id="147" w:name="_Toc456126065"/>
    </w:p>
    <w:p w:rsidR="00EB3D0E" w:rsidRDefault="004C010C" w:rsidP="00415266">
      <w:pPr>
        <w:jc w:val="both"/>
        <w:rPr>
          <w:lang w:val="en-US"/>
        </w:rPr>
      </w:pPr>
      <w:r w:rsidRPr="002C786C">
        <w:rPr>
          <w:lang w:val="en-US"/>
        </w:rPr>
        <w:t>Based on Table 2</w:t>
      </w:r>
      <w:r w:rsidR="00FC5D4E">
        <w:rPr>
          <w:lang w:val="en-US"/>
        </w:rPr>
        <w:t>5</w:t>
      </w:r>
      <w:r w:rsidRPr="002C786C">
        <w:rPr>
          <w:lang w:val="en-US"/>
        </w:rPr>
        <w:t xml:space="preserve">, </w:t>
      </w:r>
      <w:r w:rsidR="002C786C" w:rsidRPr="002C786C">
        <w:rPr>
          <w:b/>
          <w:i/>
          <w:lang w:val="en-US"/>
        </w:rPr>
        <w:t>Option</w:t>
      </w:r>
      <w:r w:rsidR="009B295D">
        <w:rPr>
          <w:b/>
          <w:i/>
          <w:lang w:val="en-US"/>
        </w:rPr>
        <w:t xml:space="preserve"> 3 </w:t>
      </w:r>
      <w:r w:rsidR="009B295D" w:rsidRPr="00503B24">
        <w:rPr>
          <w:b/>
          <w:lang w:val="en-US"/>
        </w:rPr>
        <w:t>(the proposed Code with industry enforcement)</w:t>
      </w:r>
      <w:r w:rsidR="009B295D">
        <w:rPr>
          <w:lang w:val="en-US"/>
        </w:rPr>
        <w:t xml:space="preserve"> </w:t>
      </w:r>
      <w:r w:rsidR="009B295D">
        <w:rPr>
          <w:b/>
          <w:i/>
          <w:lang w:val="en-US"/>
        </w:rPr>
        <w:t>provides for the highest weighted score +2.5</w:t>
      </w:r>
      <w:r w:rsidR="002C786C">
        <w:rPr>
          <w:b/>
          <w:i/>
          <w:lang w:val="en-US"/>
        </w:rPr>
        <w:t xml:space="preserve"> </w:t>
      </w:r>
      <w:r w:rsidR="002C786C" w:rsidRPr="002C786C">
        <w:rPr>
          <w:lang w:val="en-US"/>
        </w:rPr>
        <w:t xml:space="preserve">followed by Option </w:t>
      </w:r>
      <w:r w:rsidR="009B295D">
        <w:rPr>
          <w:lang w:val="en-US"/>
        </w:rPr>
        <w:t>5</w:t>
      </w:r>
      <w:r w:rsidR="006442A4">
        <w:rPr>
          <w:lang w:val="en-US"/>
        </w:rPr>
        <w:t xml:space="preserve"> (the proposed Code with industry enforcement and no additional health checks)</w:t>
      </w:r>
      <w:r w:rsidR="009B295D">
        <w:rPr>
          <w:lang w:val="en-US"/>
        </w:rPr>
        <w:t xml:space="preserve"> </w:t>
      </w:r>
      <w:r w:rsidRPr="002C786C">
        <w:rPr>
          <w:lang w:val="en-US"/>
        </w:rPr>
        <w:t>with</w:t>
      </w:r>
      <w:r w:rsidR="002C786C" w:rsidRPr="002C786C">
        <w:rPr>
          <w:lang w:val="en-US"/>
        </w:rPr>
        <w:t xml:space="preserve"> a score of</w:t>
      </w:r>
      <w:r w:rsidRPr="002C786C">
        <w:rPr>
          <w:lang w:val="en-US"/>
        </w:rPr>
        <w:t xml:space="preserve"> </w:t>
      </w:r>
      <w:r w:rsidR="002C786C" w:rsidRPr="002C786C">
        <w:rPr>
          <w:lang w:val="en-US"/>
        </w:rPr>
        <w:t>+</w:t>
      </w:r>
      <w:r w:rsidR="009B295D">
        <w:rPr>
          <w:lang w:val="en-US"/>
        </w:rPr>
        <w:t>2</w:t>
      </w:r>
      <w:r w:rsidR="002C786C" w:rsidRPr="002C786C">
        <w:rPr>
          <w:lang w:val="en-US"/>
        </w:rPr>
        <w:t>.</w:t>
      </w:r>
      <w:r w:rsidR="009B295D">
        <w:rPr>
          <w:lang w:val="en-US"/>
        </w:rPr>
        <w:t>3</w:t>
      </w:r>
      <w:r w:rsidR="002C786C" w:rsidRPr="002C786C">
        <w:rPr>
          <w:lang w:val="en-US"/>
        </w:rPr>
        <w:t xml:space="preserve"> and Option </w:t>
      </w:r>
      <w:r w:rsidR="009B295D">
        <w:rPr>
          <w:lang w:val="en-US"/>
        </w:rPr>
        <w:t>4</w:t>
      </w:r>
      <w:r w:rsidR="002C786C" w:rsidRPr="002C786C">
        <w:rPr>
          <w:lang w:val="en-US"/>
        </w:rPr>
        <w:t xml:space="preserve"> </w:t>
      </w:r>
      <w:r w:rsidR="009B295D">
        <w:rPr>
          <w:lang w:val="en-US"/>
        </w:rPr>
        <w:t>(</w:t>
      </w:r>
      <w:r w:rsidR="006442A4">
        <w:rPr>
          <w:lang w:val="en-US"/>
        </w:rPr>
        <w:t xml:space="preserve">the </w:t>
      </w:r>
      <w:r w:rsidR="009B295D">
        <w:rPr>
          <w:lang w:val="en-US"/>
        </w:rPr>
        <w:t xml:space="preserve">proposed Code </w:t>
      </w:r>
      <w:r w:rsidR="006442A4">
        <w:rPr>
          <w:lang w:val="en-US"/>
        </w:rPr>
        <w:t xml:space="preserve">with </w:t>
      </w:r>
      <w:r w:rsidR="009B295D">
        <w:rPr>
          <w:lang w:val="en-US"/>
        </w:rPr>
        <w:t>local government</w:t>
      </w:r>
      <w:r w:rsidR="006442A4">
        <w:rPr>
          <w:lang w:val="en-US"/>
        </w:rPr>
        <w:t xml:space="preserve"> enforcement</w:t>
      </w:r>
      <w:r w:rsidR="009B295D">
        <w:rPr>
          <w:lang w:val="en-US"/>
        </w:rPr>
        <w:t>)</w:t>
      </w:r>
      <w:r w:rsidR="009B295D" w:rsidRPr="002C786C">
        <w:rPr>
          <w:lang w:val="en-US"/>
        </w:rPr>
        <w:t xml:space="preserve"> </w:t>
      </w:r>
      <w:r w:rsidR="002C786C" w:rsidRPr="002C786C">
        <w:rPr>
          <w:lang w:val="en-US"/>
        </w:rPr>
        <w:t>with a score of +</w:t>
      </w:r>
      <w:r w:rsidR="009B295D">
        <w:rPr>
          <w:lang w:val="en-US"/>
        </w:rPr>
        <w:t>1</w:t>
      </w:r>
      <w:r w:rsidR="002C786C" w:rsidRPr="002C786C">
        <w:rPr>
          <w:lang w:val="en-US"/>
        </w:rPr>
        <w:t>.</w:t>
      </w:r>
      <w:r w:rsidR="009B295D">
        <w:rPr>
          <w:lang w:val="en-US"/>
        </w:rPr>
        <w:t>9</w:t>
      </w:r>
      <w:r w:rsidRPr="002C786C">
        <w:rPr>
          <w:lang w:val="en-US"/>
        </w:rPr>
        <w:t xml:space="preserve">. </w:t>
      </w:r>
      <w:r w:rsidR="006442A4">
        <w:rPr>
          <w:lang w:val="en-US"/>
        </w:rPr>
        <w:t>Option 6 (the proposed Code with industry enforcement and reduced rearing requirements) provides a score of +</w:t>
      </w:r>
      <w:r w:rsidR="00C84AE5">
        <w:rPr>
          <w:lang w:val="en-US"/>
        </w:rPr>
        <w:t>1</w:t>
      </w:r>
      <w:r w:rsidR="006442A4">
        <w:rPr>
          <w:lang w:val="en-US"/>
        </w:rPr>
        <w:t>.</w:t>
      </w:r>
      <w:r w:rsidR="00C84AE5">
        <w:rPr>
          <w:lang w:val="en-US"/>
        </w:rPr>
        <w:t>2</w:t>
      </w:r>
      <w:r w:rsidR="006442A4">
        <w:rPr>
          <w:lang w:val="en-US"/>
        </w:rPr>
        <w:t xml:space="preserve">; </w:t>
      </w:r>
      <w:r w:rsidR="002C786C" w:rsidRPr="002C786C">
        <w:rPr>
          <w:lang w:val="en-US"/>
        </w:rPr>
        <w:t xml:space="preserve">Option </w:t>
      </w:r>
      <w:r w:rsidR="009B295D">
        <w:rPr>
          <w:lang w:val="en-US"/>
        </w:rPr>
        <w:t>2</w:t>
      </w:r>
      <w:r w:rsidR="00196EB3">
        <w:rPr>
          <w:lang w:val="en-US"/>
        </w:rPr>
        <w:t xml:space="preserve"> (adoption of the proposed Code in the Local Rules) provides a score of +0.6</w:t>
      </w:r>
      <w:r w:rsidR="006442A4">
        <w:rPr>
          <w:lang w:val="en-US"/>
        </w:rPr>
        <w:t>;</w:t>
      </w:r>
      <w:r w:rsidR="00894892">
        <w:rPr>
          <w:lang w:val="en-US"/>
        </w:rPr>
        <w:t xml:space="preserve"> and</w:t>
      </w:r>
      <w:r w:rsidR="00196EB3">
        <w:rPr>
          <w:lang w:val="en-US"/>
        </w:rPr>
        <w:t xml:space="preserve"> Option 1 (media and information campaign) provides the</w:t>
      </w:r>
      <w:r w:rsidR="006442A4">
        <w:rPr>
          <w:lang w:val="en-US"/>
        </w:rPr>
        <w:t xml:space="preserve"> lowest score of +0.4</w:t>
      </w:r>
      <w:r w:rsidR="00196EB3">
        <w:rPr>
          <w:lang w:val="en-US"/>
        </w:rPr>
        <w:t>.</w:t>
      </w:r>
      <w:r w:rsidR="007B521C">
        <w:rPr>
          <w:lang w:val="en-US"/>
        </w:rPr>
        <w:t xml:space="preserve"> </w:t>
      </w:r>
      <w:r w:rsidR="00352D68">
        <w:rPr>
          <w:lang w:val="en-US"/>
        </w:rPr>
        <w:t xml:space="preserve">Based on these scores, </w:t>
      </w:r>
      <w:r w:rsidR="00352D68" w:rsidRPr="00503B24">
        <w:rPr>
          <w:b/>
          <w:i/>
          <w:lang w:val="en-US"/>
        </w:rPr>
        <w:t xml:space="preserve">Option 3 the proposed Code with industry enforcement is </w:t>
      </w:r>
      <w:r w:rsidR="00352D68">
        <w:rPr>
          <w:b/>
          <w:i/>
          <w:lang w:val="en-US"/>
        </w:rPr>
        <w:t xml:space="preserve">selected as </w:t>
      </w:r>
      <w:r w:rsidR="00352D68" w:rsidRPr="00503B24">
        <w:rPr>
          <w:b/>
          <w:i/>
          <w:lang w:val="en-US"/>
        </w:rPr>
        <w:t>the preferred option</w:t>
      </w:r>
      <w:r w:rsidR="00352D68">
        <w:rPr>
          <w:lang w:val="en-US"/>
        </w:rPr>
        <w:t>.</w:t>
      </w:r>
    </w:p>
    <w:p w:rsidR="00EB3D0E" w:rsidRDefault="00EB3D0E" w:rsidP="00415266">
      <w:pPr>
        <w:jc w:val="both"/>
        <w:rPr>
          <w:lang w:val="en-US"/>
        </w:rPr>
      </w:pPr>
    </w:p>
    <w:p w:rsidR="00C02451" w:rsidRDefault="00C02451">
      <w:pPr>
        <w:rPr>
          <w:rFonts w:asciiTheme="majorHAnsi" w:eastAsiaTheme="majorEastAsia" w:hAnsiTheme="majorHAnsi" w:cstheme="majorBidi"/>
          <w:i/>
          <w:color w:val="365F91" w:themeColor="accent1" w:themeShade="BF"/>
          <w:sz w:val="24"/>
          <w:szCs w:val="24"/>
        </w:rPr>
      </w:pPr>
      <w:bookmarkStart w:id="148" w:name="_Toc469529182"/>
      <w:r>
        <w:br w:type="page"/>
      </w:r>
    </w:p>
    <w:p w:rsidR="00EB3D0E" w:rsidRPr="00430C30" w:rsidRDefault="00EB3D0E" w:rsidP="005E307C">
      <w:pPr>
        <w:pStyle w:val="Heading3"/>
      </w:pPr>
      <w:bookmarkStart w:id="149" w:name="_Toc477190206"/>
      <w:r>
        <w:lastRenderedPageBreak/>
        <w:t>5.2.5 Sensitivity Analysis</w:t>
      </w:r>
      <w:bookmarkEnd w:id="148"/>
      <w:bookmarkEnd w:id="149"/>
      <w:r>
        <w:t xml:space="preserve"> </w:t>
      </w:r>
    </w:p>
    <w:p w:rsidR="00391F0F" w:rsidRDefault="00391F0F" w:rsidP="00391F0F">
      <w:r>
        <w:t xml:space="preserve">A sensitivity analysis is conducted on the weightings for efficiency and equity to look at the impact on relative scores. The sensitivity </w:t>
      </w:r>
      <w:r w:rsidR="00A858E3">
        <w:t>scores are summarised in Table 26</w:t>
      </w:r>
      <w:r>
        <w:t>.</w:t>
      </w:r>
    </w:p>
    <w:p w:rsidR="00391F0F" w:rsidRDefault="00391F0F" w:rsidP="00391F0F"/>
    <w:p w:rsidR="00391F0F" w:rsidRDefault="00A858E3" w:rsidP="00391F0F">
      <w:pPr>
        <w:jc w:val="center"/>
        <w:rPr>
          <w:sz w:val="20"/>
          <w:szCs w:val="20"/>
        </w:rPr>
      </w:pPr>
      <w:r>
        <w:rPr>
          <w:b/>
          <w:sz w:val="20"/>
          <w:szCs w:val="20"/>
        </w:rPr>
        <w:t>Table 26</w:t>
      </w:r>
      <w:r w:rsidR="00391F0F" w:rsidRPr="00AB0520">
        <w:rPr>
          <w:b/>
          <w:sz w:val="20"/>
          <w:szCs w:val="20"/>
        </w:rPr>
        <w:t>: Summary of sensi</w:t>
      </w:r>
      <w:r w:rsidR="00391F0F" w:rsidRPr="001727B0">
        <w:rPr>
          <w:b/>
          <w:sz w:val="20"/>
          <w:szCs w:val="20"/>
        </w:rPr>
        <w:t xml:space="preserve">tivity scores for Options 1 to </w:t>
      </w:r>
      <w:r>
        <w:rPr>
          <w:b/>
          <w:sz w:val="20"/>
          <w:szCs w:val="20"/>
        </w:rPr>
        <w:t>6</w:t>
      </w:r>
    </w:p>
    <w:p w:rsidR="00391F0F" w:rsidRPr="00AB0520" w:rsidRDefault="00391F0F" w:rsidP="00391F0F">
      <w:pPr>
        <w:jc w:val="center"/>
        <w:rPr>
          <w:sz w:val="20"/>
          <w:szCs w:val="20"/>
        </w:rPr>
      </w:pPr>
    </w:p>
    <w:tbl>
      <w:tblPr>
        <w:tblW w:w="7867" w:type="dxa"/>
        <w:jc w:val="center"/>
        <w:tblLook w:val="00A0" w:firstRow="1" w:lastRow="0" w:firstColumn="1" w:lastColumn="0" w:noHBand="0" w:noVBand="0"/>
      </w:tblPr>
      <w:tblGrid>
        <w:gridCol w:w="1294"/>
        <w:gridCol w:w="2079"/>
        <w:gridCol w:w="2214"/>
        <w:gridCol w:w="2280"/>
      </w:tblGrid>
      <w:tr w:rsidR="00391F0F" w:rsidRPr="008A02E4" w:rsidTr="00503B24">
        <w:trPr>
          <w:tblHeader/>
          <w:jc w:val="center"/>
        </w:trPr>
        <w:tc>
          <w:tcPr>
            <w:tcW w:w="1294" w:type="dxa"/>
            <w:tcBorders>
              <w:top w:val="single" w:sz="4" w:space="0" w:color="244061" w:themeColor="accent1" w:themeShade="80"/>
              <w:bottom w:val="double" w:sz="4" w:space="0" w:color="244061" w:themeColor="accent1" w:themeShade="80"/>
            </w:tcBorders>
            <w:shd w:val="clear" w:color="auto" w:fill="auto"/>
          </w:tcPr>
          <w:p w:rsidR="00391F0F" w:rsidRPr="008A02E4" w:rsidRDefault="00391F0F" w:rsidP="009B7F3A">
            <w:pPr>
              <w:rPr>
                <w:color w:val="53565A"/>
                <w:sz w:val="18"/>
                <w:szCs w:val="18"/>
              </w:rPr>
            </w:pPr>
            <w:r w:rsidRPr="008A02E4">
              <w:rPr>
                <w:b/>
                <w:color w:val="53565A"/>
                <w:sz w:val="18"/>
                <w:szCs w:val="18"/>
              </w:rPr>
              <w:t>Option</w:t>
            </w:r>
          </w:p>
        </w:tc>
        <w:tc>
          <w:tcPr>
            <w:tcW w:w="2079" w:type="dxa"/>
            <w:tcBorders>
              <w:top w:val="single" w:sz="4" w:space="0" w:color="244061" w:themeColor="accent1" w:themeShade="80"/>
              <w:bottom w:val="double" w:sz="4" w:space="0" w:color="244061" w:themeColor="accent1" w:themeShade="80"/>
            </w:tcBorders>
            <w:shd w:val="clear" w:color="auto" w:fill="auto"/>
          </w:tcPr>
          <w:p w:rsidR="00391F0F" w:rsidRPr="008A02E4" w:rsidRDefault="00391F0F" w:rsidP="009B7F3A">
            <w:pPr>
              <w:jc w:val="center"/>
              <w:rPr>
                <w:color w:val="53565A"/>
                <w:sz w:val="18"/>
                <w:szCs w:val="18"/>
              </w:rPr>
            </w:pPr>
            <w:r w:rsidRPr="008A02E4">
              <w:rPr>
                <w:b/>
                <w:color w:val="53565A"/>
                <w:sz w:val="18"/>
                <w:szCs w:val="18"/>
              </w:rPr>
              <w:t>Animal Welfare 20%</w:t>
            </w:r>
          </w:p>
          <w:p w:rsidR="00391F0F" w:rsidRPr="008A02E4" w:rsidRDefault="00391F0F" w:rsidP="009B7F3A">
            <w:pPr>
              <w:jc w:val="center"/>
              <w:rPr>
                <w:color w:val="53565A"/>
                <w:sz w:val="18"/>
                <w:szCs w:val="18"/>
              </w:rPr>
            </w:pPr>
            <w:r w:rsidRPr="008A02E4">
              <w:rPr>
                <w:b/>
                <w:color w:val="53565A"/>
                <w:sz w:val="18"/>
                <w:szCs w:val="18"/>
              </w:rPr>
              <w:t>Rehoming potential 30%</w:t>
            </w:r>
          </w:p>
          <w:p w:rsidR="00391F0F" w:rsidRPr="008A02E4" w:rsidRDefault="00391F0F" w:rsidP="009B7F3A">
            <w:pPr>
              <w:jc w:val="center"/>
              <w:rPr>
                <w:color w:val="53565A"/>
                <w:sz w:val="18"/>
                <w:szCs w:val="18"/>
              </w:rPr>
            </w:pPr>
            <w:r w:rsidRPr="008A02E4">
              <w:rPr>
                <w:b/>
                <w:color w:val="53565A"/>
                <w:sz w:val="18"/>
                <w:szCs w:val="18"/>
              </w:rPr>
              <w:t>Net Cost 50%</w:t>
            </w:r>
          </w:p>
        </w:tc>
        <w:tc>
          <w:tcPr>
            <w:tcW w:w="2214" w:type="dxa"/>
            <w:tcBorders>
              <w:top w:val="single" w:sz="4" w:space="0" w:color="244061" w:themeColor="accent1" w:themeShade="80"/>
              <w:bottom w:val="double" w:sz="4" w:space="0" w:color="244061" w:themeColor="accent1" w:themeShade="80"/>
            </w:tcBorders>
            <w:shd w:val="clear" w:color="auto" w:fill="auto"/>
          </w:tcPr>
          <w:p w:rsidR="00391F0F" w:rsidRPr="008A02E4" w:rsidRDefault="00391F0F" w:rsidP="009B7F3A">
            <w:pPr>
              <w:jc w:val="center"/>
              <w:rPr>
                <w:color w:val="53565A"/>
                <w:sz w:val="18"/>
                <w:szCs w:val="18"/>
              </w:rPr>
            </w:pPr>
            <w:r w:rsidRPr="008A02E4">
              <w:rPr>
                <w:b/>
                <w:color w:val="53565A"/>
                <w:sz w:val="18"/>
                <w:szCs w:val="18"/>
              </w:rPr>
              <w:t>Animal Welfare 15%</w:t>
            </w:r>
          </w:p>
          <w:p w:rsidR="00391F0F" w:rsidRPr="008A02E4" w:rsidRDefault="00391F0F" w:rsidP="009B7F3A">
            <w:pPr>
              <w:jc w:val="center"/>
              <w:rPr>
                <w:color w:val="53565A"/>
                <w:sz w:val="18"/>
                <w:szCs w:val="18"/>
              </w:rPr>
            </w:pPr>
            <w:r w:rsidRPr="008A02E4">
              <w:rPr>
                <w:b/>
                <w:color w:val="53565A"/>
                <w:sz w:val="18"/>
                <w:szCs w:val="18"/>
              </w:rPr>
              <w:t>Rehoming potential 35%</w:t>
            </w:r>
          </w:p>
          <w:p w:rsidR="00391F0F" w:rsidRPr="008A02E4" w:rsidRDefault="00391F0F" w:rsidP="009B7F3A">
            <w:pPr>
              <w:jc w:val="center"/>
              <w:rPr>
                <w:color w:val="53565A"/>
                <w:sz w:val="18"/>
                <w:szCs w:val="18"/>
              </w:rPr>
            </w:pPr>
            <w:r w:rsidRPr="008A02E4">
              <w:rPr>
                <w:b/>
                <w:color w:val="53565A"/>
                <w:sz w:val="18"/>
                <w:szCs w:val="18"/>
              </w:rPr>
              <w:t>Net Cost 50%</w:t>
            </w:r>
          </w:p>
        </w:tc>
        <w:tc>
          <w:tcPr>
            <w:tcW w:w="2280" w:type="dxa"/>
            <w:tcBorders>
              <w:top w:val="single" w:sz="4" w:space="0" w:color="244061" w:themeColor="accent1" w:themeShade="80"/>
              <w:bottom w:val="double" w:sz="4" w:space="0" w:color="244061" w:themeColor="accent1" w:themeShade="80"/>
            </w:tcBorders>
          </w:tcPr>
          <w:p w:rsidR="00391F0F" w:rsidRPr="008A02E4" w:rsidRDefault="00391F0F" w:rsidP="009B7F3A">
            <w:pPr>
              <w:jc w:val="center"/>
              <w:rPr>
                <w:b/>
                <w:color w:val="53565A"/>
                <w:sz w:val="18"/>
                <w:szCs w:val="18"/>
              </w:rPr>
            </w:pPr>
            <w:r w:rsidRPr="008A02E4">
              <w:rPr>
                <w:b/>
                <w:color w:val="53565A"/>
                <w:sz w:val="18"/>
                <w:szCs w:val="18"/>
              </w:rPr>
              <w:t>Animal Welfare 10%</w:t>
            </w:r>
          </w:p>
          <w:p w:rsidR="00391F0F" w:rsidRPr="008A02E4" w:rsidRDefault="00391F0F" w:rsidP="009B7F3A">
            <w:pPr>
              <w:jc w:val="center"/>
              <w:rPr>
                <w:b/>
                <w:color w:val="53565A"/>
                <w:sz w:val="18"/>
                <w:szCs w:val="18"/>
              </w:rPr>
            </w:pPr>
            <w:r w:rsidRPr="008A02E4">
              <w:rPr>
                <w:b/>
                <w:color w:val="53565A"/>
                <w:sz w:val="18"/>
                <w:szCs w:val="18"/>
              </w:rPr>
              <w:t>Rehoming potential 40%</w:t>
            </w:r>
          </w:p>
          <w:p w:rsidR="00391F0F" w:rsidRPr="008A02E4" w:rsidRDefault="00391F0F" w:rsidP="009B7F3A">
            <w:pPr>
              <w:jc w:val="center"/>
              <w:rPr>
                <w:b/>
                <w:color w:val="53565A"/>
                <w:sz w:val="18"/>
                <w:szCs w:val="18"/>
              </w:rPr>
            </w:pPr>
            <w:r w:rsidRPr="008A02E4">
              <w:rPr>
                <w:b/>
                <w:color w:val="53565A"/>
                <w:sz w:val="18"/>
                <w:szCs w:val="18"/>
              </w:rPr>
              <w:t>Net Cost</w:t>
            </w:r>
            <w:r w:rsidR="009B7F3A" w:rsidRPr="008A02E4">
              <w:rPr>
                <w:b/>
                <w:color w:val="53565A"/>
                <w:sz w:val="18"/>
                <w:szCs w:val="18"/>
              </w:rPr>
              <w:t xml:space="preserve"> 50</w:t>
            </w:r>
            <w:r w:rsidRPr="008A02E4">
              <w:rPr>
                <w:b/>
                <w:color w:val="53565A"/>
                <w:sz w:val="18"/>
                <w:szCs w:val="18"/>
              </w:rPr>
              <w:t>%</w:t>
            </w:r>
          </w:p>
        </w:tc>
      </w:tr>
      <w:tr w:rsidR="009B7F3A" w:rsidRPr="00CF4E31" w:rsidTr="00503B24">
        <w:trPr>
          <w:trHeight w:val="263"/>
          <w:jc w:val="center"/>
        </w:trPr>
        <w:tc>
          <w:tcPr>
            <w:tcW w:w="1294" w:type="dxa"/>
            <w:tcBorders>
              <w:top w:val="double" w:sz="4" w:space="0" w:color="244061" w:themeColor="accent1" w:themeShade="80"/>
            </w:tcBorders>
            <w:shd w:val="clear" w:color="auto" w:fill="auto"/>
            <w:vAlign w:val="center"/>
          </w:tcPr>
          <w:p w:rsidR="009B7F3A" w:rsidRPr="00503B24" w:rsidRDefault="009B7F3A" w:rsidP="009B7F3A">
            <w:pPr>
              <w:rPr>
                <w:sz w:val="18"/>
                <w:szCs w:val="18"/>
              </w:rPr>
            </w:pPr>
            <w:r w:rsidRPr="00503B24">
              <w:rPr>
                <w:rFonts w:eastAsia="Times New Roman"/>
                <w:sz w:val="18"/>
                <w:szCs w:val="18"/>
              </w:rPr>
              <w:t>1</w:t>
            </w:r>
          </w:p>
        </w:tc>
        <w:tc>
          <w:tcPr>
            <w:tcW w:w="2079" w:type="dxa"/>
            <w:tcBorders>
              <w:top w:val="double" w:sz="4" w:space="0" w:color="244061" w:themeColor="accent1" w:themeShade="80"/>
            </w:tcBorders>
            <w:shd w:val="clear" w:color="auto" w:fill="auto"/>
            <w:vAlign w:val="center"/>
          </w:tcPr>
          <w:p w:rsidR="009B7F3A" w:rsidRPr="00503B24" w:rsidRDefault="009B7F3A" w:rsidP="009B7F3A">
            <w:pPr>
              <w:jc w:val="center"/>
              <w:rPr>
                <w:b/>
                <w:i/>
                <w:sz w:val="18"/>
                <w:szCs w:val="18"/>
              </w:rPr>
            </w:pPr>
            <w:r>
              <w:rPr>
                <w:rFonts w:eastAsia="Times New Roman"/>
                <w:sz w:val="18"/>
                <w:szCs w:val="18"/>
              </w:rPr>
              <w:t>+</w:t>
            </w:r>
            <w:r w:rsidRPr="00503B24">
              <w:rPr>
                <w:rFonts w:eastAsia="Times New Roman"/>
                <w:sz w:val="18"/>
                <w:szCs w:val="18"/>
              </w:rPr>
              <w:t>0.5</w:t>
            </w:r>
          </w:p>
        </w:tc>
        <w:tc>
          <w:tcPr>
            <w:tcW w:w="2214" w:type="dxa"/>
            <w:tcBorders>
              <w:top w:val="double" w:sz="4" w:space="0" w:color="244061" w:themeColor="accent1" w:themeShade="80"/>
            </w:tcBorders>
            <w:shd w:val="clear" w:color="auto" w:fill="auto"/>
            <w:vAlign w:val="center"/>
          </w:tcPr>
          <w:p w:rsidR="009B7F3A" w:rsidRPr="00503B24" w:rsidRDefault="009B7F3A" w:rsidP="009B7F3A">
            <w:pPr>
              <w:jc w:val="center"/>
              <w:rPr>
                <w:b/>
                <w:i/>
                <w:sz w:val="18"/>
                <w:szCs w:val="18"/>
              </w:rPr>
            </w:pPr>
            <w:r>
              <w:rPr>
                <w:rFonts w:eastAsia="Times New Roman"/>
                <w:sz w:val="18"/>
                <w:szCs w:val="18"/>
              </w:rPr>
              <w:t>+</w:t>
            </w:r>
            <w:r w:rsidRPr="00503B24">
              <w:rPr>
                <w:rFonts w:eastAsia="Times New Roman"/>
                <w:sz w:val="18"/>
                <w:szCs w:val="18"/>
              </w:rPr>
              <w:t>0.5</w:t>
            </w:r>
          </w:p>
        </w:tc>
        <w:tc>
          <w:tcPr>
            <w:tcW w:w="2280" w:type="dxa"/>
            <w:tcBorders>
              <w:top w:val="double" w:sz="4" w:space="0" w:color="244061" w:themeColor="accent1" w:themeShade="80"/>
            </w:tcBorders>
            <w:vAlign w:val="center"/>
          </w:tcPr>
          <w:p w:rsidR="009B7F3A" w:rsidRPr="009B7F3A" w:rsidRDefault="009B7F3A" w:rsidP="009B7F3A">
            <w:pPr>
              <w:jc w:val="center"/>
              <w:rPr>
                <w:rFonts w:eastAsia="Times New Roman"/>
                <w:b/>
                <w:bCs/>
                <w:i/>
                <w:iCs/>
                <w:color w:val="000000" w:themeColor="text1"/>
                <w:sz w:val="18"/>
                <w:szCs w:val="18"/>
              </w:rPr>
            </w:pPr>
            <w:r>
              <w:rPr>
                <w:rFonts w:eastAsia="Times New Roman"/>
                <w:color w:val="000000" w:themeColor="text1"/>
                <w:sz w:val="18"/>
                <w:szCs w:val="18"/>
              </w:rPr>
              <w:t>+</w:t>
            </w:r>
            <w:r w:rsidRPr="00B20E96">
              <w:rPr>
                <w:rFonts w:eastAsia="Times New Roman"/>
                <w:color w:val="000000" w:themeColor="text1"/>
                <w:sz w:val="18"/>
                <w:szCs w:val="18"/>
              </w:rPr>
              <w:t>0.5</w:t>
            </w:r>
          </w:p>
        </w:tc>
      </w:tr>
      <w:tr w:rsidR="009B7F3A" w:rsidRPr="00CF4E31" w:rsidTr="00503B24">
        <w:trPr>
          <w:jc w:val="center"/>
        </w:trPr>
        <w:tc>
          <w:tcPr>
            <w:tcW w:w="1294" w:type="dxa"/>
            <w:shd w:val="clear" w:color="auto" w:fill="auto"/>
            <w:vAlign w:val="center"/>
          </w:tcPr>
          <w:p w:rsidR="009B7F3A" w:rsidRPr="00503B24" w:rsidRDefault="009B7F3A" w:rsidP="009B7F3A">
            <w:pPr>
              <w:rPr>
                <w:sz w:val="18"/>
                <w:szCs w:val="18"/>
              </w:rPr>
            </w:pPr>
            <w:r w:rsidRPr="00503B24">
              <w:rPr>
                <w:rFonts w:eastAsia="Times New Roman"/>
                <w:sz w:val="18"/>
                <w:szCs w:val="18"/>
              </w:rPr>
              <w:t>2</w:t>
            </w:r>
          </w:p>
        </w:tc>
        <w:tc>
          <w:tcPr>
            <w:tcW w:w="2079" w:type="dxa"/>
            <w:shd w:val="clear" w:color="auto" w:fill="auto"/>
            <w:vAlign w:val="center"/>
          </w:tcPr>
          <w:p w:rsidR="009B7F3A" w:rsidRPr="00503B24" w:rsidRDefault="009B7F3A" w:rsidP="009B7F3A">
            <w:pPr>
              <w:jc w:val="center"/>
              <w:rPr>
                <w:sz w:val="18"/>
                <w:szCs w:val="18"/>
              </w:rPr>
            </w:pPr>
            <w:r>
              <w:rPr>
                <w:rFonts w:eastAsia="Times New Roman"/>
                <w:sz w:val="18"/>
                <w:szCs w:val="18"/>
              </w:rPr>
              <w:t>+</w:t>
            </w:r>
            <w:r w:rsidRPr="00503B24">
              <w:rPr>
                <w:rFonts w:eastAsia="Times New Roman"/>
                <w:sz w:val="18"/>
                <w:szCs w:val="18"/>
              </w:rPr>
              <w:t>0.6</w:t>
            </w:r>
          </w:p>
        </w:tc>
        <w:tc>
          <w:tcPr>
            <w:tcW w:w="2214" w:type="dxa"/>
            <w:shd w:val="clear" w:color="auto" w:fill="auto"/>
            <w:vAlign w:val="center"/>
          </w:tcPr>
          <w:p w:rsidR="009B7F3A" w:rsidRPr="00503B24" w:rsidRDefault="009B7F3A" w:rsidP="009B7F3A">
            <w:pPr>
              <w:jc w:val="center"/>
              <w:rPr>
                <w:sz w:val="18"/>
                <w:szCs w:val="18"/>
              </w:rPr>
            </w:pPr>
            <w:r>
              <w:rPr>
                <w:rFonts w:eastAsia="Times New Roman"/>
                <w:sz w:val="18"/>
                <w:szCs w:val="18"/>
              </w:rPr>
              <w:t>+</w:t>
            </w:r>
            <w:r w:rsidRPr="00503B24">
              <w:rPr>
                <w:rFonts w:eastAsia="Times New Roman"/>
                <w:sz w:val="18"/>
                <w:szCs w:val="18"/>
              </w:rPr>
              <w:t>0.6</w:t>
            </w:r>
          </w:p>
        </w:tc>
        <w:tc>
          <w:tcPr>
            <w:tcW w:w="2280" w:type="dxa"/>
            <w:vAlign w:val="center"/>
          </w:tcPr>
          <w:p w:rsidR="009B7F3A" w:rsidRPr="009B7F3A" w:rsidRDefault="009B7F3A" w:rsidP="009B7F3A">
            <w:pPr>
              <w:jc w:val="center"/>
              <w:rPr>
                <w:rFonts w:eastAsia="Times New Roman"/>
                <w:bCs/>
                <w:iCs/>
                <w:color w:val="000000" w:themeColor="text1"/>
                <w:sz w:val="18"/>
                <w:szCs w:val="18"/>
              </w:rPr>
            </w:pPr>
            <w:r>
              <w:rPr>
                <w:rFonts w:eastAsia="Times New Roman"/>
                <w:sz w:val="18"/>
                <w:szCs w:val="18"/>
              </w:rPr>
              <w:t>+</w:t>
            </w:r>
            <w:r w:rsidRPr="00B20E96">
              <w:rPr>
                <w:rFonts w:eastAsia="Times New Roman"/>
                <w:sz w:val="18"/>
                <w:szCs w:val="18"/>
              </w:rPr>
              <w:t>0.7</w:t>
            </w:r>
          </w:p>
        </w:tc>
      </w:tr>
      <w:tr w:rsidR="009B7F3A" w:rsidRPr="00CF4E31" w:rsidTr="00C357B6">
        <w:trPr>
          <w:jc w:val="center"/>
        </w:trPr>
        <w:tc>
          <w:tcPr>
            <w:tcW w:w="1294" w:type="dxa"/>
            <w:shd w:val="clear" w:color="auto" w:fill="DBE5F1" w:themeFill="accent1" w:themeFillTint="33"/>
            <w:vAlign w:val="center"/>
          </w:tcPr>
          <w:p w:rsidR="009B7F3A" w:rsidRPr="00503B24" w:rsidRDefault="009B7F3A" w:rsidP="009B7F3A">
            <w:pPr>
              <w:rPr>
                <w:sz w:val="18"/>
                <w:szCs w:val="18"/>
              </w:rPr>
            </w:pPr>
            <w:r w:rsidRPr="00503B24">
              <w:rPr>
                <w:rFonts w:eastAsia="Times New Roman"/>
                <w:b/>
                <w:bCs/>
                <w:i/>
                <w:iCs/>
                <w:sz w:val="18"/>
                <w:szCs w:val="18"/>
              </w:rPr>
              <w:t>3</w:t>
            </w:r>
          </w:p>
        </w:tc>
        <w:tc>
          <w:tcPr>
            <w:tcW w:w="2079" w:type="dxa"/>
            <w:shd w:val="clear" w:color="auto" w:fill="DBE5F1" w:themeFill="accent1" w:themeFillTint="33"/>
            <w:vAlign w:val="center"/>
          </w:tcPr>
          <w:p w:rsidR="009B7F3A" w:rsidRPr="00503B24" w:rsidRDefault="009B7F3A" w:rsidP="009B7F3A">
            <w:pPr>
              <w:jc w:val="center"/>
              <w:rPr>
                <w:sz w:val="18"/>
                <w:szCs w:val="18"/>
              </w:rPr>
            </w:pPr>
            <w:r>
              <w:rPr>
                <w:rFonts w:eastAsia="Times New Roman"/>
                <w:b/>
                <w:bCs/>
                <w:i/>
                <w:iCs/>
                <w:sz w:val="18"/>
                <w:szCs w:val="18"/>
              </w:rPr>
              <w:t>+</w:t>
            </w:r>
            <w:r w:rsidRPr="00503B24">
              <w:rPr>
                <w:rFonts w:eastAsia="Times New Roman"/>
                <w:b/>
                <w:bCs/>
                <w:i/>
                <w:iCs/>
                <w:sz w:val="18"/>
                <w:szCs w:val="18"/>
              </w:rPr>
              <w:t>2.5</w:t>
            </w:r>
          </w:p>
        </w:tc>
        <w:tc>
          <w:tcPr>
            <w:tcW w:w="2214" w:type="dxa"/>
            <w:shd w:val="clear" w:color="auto" w:fill="DBE5F1" w:themeFill="accent1" w:themeFillTint="33"/>
            <w:vAlign w:val="center"/>
          </w:tcPr>
          <w:p w:rsidR="009B7F3A" w:rsidRPr="00503B24" w:rsidRDefault="009B7F3A" w:rsidP="009B7F3A">
            <w:pPr>
              <w:jc w:val="center"/>
              <w:rPr>
                <w:sz w:val="18"/>
                <w:szCs w:val="18"/>
              </w:rPr>
            </w:pPr>
            <w:r>
              <w:rPr>
                <w:rFonts w:eastAsia="Times New Roman"/>
                <w:b/>
                <w:bCs/>
                <w:i/>
                <w:iCs/>
                <w:sz w:val="18"/>
                <w:szCs w:val="18"/>
              </w:rPr>
              <w:t>+</w:t>
            </w:r>
            <w:r w:rsidRPr="00503B24">
              <w:rPr>
                <w:rFonts w:eastAsia="Times New Roman"/>
                <w:b/>
                <w:bCs/>
                <w:i/>
                <w:iCs/>
                <w:sz w:val="18"/>
                <w:szCs w:val="18"/>
              </w:rPr>
              <w:t>2.5</w:t>
            </w:r>
          </w:p>
        </w:tc>
        <w:tc>
          <w:tcPr>
            <w:tcW w:w="2280" w:type="dxa"/>
            <w:shd w:val="clear" w:color="auto" w:fill="DBE5F1" w:themeFill="accent1" w:themeFillTint="33"/>
            <w:vAlign w:val="center"/>
          </w:tcPr>
          <w:p w:rsidR="009B7F3A" w:rsidRPr="009B7F3A" w:rsidRDefault="009B7F3A" w:rsidP="009B7F3A">
            <w:pPr>
              <w:jc w:val="center"/>
              <w:rPr>
                <w:rFonts w:eastAsia="Times New Roman"/>
                <w:bCs/>
                <w:iCs/>
                <w:color w:val="000000" w:themeColor="text1"/>
                <w:sz w:val="18"/>
                <w:szCs w:val="18"/>
              </w:rPr>
            </w:pPr>
            <w:r>
              <w:rPr>
                <w:rFonts w:eastAsia="Times New Roman"/>
                <w:b/>
                <w:bCs/>
                <w:i/>
                <w:iCs/>
                <w:sz w:val="18"/>
                <w:szCs w:val="18"/>
              </w:rPr>
              <w:t>+</w:t>
            </w:r>
            <w:r w:rsidRPr="00B20E96">
              <w:rPr>
                <w:rFonts w:eastAsia="Times New Roman"/>
                <w:b/>
                <w:bCs/>
                <w:i/>
                <w:iCs/>
                <w:sz w:val="18"/>
                <w:szCs w:val="18"/>
              </w:rPr>
              <w:t>2.5</w:t>
            </w:r>
          </w:p>
        </w:tc>
      </w:tr>
      <w:tr w:rsidR="009B7F3A" w:rsidRPr="00CF4E31" w:rsidTr="00503B24">
        <w:trPr>
          <w:jc w:val="center"/>
        </w:trPr>
        <w:tc>
          <w:tcPr>
            <w:tcW w:w="1294" w:type="dxa"/>
            <w:shd w:val="clear" w:color="auto" w:fill="auto"/>
            <w:vAlign w:val="center"/>
          </w:tcPr>
          <w:p w:rsidR="009B7F3A" w:rsidRPr="00503B24" w:rsidRDefault="009B7F3A" w:rsidP="009B7F3A">
            <w:pPr>
              <w:rPr>
                <w:sz w:val="18"/>
                <w:szCs w:val="18"/>
              </w:rPr>
            </w:pPr>
            <w:r w:rsidRPr="00503B24">
              <w:rPr>
                <w:rFonts w:eastAsia="Times New Roman"/>
                <w:sz w:val="18"/>
                <w:szCs w:val="18"/>
              </w:rPr>
              <w:t>4</w:t>
            </w:r>
          </w:p>
        </w:tc>
        <w:tc>
          <w:tcPr>
            <w:tcW w:w="2079" w:type="dxa"/>
            <w:shd w:val="clear" w:color="auto" w:fill="auto"/>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Pr="00B20E96">
              <w:rPr>
                <w:rFonts w:eastAsia="Times New Roman"/>
                <w:sz w:val="18"/>
                <w:szCs w:val="18"/>
              </w:rPr>
              <w:t>1.9</w:t>
            </w:r>
          </w:p>
        </w:tc>
        <w:tc>
          <w:tcPr>
            <w:tcW w:w="2214" w:type="dxa"/>
            <w:shd w:val="clear" w:color="auto" w:fill="auto"/>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Pr="00B20E96">
              <w:rPr>
                <w:rFonts w:eastAsia="Times New Roman"/>
                <w:sz w:val="18"/>
                <w:szCs w:val="18"/>
              </w:rPr>
              <w:t>1.9</w:t>
            </w:r>
          </w:p>
        </w:tc>
        <w:tc>
          <w:tcPr>
            <w:tcW w:w="2280" w:type="dxa"/>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Pr="00B20E96">
              <w:rPr>
                <w:rFonts w:eastAsia="Times New Roman"/>
                <w:sz w:val="18"/>
                <w:szCs w:val="18"/>
              </w:rPr>
              <w:t>1.9</w:t>
            </w:r>
          </w:p>
        </w:tc>
      </w:tr>
      <w:tr w:rsidR="009B7F3A" w:rsidRPr="00CF4E31" w:rsidTr="00C357B6">
        <w:trPr>
          <w:jc w:val="center"/>
        </w:trPr>
        <w:tc>
          <w:tcPr>
            <w:tcW w:w="1294" w:type="dxa"/>
            <w:shd w:val="clear" w:color="auto" w:fill="DBE5F1" w:themeFill="accent1" w:themeFillTint="33"/>
            <w:vAlign w:val="center"/>
          </w:tcPr>
          <w:p w:rsidR="009B7F3A" w:rsidRPr="00503B24" w:rsidRDefault="009B7F3A" w:rsidP="009B7F3A">
            <w:pPr>
              <w:rPr>
                <w:b/>
                <w:i/>
                <w:sz w:val="18"/>
                <w:szCs w:val="18"/>
              </w:rPr>
            </w:pPr>
            <w:r w:rsidRPr="00503B24">
              <w:rPr>
                <w:rFonts w:eastAsia="Times New Roman"/>
                <w:b/>
                <w:i/>
                <w:sz w:val="18"/>
                <w:szCs w:val="18"/>
              </w:rPr>
              <w:t>5</w:t>
            </w:r>
          </w:p>
        </w:tc>
        <w:tc>
          <w:tcPr>
            <w:tcW w:w="2079" w:type="dxa"/>
            <w:shd w:val="clear" w:color="auto" w:fill="DBE5F1" w:themeFill="accent1" w:themeFillTint="33"/>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Pr="00B20E96">
              <w:rPr>
                <w:rFonts w:eastAsia="Times New Roman"/>
                <w:sz w:val="18"/>
                <w:szCs w:val="18"/>
              </w:rPr>
              <w:t>2.4</w:t>
            </w:r>
          </w:p>
        </w:tc>
        <w:tc>
          <w:tcPr>
            <w:tcW w:w="2214" w:type="dxa"/>
            <w:shd w:val="clear" w:color="auto" w:fill="DBE5F1" w:themeFill="accent1" w:themeFillTint="33"/>
            <w:vAlign w:val="center"/>
          </w:tcPr>
          <w:p w:rsidR="009B7F3A" w:rsidRPr="00503B24" w:rsidRDefault="009B7F3A" w:rsidP="009B7F3A">
            <w:pPr>
              <w:jc w:val="center"/>
              <w:rPr>
                <w:rFonts w:eastAsia="Times New Roman"/>
                <w:b/>
                <w:bCs/>
                <w:i/>
                <w:iCs/>
                <w:sz w:val="18"/>
                <w:szCs w:val="18"/>
              </w:rPr>
            </w:pPr>
            <w:r w:rsidRPr="00503B24">
              <w:rPr>
                <w:rFonts w:eastAsia="Times New Roman"/>
                <w:b/>
                <w:i/>
                <w:sz w:val="18"/>
                <w:szCs w:val="18"/>
              </w:rPr>
              <w:t>+2.5</w:t>
            </w:r>
          </w:p>
        </w:tc>
        <w:tc>
          <w:tcPr>
            <w:tcW w:w="2280" w:type="dxa"/>
            <w:shd w:val="clear" w:color="auto" w:fill="DBE5F1" w:themeFill="accent1" w:themeFillTint="33"/>
            <w:vAlign w:val="center"/>
          </w:tcPr>
          <w:p w:rsidR="009B7F3A" w:rsidRPr="009B7F3A" w:rsidRDefault="009B7F3A" w:rsidP="009B7F3A">
            <w:pPr>
              <w:jc w:val="center"/>
              <w:rPr>
                <w:rFonts w:eastAsia="Times New Roman"/>
                <w:bCs/>
                <w:iCs/>
                <w:sz w:val="18"/>
                <w:szCs w:val="18"/>
              </w:rPr>
            </w:pPr>
            <w:r>
              <w:rPr>
                <w:rFonts w:eastAsia="Times New Roman"/>
                <w:b/>
                <w:bCs/>
                <w:i/>
                <w:iCs/>
                <w:sz w:val="18"/>
                <w:szCs w:val="18"/>
              </w:rPr>
              <w:t>+</w:t>
            </w:r>
            <w:r w:rsidRPr="00B20E96">
              <w:rPr>
                <w:rFonts w:eastAsia="Times New Roman"/>
                <w:b/>
                <w:bCs/>
                <w:i/>
                <w:iCs/>
                <w:sz w:val="18"/>
                <w:szCs w:val="18"/>
              </w:rPr>
              <w:t>2.6</w:t>
            </w:r>
          </w:p>
        </w:tc>
      </w:tr>
      <w:tr w:rsidR="009B7F3A" w:rsidRPr="00CF4E31" w:rsidTr="00503B24">
        <w:trPr>
          <w:jc w:val="center"/>
        </w:trPr>
        <w:tc>
          <w:tcPr>
            <w:tcW w:w="1294" w:type="dxa"/>
            <w:tcBorders>
              <w:bottom w:val="single" w:sz="4" w:space="0" w:color="244061" w:themeColor="accent1" w:themeShade="80"/>
            </w:tcBorders>
            <w:shd w:val="clear" w:color="auto" w:fill="auto"/>
            <w:vAlign w:val="center"/>
          </w:tcPr>
          <w:p w:rsidR="009B7F3A" w:rsidRPr="00503B24" w:rsidRDefault="009B7F3A" w:rsidP="009B7F3A">
            <w:pPr>
              <w:rPr>
                <w:sz w:val="18"/>
                <w:szCs w:val="18"/>
              </w:rPr>
            </w:pPr>
            <w:r w:rsidRPr="00503B24">
              <w:rPr>
                <w:rFonts w:eastAsia="Times New Roman"/>
                <w:sz w:val="18"/>
                <w:szCs w:val="18"/>
              </w:rPr>
              <w:t>6</w:t>
            </w:r>
          </w:p>
        </w:tc>
        <w:tc>
          <w:tcPr>
            <w:tcW w:w="2079" w:type="dxa"/>
            <w:tcBorders>
              <w:bottom w:val="single" w:sz="4" w:space="0" w:color="244061" w:themeColor="accent1" w:themeShade="80"/>
            </w:tcBorders>
            <w:shd w:val="clear" w:color="auto" w:fill="auto"/>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00175C0C">
              <w:rPr>
                <w:rFonts w:eastAsia="Times New Roman"/>
                <w:sz w:val="18"/>
                <w:szCs w:val="18"/>
              </w:rPr>
              <w:t>1</w:t>
            </w:r>
            <w:r w:rsidR="00C84632">
              <w:rPr>
                <w:rFonts w:eastAsia="Times New Roman"/>
                <w:sz w:val="18"/>
                <w:szCs w:val="18"/>
              </w:rPr>
              <w:t>.</w:t>
            </w:r>
            <w:r w:rsidR="00175C0C">
              <w:rPr>
                <w:rFonts w:eastAsia="Times New Roman"/>
                <w:sz w:val="18"/>
                <w:szCs w:val="18"/>
              </w:rPr>
              <w:t>1</w:t>
            </w:r>
          </w:p>
        </w:tc>
        <w:tc>
          <w:tcPr>
            <w:tcW w:w="2214" w:type="dxa"/>
            <w:tcBorders>
              <w:bottom w:val="single" w:sz="4" w:space="0" w:color="244061" w:themeColor="accent1" w:themeShade="80"/>
            </w:tcBorders>
            <w:shd w:val="clear" w:color="auto" w:fill="auto"/>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00175C0C">
              <w:rPr>
                <w:rFonts w:eastAsia="Times New Roman"/>
                <w:sz w:val="18"/>
                <w:szCs w:val="18"/>
              </w:rPr>
              <w:t>1</w:t>
            </w:r>
            <w:r w:rsidR="00C84632">
              <w:rPr>
                <w:rFonts w:eastAsia="Times New Roman"/>
                <w:sz w:val="18"/>
                <w:szCs w:val="18"/>
              </w:rPr>
              <w:t>.</w:t>
            </w:r>
            <w:r w:rsidR="00175C0C">
              <w:rPr>
                <w:rFonts w:eastAsia="Times New Roman"/>
                <w:sz w:val="18"/>
                <w:szCs w:val="18"/>
              </w:rPr>
              <w:t>0</w:t>
            </w:r>
          </w:p>
        </w:tc>
        <w:tc>
          <w:tcPr>
            <w:tcW w:w="2280" w:type="dxa"/>
            <w:tcBorders>
              <w:bottom w:val="single" w:sz="4" w:space="0" w:color="244061" w:themeColor="accent1" w:themeShade="80"/>
            </w:tcBorders>
            <w:vAlign w:val="center"/>
          </w:tcPr>
          <w:p w:rsidR="009B7F3A" w:rsidRPr="009B7F3A" w:rsidRDefault="009B7F3A" w:rsidP="009B7F3A">
            <w:pPr>
              <w:jc w:val="center"/>
              <w:rPr>
                <w:rFonts w:eastAsia="Times New Roman"/>
                <w:bCs/>
                <w:iCs/>
                <w:sz w:val="18"/>
                <w:szCs w:val="18"/>
              </w:rPr>
            </w:pPr>
            <w:r>
              <w:rPr>
                <w:rFonts w:eastAsia="Times New Roman"/>
                <w:sz w:val="18"/>
                <w:szCs w:val="18"/>
              </w:rPr>
              <w:t>+</w:t>
            </w:r>
            <w:r w:rsidR="00C84632">
              <w:rPr>
                <w:rFonts w:eastAsia="Times New Roman"/>
                <w:sz w:val="18"/>
                <w:szCs w:val="18"/>
              </w:rPr>
              <w:t>0.</w:t>
            </w:r>
            <w:r w:rsidR="00173AC1">
              <w:rPr>
                <w:rFonts w:eastAsia="Times New Roman"/>
                <w:sz w:val="18"/>
                <w:szCs w:val="18"/>
              </w:rPr>
              <w:t>9</w:t>
            </w:r>
          </w:p>
        </w:tc>
      </w:tr>
    </w:tbl>
    <w:p w:rsidR="009B7F3A" w:rsidRPr="00503B24" w:rsidRDefault="009B7F3A" w:rsidP="00391F0F">
      <w:pPr>
        <w:jc w:val="both"/>
        <w:rPr>
          <w:rFonts w:asciiTheme="majorHAnsi" w:eastAsiaTheme="majorEastAsia" w:hAnsiTheme="majorHAnsi" w:cstheme="majorBidi"/>
          <w:b/>
          <w:bCs/>
          <w:color w:val="BE2A18"/>
        </w:rPr>
      </w:pPr>
    </w:p>
    <w:p w:rsidR="002C786C" w:rsidRDefault="00391F0F">
      <w:pPr>
        <w:jc w:val="both"/>
        <w:rPr>
          <w:lang w:val="en-US"/>
        </w:rPr>
      </w:pPr>
      <w:r>
        <w:t xml:space="preserve">Changing the weightings as shown in Table </w:t>
      </w:r>
      <w:r w:rsidR="009B7F3A">
        <w:t>26</w:t>
      </w:r>
      <w:r>
        <w:t xml:space="preserve"> shifts the emphasis away from </w:t>
      </w:r>
      <w:r w:rsidR="009B7F3A">
        <w:t>animal welfare towards rehoming potential</w:t>
      </w:r>
      <w:r>
        <w:t>.</w:t>
      </w:r>
      <w:r w:rsidR="007B521C">
        <w:t xml:space="preserve"> </w:t>
      </w:r>
      <w:r>
        <w:t xml:space="preserve">The change in the weights </w:t>
      </w:r>
      <w:r w:rsidR="009B7F3A">
        <w:t>does not alter</w:t>
      </w:r>
      <w:r>
        <w:t xml:space="preserve"> the ranking of</w:t>
      </w:r>
      <w:r w:rsidR="009B7F3A">
        <w:t xml:space="preserve"> options</w:t>
      </w:r>
      <w:r w:rsidR="00C84632">
        <w:t xml:space="preserve"> –</w:t>
      </w:r>
      <w:r w:rsidR="009B7F3A">
        <w:t xml:space="preserve"> with Option 3</w:t>
      </w:r>
      <w:r>
        <w:t xml:space="preserve"> providing the highest weighted score</w:t>
      </w:r>
      <w:r w:rsidR="009B7F3A">
        <w:t xml:space="preserve"> </w:t>
      </w:r>
      <w:r w:rsidR="00C84632">
        <w:t xml:space="preserve">of +2.5 </w:t>
      </w:r>
      <w:r w:rsidR="009B7F3A">
        <w:t xml:space="preserve">in each </w:t>
      </w:r>
      <w:r w:rsidR="00C84632">
        <w:t xml:space="preserve">sensitivity test, </w:t>
      </w:r>
      <w:r w:rsidR="009B7F3A">
        <w:t xml:space="preserve">except for when the weighting for animal welfare is reduced to </w:t>
      </w:r>
      <w:r w:rsidR="006B3BD9">
        <w:t xml:space="preserve">15% or </w:t>
      </w:r>
      <w:r w:rsidR="009B7F3A">
        <w:t>10%</w:t>
      </w:r>
      <w:r w:rsidR="00C84632">
        <w:t xml:space="preserve"> (see Table 26)</w:t>
      </w:r>
      <w:r w:rsidR="009B7F3A">
        <w:t>.</w:t>
      </w:r>
      <w:r w:rsidR="007B521C">
        <w:t xml:space="preserve"> </w:t>
      </w:r>
      <w:r w:rsidR="00C84632">
        <w:t>As shown in Table 26 with a lower emphasis on welfare (15% weighting) Options 3 and 5 come out with equivalent weighted scores of +2.5.</w:t>
      </w:r>
      <w:r w:rsidR="007B521C">
        <w:t xml:space="preserve"> </w:t>
      </w:r>
      <w:r w:rsidR="00C84632">
        <w:t>With a further reduction in the emphasis on welfare (10% weighting), Option 5 comes out with the highest weighted score of +2.6.</w:t>
      </w:r>
      <w:r w:rsidR="007B521C">
        <w:t xml:space="preserve"> </w:t>
      </w:r>
      <w:r w:rsidR="00B97E2C">
        <w:t>A</w:t>
      </w:r>
      <w:r w:rsidR="00C84632">
        <w:t xml:space="preserve">s the emphasis of proposed Code is on both animal welfare and rehoming potential, lower weightings for animal welfare are not reflective or appropriate as a consideration and, in this way, the sensitivity test </w:t>
      </w:r>
      <w:r w:rsidR="00547FC4">
        <w:t>does not affect the choice of the preferred option.</w:t>
      </w:r>
    </w:p>
    <w:p w:rsidR="008A02E4" w:rsidRDefault="008A02E4">
      <w:pPr>
        <w:rPr>
          <w:rFonts w:asciiTheme="majorHAnsi" w:eastAsiaTheme="majorEastAsia" w:hAnsiTheme="majorHAnsi" w:cstheme="majorBidi"/>
          <w:color w:val="53565A"/>
          <w:sz w:val="32"/>
          <w:szCs w:val="32"/>
        </w:rPr>
      </w:pPr>
      <w:bookmarkStart w:id="150" w:name="_Toc469529183"/>
      <w:r>
        <w:br w:type="page"/>
      </w:r>
    </w:p>
    <w:p w:rsidR="001D1A22" w:rsidRPr="004D060C" w:rsidRDefault="001D1A22" w:rsidP="005F3125">
      <w:pPr>
        <w:pStyle w:val="Heading1"/>
      </w:pPr>
      <w:bookmarkStart w:id="151" w:name="_Toc477190207"/>
      <w:r w:rsidRPr="00070EEF">
        <w:lastRenderedPageBreak/>
        <w:t xml:space="preserve">Section </w:t>
      </w:r>
      <w:r>
        <w:t>6</w:t>
      </w:r>
      <w:r w:rsidRPr="00070EEF">
        <w:t xml:space="preserve"> </w:t>
      </w:r>
      <w:r>
        <w:t>Impact on small business</w:t>
      </w:r>
      <w:bookmarkEnd w:id="147"/>
      <w:bookmarkEnd w:id="150"/>
      <w:bookmarkEnd w:id="151"/>
    </w:p>
    <w:p w:rsidR="00233D02" w:rsidRDefault="009420BC" w:rsidP="00233D02">
      <w:pPr>
        <w:pStyle w:val="BodyText20"/>
        <w:rPr>
          <w:rFonts w:ascii="Calibri" w:hAnsi="Calibri"/>
          <w:sz w:val="22"/>
          <w:szCs w:val="22"/>
          <w:lang w:val="en-US"/>
        </w:rPr>
      </w:pPr>
      <w:r>
        <w:rPr>
          <w:rFonts w:ascii="Calibri" w:hAnsi="Calibri"/>
          <w:sz w:val="22"/>
          <w:szCs w:val="22"/>
          <w:lang w:val="en-US"/>
        </w:rPr>
        <w:t xml:space="preserve">For the purposes of this RIS </w:t>
      </w:r>
      <w:r w:rsidR="00717482">
        <w:rPr>
          <w:rFonts w:ascii="Calibri" w:hAnsi="Calibri"/>
          <w:sz w:val="22"/>
          <w:szCs w:val="22"/>
          <w:lang w:val="en-US"/>
        </w:rPr>
        <w:t xml:space="preserve">small breeders are established as those participants </w:t>
      </w:r>
      <w:r>
        <w:rPr>
          <w:rFonts w:ascii="Calibri" w:hAnsi="Calibri"/>
          <w:sz w:val="22"/>
          <w:szCs w:val="22"/>
          <w:lang w:val="en-US"/>
        </w:rPr>
        <w:t xml:space="preserve">who have whelped less than </w:t>
      </w:r>
      <w:r w:rsidR="00717482">
        <w:rPr>
          <w:rFonts w:ascii="Calibri" w:hAnsi="Calibri"/>
          <w:sz w:val="22"/>
          <w:szCs w:val="22"/>
          <w:lang w:val="en-US"/>
        </w:rPr>
        <w:t>3 litters and sm</w:t>
      </w:r>
      <w:r>
        <w:rPr>
          <w:rFonts w:ascii="Calibri" w:hAnsi="Calibri"/>
          <w:sz w:val="22"/>
          <w:szCs w:val="22"/>
          <w:lang w:val="en-US"/>
        </w:rPr>
        <w:t xml:space="preserve">all trainers/owners </w:t>
      </w:r>
      <w:r w:rsidR="00717482">
        <w:rPr>
          <w:rFonts w:ascii="Calibri" w:hAnsi="Calibri"/>
          <w:sz w:val="22"/>
          <w:szCs w:val="22"/>
          <w:lang w:val="en-US"/>
        </w:rPr>
        <w:t xml:space="preserve">are those </w:t>
      </w:r>
      <w:r>
        <w:rPr>
          <w:rFonts w:ascii="Calibri" w:hAnsi="Calibri"/>
          <w:sz w:val="22"/>
          <w:szCs w:val="22"/>
          <w:lang w:val="en-US"/>
        </w:rPr>
        <w:t>with less than 9</w:t>
      </w:r>
      <w:r w:rsidR="00717482">
        <w:rPr>
          <w:rFonts w:ascii="Calibri" w:hAnsi="Calibri"/>
          <w:sz w:val="22"/>
          <w:szCs w:val="22"/>
          <w:lang w:val="en-US"/>
        </w:rPr>
        <w:t xml:space="preserve"> greyhounds</w:t>
      </w:r>
      <w:r>
        <w:rPr>
          <w:rFonts w:ascii="Calibri" w:hAnsi="Calibri"/>
          <w:sz w:val="22"/>
          <w:szCs w:val="22"/>
          <w:lang w:val="en-US"/>
        </w:rPr>
        <w:t xml:space="preserve"> who made a start</w:t>
      </w:r>
      <w:r w:rsidR="00717482">
        <w:rPr>
          <w:rFonts w:ascii="Calibri" w:hAnsi="Calibri"/>
          <w:sz w:val="22"/>
          <w:szCs w:val="22"/>
          <w:lang w:val="en-US"/>
        </w:rPr>
        <w:t>.</w:t>
      </w:r>
      <w:r w:rsidR="007B521C">
        <w:rPr>
          <w:rFonts w:ascii="Calibri" w:hAnsi="Calibri"/>
          <w:sz w:val="22"/>
          <w:szCs w:val="22"/>
          <w:lang w:val="en-US"/>
        </w:rPr>
        <w:t xml:space="preserve"> </w:t>
      </w:r>
      <w:r w:rsidR="00233D02">
        <w:rPr>
          <w:rFonts w:ascii="Calibri" w:hAnsi="Calibri"/>
          <w:sz w:val="22"/>
          <w:szCs w:val="22"/>
          <w:lang w:val="en-US"/>
        </w:rPr>
        <w:t>A</w:t>
      </w:r>
      <w:r>
        <w:rPr>
          <w:rFonts w:ascii="Calibri" w:hAnsi="Calibri"/>
          <w:sz w:val="22"/>
          <w:szCs w:val="22"/>
          <w:lang w:val="en-US"/>
        </w:rPr>
        <w:t xml:space="preserve">s shown in Table 2 in this RIS, small breeders constitute 21.55% </w:t>
      </w:r>
      <w:r w:rsidR="00BD28C4">
        <w:rPr>
          <w:rFonts w:ascii="Calibri" w:hAnsi="Calibri"/>
          <w:sz w:val="22"/>
          <w:szCs w:val="22"/>
          <w:lang w:val="en-US"/>
        </w:rPr>
        <w:br/>
      </w:r>
      <w:r>
        <w:rPr>
          <w:rFonts w:ascii="Calibri" w:hAnsi="Calibri"/>
          <w:sz w:val="22"/>
          <w:szCs w:val="22"/>
          <w:lang w:val="en-US"/>
        </w:rPr>
        <w:t xml:space="preserve">of unique breeders and trainers and small trainers represent 64.5% of unique breeders </w:t>
      </w:r>
      <w:r w:rsidR="00BD28C4">
        <w:rPr>
          <w:rFonts w:ascii="Calibri" w:hAnsi="Calibri"/>
          <w:sz w:val="22"/>
          <w:szCs w:val="22"/>
          <w:lang w:val="en-US"/>
        </w:rPr>
        <w:br/>
      </w:r>
      <w:r>
        <w:rPr>
          <w:rFonts w:ascii="Calibri" w:hAnsi="Calibri"/>
          <w:sz w:val="22"/>
          <w:szCs w:val="22"/>
          <w:lang w:val="en-US"/>
        </w:rPr>
        <w:t>and trainers.</w:t>
      </w:r>
      <w:r w:rsidR="007B521C">
        <w:rPr>
          <w:rFonts w:ascii="Calibri" w:hAnsi="Calibri"/>
          <w:sz w:val="22"/>
          <w:szCs w:val="22"/>
          <w:lang w:val="en-US"/>
        </w:rPr>
        <w:t xml:space="preserve"> </w:t>
      </w:r>
      <w:r w:rsidR="00233D02">
        <w:rPr>
          <w:rFonts w:ascii="Calibri" w:hAnsi="Calibri"/>
          <w:sz w:val="22"/>
          <w:szCs w:val="22"/>
          <w:lang w:val="en-US"/>
        </w:rPr>
        <w:t xml:space="preserve">As shown in Table 1 in this RIS, 97.5% of unique owners are considered </w:t>
      </w:r>
      <w:r w:rsidR="00BD28C4">
        <w:rPr>
          <w:rFonts w:ascii="Calibri" w:hAnsi="Calibri"/>
          <w:sz w:val="22"/>
          <w:szCs w:val="22"/>
          <w:lang w:val="en-US"/>
        </w:rPr>
        <w:br/>
      </w:r>
      <w:r w:rsidR="00233D02">
        <w:rPr>
          <w:rFonts w:ascii="Calibri" w:hAnsi="Calibri"/>
          <w:sz w:val="22"/>
          <w:szCs w:val="22"/>
          <w:lang w:val="en-US"/>
        </w:rPr>
        <w:t>to be small.</w:t>
      </w:r>
      <w:r w:rsidR="007B521C">
        <w:rPr>
          <w:rFonts w:ascii="Calibri" w:hAnsi="Calibri"/>
          <w:sz w:val="22"/>
          <w:szCs w:val="22"/>
          <w:lang w:val="en-US"/>
        </w:rPr>
        <w:t xml:space="preserve"> </w:t>
      </w:r>
    </w:p>
    <w:p w:rsidR="00233D02" w:rsidRDefault="00233D02" w:rsidP="001D1A22">
      <w:pPr>
        <w:pStyle w:val="BodyText20"/>
        <w:rPr>
          <w:rFonts w:ascii="Calibri" w:hAnsi="Calibri"/>
          <w:sz w:val="22"/>
          <w:szCs w:val="22"/>
          <w:lang w:val="en-US"/>
        </w:rPr>
      </w:pPr>
    </w:p>
    <w:p w:rsidR="001D1A22" w:rsidRDefault="009420BC" w:rsidP="001D1A22">
      <w:pPr>
        <w:pStyle w:val="BodyText20"/>
        <w:rPr>
          <w:rFonts w:ascii="Calibri" w:hAnsi="Calibri"/>
          <w:sz w:val="22"/>
          <w:szCs w:val="22"/>
          <w:lang w:val="en-US"/>
        </w:rPr>
      </w:pPr>
      <w:r>
        <w:rPr>
          <w:rFonts w:ascii="Calibri" w:hAnsi="Calibri"/>
          <w:sz w:val="22"/>
          <w:szCs w:val="22"/>
          <w:lang w:val="en-US"/>
        </w:rPr>
        <w:t xml:space="preserve">With respect to small breeders, as shown in Table 21, they are likely to incur 21.16% of </w:t>
      </w:r>
      <w:r w:rsidR="00BD28C4">
        <w:rPr>
          <w:rFonts w:ascii="Calibri" w:hAnsi="Calibri"/>
          <w:sz w:val="22"/>
          <w:szCs w:val="22"/>
          <w:lang w:val="en-US"/>
        </w:rPr>
        <w:br/>
      </w:r>
      <w:r>
        <w:rPr>
          <w:rFonts w:ascii="Calibri" w:hAnsi="Calibri"/>
          <w:sz w:val="22"/>
          <w:szCs w:val="22"/>
          <w:lang w:val="en-US"/>
        </w:rPr>
        <w:t>the 10 year incremental costs under the proposed Code and therefore are not disproportionately affected.</w:t>
      </w:r>
      <w:r w:rsidR="007B521C">
        <w:rPr>
          <w:rFonts w:ascii="Calibri" w:hAnsi="Calibri"/>
          <w:sz w:val="22"/>
          <w:szCs w:val="22"/>
          <w:lang w:val="en-US"/>
        </w:rPr>
        <w:t xml:space="preserve"> </w:t>
      </w:r>
      <w:r w:rsidR="00233D02">
        <w:rPr>
          <w:rFonts w:ascii="Calibri" w:hAnsi="Calibri"/>
          <w:sz w:val="22"/>
          <w:szCs w:val="22"/>
          <w:lang w:val="en-US"/>
        </w:rPr>
        <w:t xml:space="preserve">Large breeders </w:t>
      </w:r>
      <w:r>
        <w:rPr>
          <w:rFonts w:ascii="Calibri" w:hAnsi="Calibri"/>
          <w:sz w:val="22"/>
          <w:szCs w:val="22"/>
          <w:lang w:val="en-US"/>
        </w:rPr>
        <w:t xml:space="preserve">constitute 2.58% of unique breeders </w:t>
      </w:r>
      <w:r w:rsidR="00233D02">
        <w:rPr>
          <w:rFonts w:ascii="Calibri" w:hAnsi="Calibri"/>
          <w:sz w:val="22"/>
          <w:szCs w:val="22"/>
          <w:lang w:val="en-US"/>
        </w:rPr>
        <w:t xml:space="preserve">and trainers and </w:t>
      </w:r>
      <w:r>
        <w:rPr>
          <w:rFonts w:ascii="Calibri" w:hAnsi="Calibri"/>
          <w:sz w:val="22"/>
          <w:szCs w:val="22"/>
          <w:lang w:val="en-US"/>
        </w:rPr>
        <w:t>are likely to incur 6.54% of the cost.</w:t>
      </w:r>
    </w:p>
    <w:p w:rsidR="009420BC" w:rsidRDefault="009420BC" w:rsidP="001D1A22">
      <w:pPr>
        <w:pStyle w:val="BodyText20"/>
        <w:rPr>
          <w:rFonts w:ascii="Calibri" w:hAnsi="Calibri"/>
          <w:sz w:val="22"/>
          <w:szCs w:val="22"/>
          <w:lang w:val="en-US"/>
        </w:rPr>
      </w:pPr>
    </w:p>
    <w:p w:rsidR="00233D02" w:rsidRDefault="009420BC" w:rsidP="0093368F">
      <w:pPr>
        <w:pStyle w:val="BodyText20"/>
        <w:rPr>
          <w:rFonts w:ascii="Calibri" w:hAnsi="Calibri"/>
          <w:sz w:val="22"/>
          <w:szCs w:val="22"/>
          <w:lang w:val="en-US"/>
        </w:rPr>
      </w:pPr>
      <w:r>
        <w:rPr>
          <w:rFonts w:ascii="Calibri" w:hAnsi="Calibri"/>
          <w:sz w:val="22"/>
          <w:szCs w:val="22"/>
          <w:lang w:val="en-US"/>
        </w:rPr>
        <w:t>Assuming that there are 484 small breeders</w:t>
      </w:r>
      <w:r w:rsidR="00503B24">
        <w:rPr>
          <w:rFonts w:ascii="Calibri" w:hAnsi="Calibri"/>
          <w:sz w:val="22"/>
          <w:szCs w:val="22"/>
          <w:lang w:val="en-US"/>
        </w:rPr>
        <w:t xml:space="preserve"> and 58 large breeders</w:t>
      </w:r>
      <w:r>
        <w:rPr>
          <w:rFonts w:ascii="Calibri" w:hAnsi="Calibri"/>
          <w:sz w:val="22"/>
          <w:szCs w:val="22"/>
          <w:lang w:val="en-US"/>
        </w:rPr>
        <w:t xml:space="preserve"> (see Table 2) with an </w:t>
      </w:r>
      <w:r w:rsidRPr="00D23AFA">
        <w:rPr>
          <w:rFonts w:ascii="Calibri" w:hAnsi="Calibri"/>
          <w:sz w:val="22"/>
          <w:szCs w:val="22"/>
        </w:rPr>
        <w:t>annualised</w:t>
      </w:r>
      <w:r>
        <w:rPr>
          <w:rFonts w:ascii="Calibri" w:hAnsi="Calibri"/>
          <w:sz w:val="22"/>
          <w:szCs w:val="22"/>
          <w:lang w:val="en-US"/>
        </w:rPr>
        <w:t xml:space="preserve"> cost of $3m</w:t>
      </w:r>
      <w:r w:rsidR="00503B24">
        <w:rPr>
          <w:rFonts w:ascii="Calibri" w:hAnsi="Calibri"/>
          <w:sz w:val="22"/>
          <w:szCs w:val="22"/>
          <w:lang w:val="en-US"/>
        </w:rPr>
        <w:t xml:space="preserve"> and $0.93m, respectively </w:t>
      </w:r>
      <w:r>
        <w:rPr>
          <w:rFonts w:ascii="Calibri" w:hAnsi="Calibri"/>
          <w:sz w:val="22"/>
          <w:szCs w:val="22"/>
          <w:lang w:val="en-US"/>
        </w:rPr>
        <w:t xml:space="preserve">(See Table 21) </w:t>
      </w:r>
      <w:r w:rsidR="00AE0BAF">
        <w:rPr>
          <w:rFonts w:ascii="Calibri" w:hAnsi="Calibri"/>
          <w:sz w:val="22"/>
          <w:szCs w:val="22"/>
          <w:lang w:val="en-US"/>
        </w:rPr>
        <w:t xml:space="preserve">– </w:t>
      </w:r>
      <w:r>
        <w:rPr>
          <w:rFonts w:ascii="Calibri" w:hAnsi="Calibri"/>
          <w:sz w:val="22"/>
          <w:szCs w:val="22"/>
          <w:lang w:val="en-US"/>
        </w:rPr>
        <w:t>this would put the cost pe</w:t>
      </w:r>
      <w:r w:rsidR="00352C72">
        <w:rPr>
          <w:rFonts w:ascii="Calibri" w:hAnsi="Calibri"/>
          <w:sz w:val="22"/>
          <w:szCs w:val="22"/>
          <w:lang w:val="en-US"/>
        </w:rPr>
        <w:t>r small breeder to around $6,196</w:t>
      </w:r>
      <w:r w:rsidR="00F62CE3">
        <w:rPr>
          <w:rFonts w:ascii="Calibri" w:hAnsi="Calibri"/>
          <w:sz w:val="22"/>
          <w:szCs w:val="22"/>
          <w:lang w:val="en-US"/>
        </w:rPr>
        <w:t xml:space="preserve"> per annum</w:t>
      </w:r>
      <w:r w:rsidR="00503B24">
        <w:rPr>
          <w:rFonts w:ascii="Calibri" w:hAnsi="Calibri"/>
          <w:sz w:val="22"/>
          <w:szCs w:val="22"/>
          <w:lang w:val="en-US"/>
        </w:rPr>
        <w:t xml:space="preserve"> and the cost to a large breeder to around </w:t>
      </w:r>
      <w:r w:rsidR="00F62CE3">
        <w:rPr>
          <w:rFonts w:ascii="Calibri" w:hAnsi="Calibri"/>
          <w:sz w:val="22"/>
          <w:szCs w:val="22"/>
          <w:lang w:val="en-US"/>
        </w:rPr>
        <w:t>$15,984 per annum</w:t>
      </w:r>
      <w:r w:rsidR="00503B24" w:rsidRPr="00503B24">
        <w:rPr>
          <w:rFonts w:ascii="Calibri" w:hAnsi="Calibri"/>
          <w:sz w:val="22"/>
          <w:szCs w:val="22"/>
          <w:lang w:val="en-US"/>
        </w:rPr>
        <w:t>.</w:t>
      </w:r>
      <w:r w:rsidR="007B521C">
        <w:rPr>
          <w:rFonts w:ascii="Calibri" w:hAnsi="Calibri"/>
          <w:sz w:val="22"/>
          <w:szCs w:val="22"/>
          <w:lang w:val="en-US"/>
        </w:rPr>
        <w:t xml:space="preserve"> </w:t>
      </w:r>
      <w:r w:rsidR="00503B24">
        <w:rPr>
          <w:rFonts w:ascii="Calibri" w:hAnsi="Calibri"/>
          <w:sz w:val="22"/>
          <w:szCs w:val="22"/>
          <w:lang w:val="en-US"/>
        </w:rPr>
        <w:t>Even i</w:t>
      </w:r>
      <w:r w:rsidR="00503B24" w:rsidRPr="00503B24">
        <w:rPr>
          <w:rFonts w:ascii="Calibri" w:hAnsi="Calibri"/>
          <w:sz w:val="22"/>
          <w:szCs w:val="22"/>
          <w:lang w:val="en-US"/>
        </w:rPr>
        <w:t xml:space="preserve">f a large breeder had around 35 dogs (5 litters) (which the majority would not) and a small breeder had around 14 dogs (2 litters) the costs would be $456.69/dog </w:t>
      </w:r>
      <w:r w:rsidR="00503B24">
        <w:rPr>
          <w:rFonts w:ascii="Calibri" w:hAnsi="Calibri"/>
          <w:sz w:val="22"/>
          <w:szCs w:val="22"/>
          <w:lang w:val="en-US"/>
        </w:rPr>
        <w:t xml:space="preserve">for large breeders </w:t>
      </w:r>
      <w:r w:rsidR="00503B24" w:rsidRPr="00503B24">
        <w:rPr>
          <w:rFonts w:ascii="Calibri" w:hAnsi="Calibri"/>
          <w:sz w:val="22"/>
          <w:szCs w:val="22"/>
          <w:lang w:val="en-US"/>
        </w:rPr>
        <w:t>and $442.57/dog</w:t>
      </w:r>
      <w:r w:rsidR="00503B24">
        <w:rPr>
          <w:rFonts w:ascii="Calibri" w:hAnsi="Calibri"/>
          <w:sz w:val="22"/>
          <w:szCs w:val="22"/>
          <w:lang w:val="en-US"/>
        </w:rPr>
        <w:t xml:space="preserve"> for small breeders</w:t>
      </w:r>
      <w:r w:rsidR="00A91B27">
        <w:rPr>
          <w:rFonts w:ascii="Calibri" w:hAnsi="Calibri"/>
          <w:sz w:val="22"/>
          <w:szCs w:val="22"/>
          <w:lang w:val="en-US"/>
        </w:rPr>
        <w:t xml:space="preserve"> (i.e. the per dog impacts would be the same).</w:t>
      </w:r>
      <w:r w:rsidR="007B521C">
        <w:rPr>
          <w:rFonts w:ascii="Calibri" w:hAnsi="Calibri"/>
          <w:sz w:val="22"/>
          <w:szCs w:val="22"/>
          <w:lang w:val="en-US"/>
        </w:rPr>
        <w:t xml:space="preserve"> </w:t>
      </w:r>
      <w:r w:rsidR="00047F29">
        <w:rPr>
          <w:rFonts w:ascii="Calibri" w:hAnsi="Calibri"/>
          <w:sz w:val="22"/>
          <w:szCs w:val="22"/>
          <w:lang w:val="en-US"/>
        </w:rPr>
        <w:t>Moreover, a</w:t>
      </w:r>
      <w:r w:rsidR="00233D02">
        <w:rPr>
          <w:rFonts w:ascii="Calibri" w:hAnsi="Calibri"/>
          <w:sz w:val="22"/>
          <w:szCs w:val="22"/>
          <w:lang w:val="en-US"/>
        </w:rPr>
        <w:t>ssuming a small breeder was rearing 14 dogs (2 litters of 7 dogs each) at a cost of $50 per dog per week for 36 weeks then this would equal $25,200.</w:t>
      </w:r>
      <w:r w:rsidR="007B521C">
        <w:rPr>
          <w:rFonts w:ascii="Calibri" w:hAnsi="Calibri"/>
          <w:sz w:val="22"/>
          <w:szCs w:val="22"/>
          <w:lang w:val="en-US"/>
        </w:rPr>
        <w:t xml:space="preserve"> </w:t>
      </w:r>
      <w:r w:rsidR="00233D02">
        <w:rPr>
          <w:rFonts w:ascii="Calibri" w:hAnsi="Calibri"/>
          <w:sz w:val="22"/>
          <w:szCs w:val="22"/>
          <w:lang w:val="en-US"/>
        </w:rPr>
        <w:t>For a small breeder, this would mean an increase in cost by 24.58% of revenue.</w:t>
      </w:r>
      <w:r w:rsidR="007B521C">
        <w:rPr>
          <w:rFonts w:ascii="Calibri" w:hAnsi="Calibri"/>
          <w:sz w:val="22"/>
          <w:szCs w:val="22"/>
          <w:lang w:val="en-US"/>
        </w:rPr>
        <w:t xml:space="preserve"> </w:t>
      </w:r>
      <w:r w:rsidR="00233D02">
        <w:rPr>
          <w:rFonts w:ascii="Calibri" w:hAnsi="Calibri"/>
          <w:sz w:val="22"/>
          <w:szCs w:val="22"/>
          <w:lang w:val="en-US"/>
        </w:rPr>
        <w:t xml:space="preserve">However, DEDJTR and GRV have noted that </w:t>
      </w:r>
      <w:r w:rsidR="008108C0">
        <w:rPr>
          <w:rFonts w:ascii="Calibri" w:hAnsi="Calibri"/>
          <w:sz w:val="22"/>
          <w:szCs w:val="22"/>
          <w:lang w:val="en-US"/>
        </w:rPr>
        <w:t xml:space="preserve">it is most likely that </w:t>
      </w:r>
      <w:r w:rsidR="00233D02">
        <w:rPr>
          <w:rFonts w:ascii="Calibri" w:hAnsi="Calibri"/>
          <w:sz w:val="22"/>
          <w:szCs w:val="22"/>
          <w:lang w:val="en-US"/>
        </w:rPr>
        <w:t>cost</w:t>
      </w:r>
      <w:r w:rsidR="00A91B27">
        <w:rPr>
          <w:rFonts w:ascii="Calibri" w:hAnsi="Calibri"/>
          <w:sz w:val="22"/>
          <w:szCs w:val="22"/>
          <w:lang w:val="en-US"/>
        </w:rPr>
        <w:t>s</w:t>
      </w:r>
      <w:r w:rsidR="00233D02">
        <w:rPr>
          <w:rFonts w:ascii="Calibri" w:hAnsi="Calibri"/>
          <w:sz w:val="22"/>
          <w:szCs w:val="22"/>
          <w:lang w:val="en-US"/>
        </w:rPr>
        <w:t xml:space="preserve"> would </w:t>
      </w:r>
      <w:r w:rsidR="008108C0">
        <w:rPr>
          <w:rFonts w:ascii="Calibri" w:hAnsi="Calibri"/>
          <w:sz w:val="22"/>
          <w:szCs w:val="22"/>
          <w:lang w:val="en-US"/>
        </w:rPr>
        <w:t xml:space="preserve">eventually </w:t>
      </w:r>
      <w:r w:rsidR="00233D02">
        <w:rPr>
          <w:rFonts w:ascii="Calibri" w:hAnsi="Calibri"/>
          <w:sz w:val="22"/>
          <w:szCs w:val="22"/>
          <w:lang w:val="en-US"/>
        </w:rPr>
        <w:t>be ‘completely’ passed on to owners</w:t>
      </w:r>
      <w:r w:rsidR="00A91B27">
        <w:rPr>
          <w:rFonts w:ascii="Calibri" w:hAnsi="Calibri"/>
          <w:sz w:val="22"/>
          <w:szCs w:val="22"/>
          <w:lang w:val="en-US"/>
        </w:rPr>
        <w:t xml:space="preserve"> but</w:t>
      </w:r>
      <w:r w:rsidR="00047F29">
        <w:rPr>
          <w:rFonts w:ascii="Calibri" w:hAnsi="Calibri"/>
          <w:sz w:val="22"/>
          <w:szCs w:val="22"/>
          <w:lang w:val="en-US"/>
        </w:rPr>
        <w:t>, importantly,</w:t>
      </w:r>
      <w:r w:rsidR="00A91B27">
        <w:rPr>
          <w:rFonts w:ascii="Calibri" w:hAnsi="Calibri"/>
          <w:sz w:val="22"/>
          <w:szCs w:val="22"/>
          <w:lang w:val="en-US"/>
        </w:rPr>
        <w:t xml:space="preserve"> as the per dog impact is the same this would </w:t>
      </w:r>
      <w:r w:rsidR="00233D02">
        <w:rPr>
          <w:rFonts w:ascii="Calibri" w:hAnsi="Calibri"/>
          <w:sz w:val="22"/>
          <w:szCs w:val="22"/>
          <w:lang w:val="en-US"/>
        </w:rPr>
        <w:t>not affect these small businesses.</w:t>
      </w:r>
    </w:p>
    <w:p w:rsidR="00233D02" w:rsidRDefault="00233D02" w:rsidP="0093368F">
      <w:pPr>
        <w:pStyle w:val="BodyText20"/>
        <w:rPr>
          <w:rFonts w:ascii="Calibri" w:hAnsi="Calibri"/>
          <w:sz w:val="22"/>
          <w:szCs w:val="22"/>
          <w:lang w:val="en-US"/>
        </w:rPr>
      </w:pPr>
    </w:p>
    <w:p w:rsidR="00256887" w:rsidRDefault="00233D02" w:rsidP="006F7D60">
      <w:pPr>
        <w:pStyle w:val="BodyText20"/>
        <w:rPr>
          <w:rFonts w:ascii="Calibri" w:hAnsi="Calibri"/>
          <w:sz w:val="22"/>
          <w:szCs w:val="22"/>
          <w:lang w:val="en-US"/>
        </w:rPr>
      </w:pPr>
      <w:r w:rsidRPr="006F7D60">
        <w:rPr>
          <w:rFonts w:ascii="Calibri" w:hAnsi="Calibri"/>
          <w:sz w:val="22"/>
          <w:szCs w:val="22"/>
          <w:lang w:val="en-US"/>
        </w:rPr>
        <w:t xml:space="preserve">With regards to small trainers, as shown in Table 21, they are likely to incur 29.86% of the 10 year incremental costs and are therefore </w:t>
      </w:r>
      <w:r w:rsidR="006F7D60" w:rsidRPr="006F7D60">
        <w:rPr>
          <w:rFonts w:ascii="Calibri" w:hAnsi="Calibri"/>
          <w:sz w:val="22"/>
          <w:szCs w:val="22"/>
          <w:lang w:val="en-US"/>
        </w:rPr>
        <w:t xml:space="preserve">in this sense </w:t>
      </w:r>
      <w:r w:rsidRPr="006F7D60">
        <w:rPr>
          <w:rFonts w:ascii="Calibri" w:hAnsi="Calibri"/>
          <w:sz w:val="22"/>
          <w:szCs w:val="22"/>
          <w:lang w:val="en-US"/>
        </w:rPr>
        <w:t>not disproportionately affected (i.e. they represent 64.5% of unique breeders and trainers).</w:t>
      </w:r>
      <w:r w:rsidR="007B521C">
        <w:rPr>
          <w:rFonts w:ascii="Calibri" w:hAnsi="Calibri"/>
          <w:sz w:val="22"/>
          <w:szCs w:val="22"/>
          <w:lang w:val="en-US"/>
        </w:rPr>
        <w:t xml:space="preserve"> </w:t>
      </w:r>
      <w:r w:rsidR="006F7D60" w:rsidRPr="006F7D60">
        <w:rPr>
          <w:rFonts w:ascii="Calibri" w:hAnsi="Calibri"/>
          <w:sz w:val="22"/>
          <w:szCs w:val="22"/>
          <w:lang w:val="en-US"/>
        </w:rPr>
        <w:t>However, a</w:t>
      </w:r>
      <w:r w:rsidRPr="006F7D60">
        <w:rPr>
          <w:rFonts w:ascii="Calibri" w:hAnsi="Calibri"/>
          <w:sz w:val="22"/>
          <w:szCs w:val="22"/>
          <w:lang w:val="en-US"/>
        </w:rPr>
        <w:t xml:space="preserve">ssuming that there are 1,449 small trainers (see Table 2) with an annualized cost of </w:t>
      </w:r>
      <w:r w:rsidR="006F7D60" w:rsidRPr="006F7D60">
        <w:rPr>
          <w:rFonts w:ascii="Calibri" w:hAnsi="Calibri"/>
          <w:sz w:val="22"/>
          <w:szCs w:val="22"/>
          <w:lang w:val="en-US"/>
        </w:rPr>
        <w:t>$4.23m, then this would put the cost per small trainer to around $2,922 per annum.</w:t>
      </w:r>
      <w:r w:rsidR="007B521C">
        <w:rPr>
          <w:rFonts w:ascii="Calibri" w:hAnsi="Calibri"/>
          <w:sz w:val="22"/>
          <w:szCs w:val="22"/>
          <w:lang w:val="en-US"/>
        </w:rPr>
        <w:t xml:space="preserve"> </w:t>
      </w:r>
      <w:r w:rsidR="006F7D60" w:rsidRPr="006F7D60">
        <w:rPr>
          <w:rFonts w:ascii="Calibri" w:hAnsi="Calibri"/>
          <w:sz w:val="22"/>
          <w:szCs w:val="22"/>
          <w:lang w:val="en-US"/>
        </w:rPr>
        <w:t>On the other hand, for the 255 large trainers (See Table 2) and faced with an annualized cost of $0.28m per annum (see Table 21)</w:t>
      </w:r>
      <w:r w:rsidR="00047F29">
        <w:rPr>
          <w:rFonts w:ascii="Calibri" w:hAnsi="Calibri"/>
          <w:sz w:val="22"/>
          <w:szCs w:val="22"/>
          <w:lang w:val="en-US"/>
        </w:rPr>
        <w:t xml:space="preserve"> </w:t>
      </w:r>
      <w:r w:rsidR="006F7D60" w:rsidRPr="006F7D60">
        <w:rPr>
          <w:rFonts w:ascii="Calibri" w:hAnsi="Calibri"/>
          <w:sz w:val="22"/>
          <w:szCs w:val="22"/>
          <w:lang w:val="en-US"/>
        </w:rPr>
        <w:t>– this would imply an additional annual cost per large trainer at around $1,088</w:t>
      </w:r>
      <w:r w:rsidR="00A91B27">
        <w:rPr>
          <w:rFonts w:ascii="Calibri" w:hAnsi="Calibri"/>
          <w:sz w:val="22"/>
          <w:szCs w:val="22"/>
          <w:lang w:val="en-US"/>
        </w:rPr>
        <w:t xml:space="preserve"> per annum</w:t>
      </w:r>
      <w:r w:rsidR="006F7D60" w:rsidRPr="006F7D60">
        <w:rPr>
          <w:rFonts w:ascii="Calibri" w:hAnsi="Calibri"/>
          <w:sz w:val="22"/>
          <w:szCs w:val="22"/>
          <w:lang w:val="en-US"/>
        </w:rPr>
        <w:t>.</w:t>
      </w:r>
      <w:r w:rsidR="007B521C">
        <w:rPr>
          <w:rFonts w:ascii="Calibri" w:hAnsi="Calibri"/>
          <w:sz w:val="22"/>
          <w:szCs w:val="22"/>
          <w:lang w:val="en-US"/>
        </w:rPr>
        <w:t xml:space="preserve"> </w:t>
      </w:r>
    </w:p>
    <w:p w:rsidR="00256887" w:rsidRDefault="00256887" w:rsidP="006F7D60">
      <w:pPr>
        <w:pStyle w:val="BodyText20"/>
        <w:rPr>
          <w:rFonts w:ascii="Calibri" w:hAnsi="Calibri"/>
          <w:sz w:val="22"/>
          <w:szCs w:val="22"/>
          <w:lang w:val="en-US"/>
        </w:rPr>
      </w:pPr>
    </w:p>
    <w:p w:rsidR="0093368F" w:rsidRDefault="00256887" w:rsidP="006F7D60">
      <w:pPr>
        <w:pStyle w:val="BodyText20"/>
        <w:rPr>
          <w:rFonts w:ascii="Calibri" w:hAnsi="Calibri"/>
          <w:sz w:val="22"/>
          <w:szCs w:val="22"/>
        </w:rPr>
      </w:pPr>
      <w:r>
        <w:rPr>
          <w:rFonts w:ascii="Calibri" w:hAnsi="Calibri"/>
          <w:sz w:val="22"/>
          <w:szCs w:val="22"/>
          <w:lang w:val="en-US"/>
        </w:rPr>
        <w:t>Furthermore, assuming a small trainer has 6 dogs who made a start it is estimated that the cost of the proposed Code will be $487/dog.</w:t>
      </w:r>
      <w:r w:rsidR="007B521C">
        <w:rPr>
          <w:rFonts w:ascii="Calibri" w:hAnsi="Calibri"/>
          <w:sz w:val="22"/>
          <w:szCs w:val="22"/>
          <w:lang w:val="en-US"/>
        </w:rPr>
        <w:t xml:space="preserve"> </w:t>
      </w:r>
      <w:r>
        <w:rPr>
          <w:rFonts w:ascii="Calibri" w:hAnsi="Calibri"/>
          <w:sz w:val="22"/>
          <w:szCs w:val="22"/>
          <w:lang w:val="en-US"/>
        </w:rPr>
        <w:t>For larger trainers who have 9 dogs who made a start the cost of the proposed Code will be $120.88/dog.</w:t>
      </w:r>
      <w:r w:rsidR="007B521C">
        <w:rPr>
          <w:rFonts w:ascii="Calibri" w:hAnsi="Calibri"/>
          <w:sz w:val="22"/>
          <w:szCs w:val="22"/>
          <w:lang w:val="en-US"/>
        </w:rPr>
        <w:t xml:space="preserve"> </w:t>
      </w:r>
      <w:r w:rsidR="00047F29">
        <w:rPr>
          <w:rFonts w:ascii="Calibri" w:hAnsi="Calibri"/>
          <w:sz w:val="22"/>
          <w:szCs w:val="22"/>
          <w:lang w:val="en-US"/>
        </w:rPr>
        <w:t>However, t</w:t>
      </w:r>
      <w:r w:rsidR="00A91B27">
        <w:rPr>
          <w:rFonts w:ascii="Calibri" w:hAnsi="Calibri"/>
          <w:sz w:val="22"/>
          <w:szCs w:val="22"/>
          <w:lang w:val="en-US"/>
        </w:rPr>
        <w:t xml:space="preserve">he higher cost per annum for small trainers as compared to large trainers is due to the lower rate of compliance of smaller participants and therefore the ongoing costs for smaller and large trainers are likely to be the same. </w:t>
      </w:r>
      <w:r w:rsidR="006F7D60" w:rsidRPr="006F7D60">
        <w:rPr>
          <w:rFonts w:ascii="Calibri" w:hAnsi="Calibri"/>
          <w:sz w:val="22"/>
          <w:szCs w:val="22"/>
          <w:lang w:val="en-US"/>
        </w:rPr>
        <w:t>Assuming that a small trainer has around 5 dogs star</w:t>
      </w:r>
      <w:r w:rsidR="006F7D60">
        <w:rPr>
          <w:rFonts w:ascii="Calibri" w:hAnsi="Calibri"/>
          <w:sz w:val="22"/>
          <w:szCs w:val="22"/>
          <w:lang w:val="en-US"/>
        </w:rPr>
        <w:t>t</w:t>
      </w:r>
      <w:r w:rsidR="006F7D60" w:rsidRPr="006F7D60">
        <w:rPr>
          <w:rFonts w:ascii="Calibri" w:hAnsi="Calibri"/>
          <w:sz w:val="22"/>
          <w:szCs w:val="22"/>
          <w:lang w:val="en-US"/>
        </w:rPr>
        <w:t xml:space="preserve">ing and earns $90 per week per dog for about 12 </w:t>
      </w:r>
      <w:r w:rsidR="00233D02" w:rsidRPr="006F7D60">
        <w:rPr>
          <w:rFonts w:ascii="Calibri" w:hAnsi="Calibri"/>
          <w:sz w:val="22"/>
          <w:szCs w:val="22"/>
        </w:rPr>
        <w:t>weeks</w:t>
      </w:r>
      <w:r w:rsidR="0093368F" w:rsidRPr="006F7D60">
        <w:rPr>
          <w:rFonts w:ascii="Calibri" w:hAnsi="Calibri"/>
          <w:color w:val="000000" w:themeColor="text1"/>
          <w:sz w:val="22"/>
          <w:szCs w:val="22"/>
          <w:vertAlign w:val="superscript"/>
        </w:rPr>
        <w:footnoteReference w:id="146"/>
      </w:r>
      <w:r w:rsidR="006F7D60" w:rsidRPr="006F7D60">
        <w:rPr>
          <w:rFonts w:ascii="Calibri" w:hAnsi="Calibri"/>
          <w:sz w:val="22"/>
          <w:szCs w:val="22"/>
        </w:rPr>
        <w:t xml:space="preserve"> then this would equal $5,400 per annum in training fees</w:t>
      </w:r>
      <w:r w:rsidR="006F7D60">
        <w:rPr>
          <w:rFonts w:ascii="Calibri" w:hAnsi="Calibri"/>
          <w:sz w:val="22"/>
          <w:szCs w:val="22"/>
        </w:rPr>
        <w:t xml:space="preserve"> (this of course ignores other revenue earned for breaking in, spelling in etc.)</w:t>
      </w:r>
      <w:r w:rsidR="006F7D60" w:rsidRPr="006F7D60">
        <w:rPr>
          <w:rFonts w:ascii="Calibri" w:hAnsi="Calibri"/>
          <w:sz w:val="22"/>
          <w:szCs w:val="22"/>
        </w:rPr>
        <w:t>.</w:t>
      </w:r>
      <w:r w:rsidR="007B521C">
        <w:rPr>
          <w:rFonts w:ascii="Calibri" w:hAnsi="Calibri"/>
          <w:sz w:val="22"/>
          <w:szCs w:val="22"/>
        </w:rPr>
        <w:t xml:space="preserve"> </w:t>
      </w:r>
      <w:r w:rsidR="006F7D60">
        <w:rPr>
          <w:rFonts w:ascii="Calibri" w:hAnsi="Calibri"/>
          <w:sz w:val="22"/>
          <w:szCs w:val="22"/>
        </w:rPr>
        <w:t>For a small trainer, this would mean an increase in cost by about 54% of revenue however again it would be ‘completely’ passed on to owners and therefore it would not affect small trainers.</w:t>
      </w:r>
    </w:p>
    <w:p w:rsidR="00B64591" w:rsidRDefault="006F7D60" w:rsidP="006F7D60">
      <w:pPr>
        <w:pStyle w:val="BodyText20"/>
        <w:rPr>
          <w:rFonts w:ascii="Calibri" w:hAnsi="Calibri"/>
          <w:sz w:val="22"/>
          <w:szCs w:val="22"/>
        </w:rPr>
      </w:pPr>
      <w:r>
        <w:rPr>
          <w:rFonts w:ascii="Calibri" w:hAnsi="Calibri"/>
          <w:sz w:val="22"/>
          <w:szCs w:val="22"/>
        </w:rPr>
        <w:lastRenderedPageBreak/>
        <w:t>For an owner, what this means is that there is most likely to be a $12 to $13 increase in rearing costs per dog per week for 36 weeks and around a $49 increase in training costs per week per dog for 12 weeks.</w:t>
      </w:r>
      <w:r w:rsidR="007B521C">
        <w:rPr>
          <w:rFonts w:ascii="Calibri" w:hAnsi="Calibri"/>
          <w:sz w:val="22"/>
          <w:szCs w:val="22"/>
        </w:rPr>
        <w:t xml:space="preserve"> </w:t>
      </w:r>
      <w:r>
        <w:rPr>
          <w:rFonts w:ascii="Calibri" w:hAnsi="Calibri"/>
          <w:sz w:val="22"/>
          <w:szCs w:val="22"/>
        </w:rPr>
        <w:t xml:space="preserve">The </w:t>
      </w:r>
      <w:r w:rsidR="00F0539B">
        <w:rPr>
          <w:rFonts w:ascii="Calibri" w:hAnsi="Calibri"/>
          <w:sz w:val="22"/>
          <w:szCs w:val="22"/>
        </w:rPr>
        <w:t xml:space="preserve">additional </w:t>
      </w:r>
      <w:r>
        <w:rPr>
          <w:rFonts w:ascii="Calibri" w:hAnsi="Calibri"/>
          <w:sz w:val="22"/>
          <w:szCs w:val="22"/>
        </w:rPr>
        <w:t>cost</w:t>
      </w:r>
      <w:r w:rsidR="00F0539B">
        <w:rPr>
          <w:rFonts w:ascii="Calibri" w:hAnsi="Calibri"/>
          <w:sz w:val="22"/>
          <w:szCs w:val="22"/>
        </w:rPr>
        <w:t xml:space="preserve"> per dog</w:t>
      </w:r>
      <w:r>
        <w:rPr>
          <w:rFonts w:ascii="Calibri" w:hAnsi="Calibri"/>
          <w:sz w:val="22"/>
          <w:szCs w:val="22"/>
        </w:rPr>
        <w:t xml:space="preserve"> is therefore likely to be around </w:t>
      </w:r>
      <w:r w:rsidR="00F0539B">
        <w:rPr>
          <w:rFonts w:ascii="Calibri" w:hAnsi="Calibri"/>
          <w:sz w:val="22"/>
          <w:szCs w:val="22"/>
        </w:rPr>
        <w:t>$450 for rearing and around $588 for training</w:t>
      </w:r>
      <w:r w:rsidR="007C72F9">
        <w:rPr>
          <w:rFonts w:ascii="Calibri" w:hAnsi="Calibri"/>
          <w:sz w:val="22"/>
          <w:szCs w:val="22"/>
        </w:rPr>
        <w:t>, over their lifetime</w:t>
      </w:r>
      <w:r w:rsidR="00F0539B">
        <w:rPr>
          <w:rFonts w:ascii="Calibri" w:hAnsi="Calibri"/>
          <w:sz w:val="22"/>
          <w:szCs w:val="22"/>
        </w:rPr>
        <w:t>.</w:t>
      </w:r>
      <w:r w:rsidR="007B521C">
        <w:rPr>
          <w:rFonts w:ascii="Calibri" w:hAnsi="Calibri"/>
          <w:sz w:val="22"/>
          <w:szCs w:val="22"/>
        </w:rPr>
        <w:t xml:space="preserve"> </w:t>
      </w:r>
      <w:r w:rsidR="00F0539B">
        <w:rPr>
          <w:rFonts w:ascii="Calibri" w:hAnsi="Calibri"/>
          <w:sz w:val="22"/>
          <w:szCs w:val="22"/>
        </w:rPr>
        <w:t>Given the auction price of a dog in 2014 at around $5,800 (which was the average price) – then this is likely to add at least around $1,000 of cost per racing greyhound.</w:t>
      </w:r>
      <w:r w:rsidR="007B521C">
        <w:rPr>
          <w:rFonts w:ascii="Calibri" w:hAnsi="Calibri"/>
          <w:sz w:val="22"/>
          <w:szCs w:val="22"/>
        </w:rPr>
        <w:t xml:space="preserve"> </w:t>
      </w:r>
      <w:r w:rsidR="00B64591">
        <w:rPr>
          <w:rFonts w:ascii="Calibri" w:hAnsi="Calibri"/>
          <w:sz w:val="22"/>
          <w:szCs w:val="22"/>
        </w:rPr>
        <w:t>On top of this there is also the direct cost to owners from GAP reforms and the transfer of responsibility of rehabilitation of dogs to owners at a cost of around $512 per dog under proposed standard 6.3.12.</w:t>
      </w:r>
      <w:r w:rsidR="007B521C">
        <w:rPr>
          <w:rFonts w:ascii="Calibri" w:hAnsi="Calibri"/>
          <w:sz w:val="22"/>
          <w:szCs w:val="22"/>
        </w:rPr>
        <w:t xml:space="preserve"> </w:t>
      </w:r>
    </w:p>
    <w:p w:rsidR="00B64591" w:rsidRDefault="00B64591" w:rsidP="006F7D60">
      <w:pPr>
        <w:pStyle w:val="BodyText20"/>
        <w:rPr>
          <w:rFonts w:ascii="Calibri" w:hAnsi="Calibri"/>
          <w:sz w:val="22"/>
          <w:szCs w:val="22"/>
        </w:rPr>
      </w:pPr>
    </w:p>
    <w:p w:rsidR="007C72F9" w:rsidRDefault="00F0539B" w:rsidP="006F7D60">
      <w:pPr>
        <w:pStyle w:val="BodyText20"/>
        <w:rPr>
          <w:rFonts w:ascii="Calibri" w:hAnsi="Calibri"/>
          <w:sz w:val="22"/>
          <w:szCs w:val="22"/>
        </w:rPr>
      </w:pPr>
      <w:r>
        <w:rPr>
          <w:rFonts w:ascii="Calibri" w:hAnsi="Calibri"/>
          <w:sz w:val="22"/>
          <w:szCs w:val="22"/>
        </w:rPr>
        <w:t>For large owners made up of as many as ten syndicate members this is not likely to constitute an impost. For small owners with less than 9 greyhounds then this could result in a larger proportionate burden.</w:t>
      </w:r>
      <w:r w:rsidR="007B521C">
        <w:rPr>
          <w:rFonts w:ascii="Calibri" w:hAnsi="Calibri"/>
          <w:sz w:val="22"/>
          <w:szCs w:val="22"/>
        </w:rPr>
        <w:t xml:space="preserve"> </w:t>
      </w:r>
    </w:p>
    <w:p w:rsidR="007C72F9" w:rsidRDefault="007C72F9" w:rsidP="006F7D60">
      <w:pPr>
        <w:pStyle w:val="BodyText20"/>
        <w:rPr>
          <w:rFonts w:ascii="Calibri" w:hAnsi="Calibri"/>
          <w:sz w:val="22"/>
          <w:szCs w:val="22"/>
        </w:rPr>
      </w:pPr>
    </w:p>
    <w:p w:rsidR="007C72F9" w:rsidRDefault="00F0539B" w:rsidP="007C72F9">
      <w:pPr>
        <w:pStyle w:val="BodyText20"/>
        <w:rPr>
          <w:rFonts w:ascii="Calibri" w:hAnsi="Calibri"/>
          <w:sz w:val="22"/>
        </w:rPr>
      </w:pPr>
      <w:r>
        <w:rPr>
          <w:rFonts w:ascii="Calibri" w:hAnsi="Calibri"/>
          <w:sz w:val="22"/>
          <w:szCs w:val="22"/>
        </w:rPr>
        <w:t>However even for small owners – a ri</w:t>
      </w:r>
      <w:r w:rsidR="00B64591">
        <w:rPr>
          <w:rFonts w:ascii="Calibri" w:hAnsi="Calibri"/>
          <w:sz w:val="22"/>
          <w:szCs w:val="22"/>
        </w:rPr>
        <w:t>se in cost by $1,5</w:t>
      </w:r>
      <w:r w:rsidR="00332F9E">
        <w:rPr>
          <w:rFonts w:ascii="Calibri" w:hAnsi="Calibri"/>
          <w:sz w:val="22"/>
          <w:szCs w:val="22"/>
        </w:rPr>
        <w:t>5</w:t>
      </w:r>
      <w:r w:rsidR="00B64591">
        <w:rPr>
          <w:rFonts w:ascii="Calibri" w:hAnsi="Calibri"/>
          <w:sz w:val="22"/>
          <w:szCs w:val="22"/>
        </w:rPr>
        <w:t xml:space="preserve">0 per dog </w:t>
      </w:r>
      <w:r w:rsidR="007C72F9">
        <w:rPr>
          <w:rFonts w:ascii="Calibri" w:hAnsi="Calibri"/>
          <w:sz w:val="22"/>
          <w:szCs w:val="22"/>
        </w:rPr>
        <w:t xml:space="preserve">over their lifetime </w:t>
      </w:r>
      <w:r w:rsidR="00B64591">
        <w:rPr>
          <w:rFonts w:ascii="Calibri" w:hAnsi="Calibri"/>
          <w:sz w:val="22"/>
          <w:szCs w:val="22"/>
        </w:rPr>
        <w:t>(including the cost of rehabilitation)</w:t>
      </w:r>
      <w:r>
        <w:rPr>
          <w:rFonts w:ascii="Calibri" w:hAnsi="Calibri"/>
          <w:sz w:val="22"/>
          <w:szCs w:val="22"/>
        </w:rPr>
        <w:t xml:space="preserve"> is unlikely to discourage them from dog ownership</w:t>
      </w:r>
      <w:r w:rsidR="007C72F9">
        <w:rPr>
          <w:rFonts w:ascii="Calibri" w:hAnsi="Calibri"/>
          <w:sz w:val="22"/>
          <w:szCs w:val="22"/>
        </w:rPr>
        <w:t>.</w:t>
      </w:r>
      <w:r w:rsidR="007C72F9" w:rsidRPr="007C72F9">
        <w:rPr>
          <w:rFonts w:ascii="Calibri" w:hAnsi="Calibri"/>
          <w:sz w:val="22"/>
        </w:rPr>
        <w:t xml:space="preserve"> For a small owner, a purchase price of a dog of $6,000 plus annual </w:t>
      </w:r>
      <w:r w:rsidR="007C72F9">
        <w:rPr>
          <w:rFonts w:ascii="Calibri" w:hAnsi="Calibri"/>
          <w:sz w:val="22"/>
        </w:rPr>
        <w:t xml:space="preserve">health and wellbeing </w:t>
      </w:r>
      <w:r w:rsidR="007C72F9" w:rsidRPr="007C72F9">
        <w:rPr>
          <w:rFonts w:ascii="Calibri" w:hAnsi="Calibri"/>
          <w:sz w:val="22"/>
        </w:rPr>
        <w:t>care costs of $2,800</w:t>
      </w:r>
      <w:r w:rsidR="007C72F9">
        <w:rPr>
          <w:rFonts w:ascii="Calibri" w:hAnsi="Calibri"/>
          <w:sz w:val="22"/>
        </w:rPr>
        <w:t xml:space="preserve"> (which might be as high as $15,000 annually</w:t>
      </w:r>
      <w:r w:rsidR="007C72F9" w:rsidRPr="00F0539B">
        <w:rPr>
          <w:rStyle w:val="FootnoteReference"/>
          <w:rFonts w:ascii="Calibri" w:hAnsi="Calibri"/>
          <w:sz w:val="22"/>
        </w:rPr>
        <w:footnoteReference w:id="147"/>
      </w:r>
      <w:r w:rsidR="007C72F9">
        <w:rPr>
          <w:rFonts w:ascii="Calibri" w:hAnsi="Calibri"/>
          <w:sz w:val="22"/>
        </w:rPr>
        <w:t>)</w:t>
      </w:r>
      <w:r w:rsidR="007C72F9" w:rsidRPr="007C72F9">
        <w:rPr>
          <w:rFonts w:ascii="Calibri" w:hAnsi="Calibri"/>
          <w:sz w:val="22"/>
        </w:rPr>
        <w:t xml:space="preserve"> for around 5 years means a cost of $</w:t>
      </w:r>
      <w:r w:rsidR="00332F9E">
        <w:rPr>
          <w:rFonts w:ascii="Calibri" w:hAnsi="Calibri"/>
          <w:sz w:val="22"/>
        </w:rPr>
        <w:t>20,000 over the lifetime.</w:t>
      </w:r>
      <w:r w:rsidR="007B521C">
        <w:rPr>
          <w:rFonts w:ascii="Calibri" w:hAnsi="Calibri"/>
          <w:sz w:val="22"/>
        </w:rPr>
        <w:t xml:space="preserve"> </w:t>
      </w:r>
      <w:r w:rsidR="00332F9E">
        <w:rPr>
          <w:rFonts w:ascii="Calibri" w:hAnsi="Calibri"/>
          <w:sz w:val="22"/>
        </w:rPr>
        <w:t>$1,550 represents a 7.8</w:t>
      </w:r>
      <w:r w:rsidR="007C72F9" w:rsidRPr="007C72F9">
        <w:rPr>
          <w:rFonts w:ascii="Calibri" w:hAnsi="Calibri"/>
          <w:sz w:val="22"/>
        </w:rPr>
        <w:t>% increase in costs and it is unclear if this will reduce involvement in the industry.</w:t>
      </w:r>
      <w:r w:rsidR="007B521C">
        <w:rPr>
          <w:rFonts w:ascii="Calibri" w:hAnsi="Calibri"/>
          <w:sz w:val="22"/>
        </w:rPr>
        <w:t xml:space="preserve"> </w:t>
      </w:r>
      <w:r w:rsidR="007C72F9" w:rsidRPr="007C72F9">
        <w:rPr>
          <w:rFonts w:ascii="Calibri" w:hAnsi="Calibri"/>
          <w:sz w:val="22"/>
        </w:rPr>
        <w:t xml:space="preserve">Importantly, unlike large owners or puppy farms, small owners are more likely to be in it as a hobby or club/social status </w:t>
      </w:r>
      <w:r w:rsidR="007C72F9">
        <w:rPr>
          <w:rFonts w:ascii="Calibri" w:hAnsi="Calibri"/>
          <w:sz w:val="22"/>
        </w:rPr>
        <w:t xml:space="preserve">(non-pecuniary drivers) </w:t>
      </w:r>
      <w:r w:rsidR="007C72F9" w:rsidRPr="007C72F9">
        <w:rPr>
          <w:rFonts w:ascii="Calibri" w:hAnsi="Calibri"/>
          <w:sz w:val="22"/>
        </w:rPr>
        <w:t>and not just for the winnings</w:t>
      </w:r>
      <w:r w:rsidR="007C72F9">
        <w:rPr>
          <w:rFonts w:ascii="Calibri" w:hAnsi="Calibri"/>
          <w:sz w:val="22"/>
        </w:rPr>
        <w:t xml:space="preserve"> and earnings (i.e. pecuniary drivers)</w:t>
      </w:r>
      <w:r w:rsidR="007C72F9" w:rsidRPr="007C72F9">
        <w:rPr>
          <w:rFonts w:ascii="Calibri" w:hAnsi="Calibri"/>
          <w:sz w:val="22"/>
        </w:rPr>
        <w:t>.</w:t>
      </w:r>
    </w:p>
    <w:p w:rsidR="00BD28C4" w:rsidRDefault="00BD28C4">
      <w:pPr>
        <w:rPr>
          <w:rFonts w:asciiTheme="majorHAnsi" w:eastAsiaTheme="majorEastAsia" w:hAnsiTheme="majorHAnsi" w:cstheme="majorBidi"/>
          <w:color w:val="53565A"/>
          <w:sz w:val="32"/>
          <w:szCs w:val="32"/>
        </w:rPr>
      </w:pPr>
      <w:bookmarkStart w:id="152" w:name="_Toc456126066"/>
      <w:bookmarkStart w:id="153" w:name="_Toc469529184"/>
      <w:r>
        <w:br w:type="page"/>
      </w:r>
    </w:p>
    <w:p w:rsidR="001D1A22" w:rsidRPr="004D060C" w:rsidRDefault="001D1A22" w:rsidP="005F3125">
      <w:pPr>
        <w:pStyle w:val="Heading1"/>
      </w:pPr>
      <w:bookmarkStart w:id="154" w:name="_Toc477190208"/>
      <w:r w:rsidRPr="00070EEF">
        <w:lastRenderedPageBreak/>
        <w:t xml:space="preserve">Section </w:t>
      </w:r>
      <w:r>
        <w:t>7</w:t>
      </w:r>
      <w:r w:rsidRPr="00070EEF">
        <w:t xml:space="preserve"> </w:t>
      </w:r>
      <w:r>
        <w:t>Competition assessment</w:t>
      </w:r>
      <w:bookmarkEnd w:id="152"/>
      <w:bookmarkEnd w:id="153"/>
      <w:bookmarkEnd w:id="154"/>
    </w:p>
    <w:p w:rsidR="004119DC" w:rsidRDefault="00E639F0" w:rsidP="00054CD3">
      <w:pPr>
        <w:jc w:val="both"/>
      </w:pPr>
      <w:r>
        <w:t>According to Victorian guidelines</w:t>
      </w:r>
      <w:r w:rsidRPr="007E23DB">
        <w:rPr>
          <w:vertAlign w:val="superscript"/>
        </w:rPr>
        <w:footnoteReference w:id="148"/>
      </w:r>
      <w:r>
        <w:t xml:space="preserve"> it is necessary as part of the assessment in this RIS to</w:t>
      </w:r>
      <w:r w:rsidR="004119DC" w:rsidRPr="004119DC">
        <w:t xml:space="preserve"> </w:t>
      </w:r>
      <w:r w:rsidR="004119DC">
        <w:t>identify whether the proposed Code will affect competition by preventing or limiting the ability of businesses and individuals to enter and compete within particular markets.</w:t>
      </w:r>
      <w:r w:rsidR="007B521C">
        <w:t xml:space="preserve"> </w:t>
      </w:r>
      <w:r w:rsidR="004119DC">
        <w:t>If so the assessment must demonstrate that the Government's objectives can be only achieved by restricting competition and that the benefits of the restriction outweigh the costs.</w:t>
      </w:r>
    </w:p>
    <w:p w:rsidR="002876C0" w:rsidRDefault="002876C0" w:rsidP="002876C0">
      <w:pPr>
        <w:pStyle w:val="BodyText20"/>
        <w:rPr>
          <w:rFonts w:ascii="Calibri" w:hAnsi="Calibri"/>
          <w:sz w:val="22"/>
          <w:szCs w:val="22"/>
          <w:lang w:val="en-US"/>
        </w:rPr>
      </w:pPr>
    </w:p>
    <w:p w:rsidR="00B64591" w:rsidRDefault="00B64591" w:rsidP="00775C09">
      <w:pPr>
        <w:pStyle w:val="BodyText20"/>
        <w:rPr>
          <w:rFonts w:ascii="Calibri" w:hAnsi="Calibri"/>
          <w:sz w:val="22"/>
          <w:szCs w:val="22"/>
          <w:lang w:val="en-US"/>
        </w:rPr>
      </w:pPr>
      <w:r>
        <w:rPr>
          <w:rFonts w:ascii="Calibri" w:hAnsi="Calibri"/>
          <w:sz w:val="22"/>
          <w:szCs w:val="22"/>
          <w:lang w:val="en-US"/>
        </w:rPr>
        <w:t>The markets affected by the proposed Code are predominantly those for</w:t>
      </w:r>
      <w:r w:rsidR="004C13AC">
        <w:rPr>
          <w:rFonts w:ascii="Calibri" w:hAnsi="Calibri"/>
          <w:sz w:val="22"/>
          <w:szCs w:val="22"/>
          <w:lang w:val="en-US"/>
        </w:rPr>
        <w:t xml:space="preserve"> greyhound</w:t>
      </w:r>
      <w:r>
        <w:rPr>
          <w:rFonts w:ascii="Calibri" w:hAnsi="Calibri"/>
          <w:sz w:val="22"/>
          <w:szCs w:val="22"/>
          <w:lang w:val="en-US"/>
        </w:rPr>
        <w:t xml:space="preserve"> breeding, training and ownership. K</w:t>
      </w:r>
      <w:r w:rsidR="00775C09">
        <w:rPr>
          <w:rFonts w:ascii="Calibri" w:hAnsi="Calibri"/>
          <w:sz w:val="22"/>
          <w:szCs w:val="22"/>
          <w:lang w:val="en-US"/>
        </w:rPr>
        <w:t>eeping in line with the discussion of impacts on small busine</w:t>
      </w:r>
      <w:r>
        <w:rPr>
          <w:rFonts w:ascii="Calibri" w:hAnsi="Calibri"/>
          <w:sz w:val="22"/>
          <w:szCs w:val="22"/>
          <w:lang w:val="en-US"/>
        </w:rPr>
        <w:t>ss in Section 6</w:t>
      </w:r>
      <w:r w:rsidR="00775C09">
        <w:rPr>
          <w:rFonts w:ascii="Calibri" w:hAnsi="Calibri"/>
          <w:sz w:val="22"/>
          <w:szCs w:val="22"/>
          <w:lang w:val="en-US"/>
        </w:rPr>
        <w:t xml:space="preserve"> of this RIS, </w:t>
      </w:r>
      <w:r>
        <w:rPr>
          <w:rFonts w:ascii="Calibri" w:hAnsi="Calibri"/>
          <w:sz w:val="22"/>
          <w:szCs w:val="22"/>
          <w:lang w:val="en-US"/>
        </w:rPr>
        <w:t xml:space="preserve">the </w:t>
      </w:r>
      <w:r w:rsidR="00775C09">
        <w:rPr>
          <w:rFonts w:ascii="Calibri" w:hAnsi="Calibri"/>
          <w:sz w:val="22"/>
          <w:szCs w:val="22"/>
          <w:lang w:val="en-US"/>
        </w:rPr>
        <w:t xml:space="preserve">proposed </w:t>
      </w:r>
      <w:r>
        <w:rPr>
          <w:rFonts w:ascii="Calibri" w:hAnsi="Calibri"/>
          <w:sz w:val="22"/>
          <w:szCs w:val="22"/>
          <w:lang w:val="en-US"/>
        </w:rPr>
        <w:t xml:space="preserve">Code </w:t>
      </w:r>
      <w:r w:rsidR="00775C09">
        <w:rPr>
          <w:rFonts w:ascii="Calibri" w:hAnsi="Calibri"/>
          <w:sz w:val="22"/>
          <w:szCs w:val="22"/>
          <w:lang w:val="en-US"/>
        </w:rPr>
        <w:t>is highly unlikely to have an impact on the number or size of participants in relevant markets</w:t>
      </w:r>
      <w:r>
        <w:rPr>
          <w:rFonts w:ascii="Calibri" w:hAnsi="Calibri"/>
          <w:sz w:val="22"/>
          <w:szCs w:val="22"/>
          <w:lang w:val="en-US"/>
        </w:rPr>
        <w:t>.</w:t>
      </w:r>
      <w:r w:rsidR="007B521C">
        <w:rPr>
          <w:rFonts w:ascii="Calibri" w:hAnsi="Calibri"/>
          <w:sz w:val="22"/>
          <w:szCs w:val="22"/>
          <w:lang w:val="en-US"/>
        </w:rPr>
        <w:t xml:space="preserve"> </w:t>
      </w:r>
      <w:r w:rsidR="00D346FD">
        <w:rPr>
          <w:rFonts w:ascii="Calibri" w:hAnsi="Calibri"/>
          <w:sz w:val="22"/>
          <w:szCs w:val="22"/>
          <w:lang w:val="en-US"/>
        </w:rPr>
        <w:t>According to DEDJTR, t</w:t>
      </w:r>
      <w:r w:rsidR="00775C09">
        <w:rPr>
          <w:rFonts w:ascii="Calibri" w:hAnsi="Calibri"/>
          <w:sz w:val="22"/>
          <w:szCs w:val="22"/>
          <w:lang w:val="en-US"/>
        </w:rPr>
        <w:t xml:space="preserve">he proposed </w:t>
      </w:r>
      <w:r>
        <w:rPr>
          <w:rFonts w:ascii="Calibri" w:hAnsi="Calibri"/>
          <w:sz w:val="22"/>
          <w:szCs w:val="22"/>
          <w:lang w:val="en-US"/>
        </w:rPr>
        <w:t xml:space="preserve">Code </w:t>
      </w:r>
      <w:r w:rsidR="00775C09">
        <w:rPr>
          <w:rFonts w:ascii="Calibri" w:hAnsi="Calibri"/>
          <w:sz w:val="22"/>
          <w:szCs w:val="22"/>
          <w:lang w:val="en-US"/>
        </w:rPr>
        <w:t>is not expected to affect the costs of a business (even small business) sufficiently or in an ongoing way as to create any significant impact on competition including any barriers to e</w:t>
      </w:r>
      <w:r>
        <w:rPr>
          <w:rFonts w:ascii="Calibri" w:hAnsi="Calibri"/>
          <w:sz w:val="22"/>
          <w:szCs w:val="22"/>
          <w:lang w:val="en-US"/>
        </w:rPr>
        <w:t>ntry.</w:t>
      </w:r>
      <w:r w:rsidR="007B521C">
        <w:rPr>
          <w:rFonts w:ascii="Calibri" w:hAnsi="Calibri"/>
          <w:sz w:val="22"/>
          <w:szCs w:val="22"/>
          <w:lang w:val="en-US"/>
        </w:rPr>
        <w:t xml:space="preserve"> </w:t>
      </w:r>
      <w:r>
        <w:rPr>
          <w:rFonts w:ascii="Calibri" w:hAnsi="Calibri"/>
          <w:sz w:val="22"/>
          <w:szCs w:val="22"/>
          <w:lang w:val="en-US"/>
        </w:rPr>
        <w:t>As discussed in Section 6</w:t>
      </w:r>
      <w:r w:rsidR="00D346FD">
        <w:rPr>
          <w:rFonts w:ascii="Calibri" w:hAnsi="Calibri"/>
          <w:sz w:val="22"/>
          <w:szCs w:val="22"/>
          <w:lang w:val="en-US"/>
        </w:rPr>
        <w:t xml:space="preserve">, and according to DEDJTR, </w:t>
      </w:r>
      <w:r>
        <w:rPr>
          <w:rFonts w:ascii="Calibri" w:hAnsi="Calibri"/>
          <w:sz w:val="22"/>
          <w:szCs w:val="22"/>
          <w:lang w:val="en-US"/>
        </w:rPr>
        <w:t>breeders and trainers are expected to ‘fully’ pass on any cost increased rearing and training (of around $1,000 per dog) to owners.</w:t>
      </w:r>
      <w:r w:rsidR="007B521C">
        <w:rPr>
          <w:rFonts w:ascii="Calibri" w:hAnsi="Calibri"/>
          <w:sz w:val="22"/>
          <w:szCs w:val="22"/>
          <w:lang w:val="en-US"/>
        </w:rPr>
        <w:t xml:space="preserve"> </w:t>
      </w:r>
      <w:r w:rsidR="00D346FD" w:rsidRPr="00D346FD">
        <w:rPr>
          <w:rFonts w:ascii="Calibri" w:hAnsi="Calibri"/>
          <w:sz w:val="22"/>
          <w:szCs w:val="22"/>
          <w:lang w:val="en-US"/>
        </w:rPr>
        <w:t>With respect to owners</w:t>
      </w:r>
      <w:r w:rsidR="00B97E2C">
        <w:rPr>
          <w:rFonts w:ascii="Calibri" w:hAnsi="Calibri"/>
          <w:sz w:val="22"/>
          <w:szCs w:val="22"/>
          <w:lang w:val="en-US"/>
        </w:rPr>
        <w:t>,</w:t>
      </w:r>
      <w:r w:rsidR="00D346FD" w:rsidRPr="00D346FD">
        <w:rPr>
          <w:rFonts w:ascii="Calibri" w:hAnsi="Calibri"/>
          <w:sz w:val="22"/>
          <w:szCs w:val="22"/>
          <w:lang w:val="en-US"/>
        </w:rPr>
        <w:t xml:space="preserve"> </w:t>
      </w:r>
      <w:r w:rsidR="00D346FD">
        <w:rPr>
          <w:rFonts w:ascii="Calibri" w:hAnsi="Calibri"/>
          <w:sz w:val="22"/>
          <w:szCs w:val="22"/>
          <w:lang w:val="en-US"/>
        </w:rPr>
        <w:t xml:space="preserve">DEDJTR notes that </w:t>
      </w:r>
      <w:r w:rsidR="00D346FD" w:rsidRPr="00D346FD">
        <w:rPr>
          <w:rFonts w:ascii="Calibri" w:hAnsi="Calibri"/>
          <w:sz w:val="22"/>
          <w:szCs w:val="22"/>
          <w:lang w:val="en-US"/>
        </w:rPr>
        <w:t>it is unlikely an increase of cost of $1,000 in rearing and training and $500 for rehabilitation for a dog that might cost over $20,000 over 5 years will affect decisions of small owners (consumers) to participate in an adverse way –</w:t>
      </w:r>
      <w:r w:rsidR="00D346FD">
        <w:rPr>
          <w:rFonts w:ascii="Calibri" w:hAnsi="Calibri"/>
          <w:sz w:val="22"/>
          <w:szCs w:val="22"/>
          <w:lang w:val="en-US"/>
        </w:rPr>
        <w:t xml:space="preserve"> given the hobby/</w:t>
      </w:r>
      <w:r w:rsidR="00D346FD" w:rsidRPr="00D346FD">
        <w:rPr>
          <w:rFonts w:ascii="Calibri" w:hAnsi="Calibri"/>
          <w:sz w:val="22"/>
          <w:szCs w:val="22"/>
          <w:lang w:val="en-US"/>
        </w:rPr>
        <w:t>social status of owning a greyhound.</w:t>
      </w:r>
    </w:p>
    <w:p w:rsidR="00B64591" w:rsidRDefault="00B64591" w:rsidP="00775C09">
      <w:pPr>
        <w:pStyle w:val="BodyText20"/>
        <w:rPr>
          <w:rFonts w:ascii="Calibri" w:hAnsi="Calibri"/>
          <w:sz w:val="22"/>
          <w:szCs w:val="22"/>
          <w:lang w:val="en-US"/>
        </w:rPr>
      </w:pPr>
    </w:p>
    <w:p w:rsidR="00775C09" w:rsidRDefault="00B64591" w:rsidP="00775C09">
      <w:pPr>
        <w:pStyle w:val="BodyText20"/>
        <w:rPr>
          <w:rFonts w:ascii="Calibri" w:hAnsi="Calibri"/>
          <w:sz w:val="22"/>
          <w:szCs w:val="22"/>
          <w:lang w:val="en-US"/>
        </w:rPr>
      </w:pPr>
      <w:r>
        <w:rPr>
          <w:rFonts w:ascii="Calibri" w:hAnsi="Calibri"/>
          <w:sz w:val="22"/>
          <w:szCs w:val="22"/>
          <w:lang w:val="en-US"/>
        </w:rPr>
        <w:t>Given that 97.5% of unique owners are considered to be small (i.e. have less than 9 starters) then this cost increase including the increase cost of rehabilitation of about $512 per dog – is expected to affect all owners equally and therefore the proposed Code is not considered to be a restriction on competition in relation to greyhound ownership.</w:t>
      </w:r>
    </w:p>
    <w:p w:rsidR="00DC17DF" w:rsidRDefault="00DC17DF" w:rsidP="00775C09">
      <w:pPr>
        <w:pStyle w:val="BodyText20"/>
        <w:rPr>
          <w:rFonts w:ascii="Calibri" w:hAnsi="Calibri"/>
          <w:sz w:val="22"/>
          <w:szCs w:val="22"/>
          <w:lang w:val="en-US"/>
        </w:rPr>
      </w:pPr>
    </w:p>
    <w:p w:rsidR="00DC17DF" w:rsidRDefault="00DC17DF" w:rsidP="00775C09">
      <w:pPr>
        <w:pStyle w:val="BodyText20"/>
        <w:rPr>
          <w:rFonts w:ascii="Calibri" w:hAnsi="Calibri"/>
          <w:sz w:val="22"/>
          <w:szCs w:val="22"/>
          <w:lang w:val="en-US"/>
        </w:rPr>
      </w:pPr>
      <w:r>
        <w:rPr>
          <w:rFonts w:ascii="Calibri" w:hAnsi="Calibri"/>
          <w:sz w:val="22"/>
          <w:szCs w:val="22"/>
          <w:lang w:val="en-US"/>
        </w:rPr>
        <w:t>Importantly, it should be noted that according to DEDJTR there are only around 10 participants in the industry with more than 100 dogs (representing 1000 dogs in a population of 20,706 registered dogs).</w:t>
      </w:r>
      <w:r w:rsidR="007B521C">
        <w:rPr>
          <w:rFonts w:ascii="Calibri" w:hAnsi="Calibri"/>
          <w:sz w:val="22"/>
          <w:szCs w:val="22"/>
          <w:lang w:val="en-US"/>
        </w:rPr>
        <w:t xml:space="preserve"> </w:t>
      </w:r>
      <w:r>
        <w:rPr>
          <w:rFonts w:ascii="Calibri" w:hAnsi="Calibri"/>
          <w:sz w:val="22"/>
          <w:szCs w:val="22"/>
          <w:lang w:val="en-US"/>
        </w:rPr>
        <w:t>Hence it is unlikely that the proposed Code would create a cost advantage or limit to competition in relation to dog breeding, training or ownership.</w:t>
      </w:r>
    </w:p>
    <w:p w:rsidR="00C02451" w:rsidRDefault="00C02451">
      <w:pPr>
        <w:rPr>
          <w:rFonts w:asciiTheme="majorHAnsi" w:eastAsiaTheme="majorEastAsia" w:hAnsiTheme="majorHAnsi" w:cstheme="majorBidi"/>
          <w:color w:val="1F497D" w:themeColor="text2"/>
          <w:sz w:val="32"/>
          <w:szCs w:val="32"/>
        </w:rPr>
      </w:pPr>
      <w:bookmarkStart w:id="155" w:name="_Toc456126067"/>
      <w:bookmarkStart w:id="156" w:name="_Toc469529185"/>
      <w:r>
        <w:br w:type="page"/>
      </w:r>
    </w:p>
    <w:p w:rsidR="001D1A22" w:rsidRDefault="001D1A22" w:rsidP="005F3125">
      <w:pPr>
        <w:pStyle w:val="Heading1"/>
      </w:pPr>
      <w:bookmarkStart w:id="157" w:name="_Toc477190209"/>
      <w:r w:rsidRPr="00070EEF">
        <w:lastRenderedPageBreak/>
        <w:t xml:space="preserve">Section </w:t>
      </w:r>
      <w:r>
        <w:t>8</w:t>
      </w:r>
      <w:r w:rsidRPr="00070EEF">
        <w:t xml:space="preserve"> </w:t>
      </w:r>
      <w:r>
        <w:t>Identification of the preferred option and description of its effect</w:t>
      </w:r>
      <w:bookmarkEnd w:id="155"/>
      <w:bookmarkEnd w:id="156"/>
      <w:bookmarkEnd w:id="157"/>
    </w:p>
    <w:p w:rsidR="00C23C9B" w:rsidRPr="001735A9" w:rsidRDefault="00E73ADB" w:rsidP="001735A9">
      <w:pPr>
        <w:shd w:val="clear" w:color="auto" w:fill="FFFFFF" w:themeFill="background1"/>
        <w:ind w:left="29"/>
        <w:jc w:val="both"/>
      </w:pPr>
      <w:r w:rsidRPr="001735A9">
        <w:t>The preferred option, Option 3, involves replacing the current Code with the proposed Code. The proposed Code will have no significant impacts on small business or competition under the preferred option, as outlined in sections 6 and 7 of this RIS.</w:t>
      </w:r>
      <w:r w:rsidR="007B521C">
        <w:t xml:space="preserve"> </w:t>
      </w:r>
      <w:r w:rsidR="00C23C9B">
        <w:rPr>
          <w:lang w:val="en-US"/>
        </w:rPr>
        <w:t>The preferred option addresses the identified problems far more comprehensively than the base case i.e. the existing code.</w:t>
      </w:r>
      <w:r w:rsidR="007B521C">
        <w:rPr>
          <w:lang w:val="en-US"/>
        </w:rPr>
        <w:t xml:space="preserve"> </w:t>
      </w:r>
      <w:r w:rsidR="00C23C9B">
        <w:rPr>
          <w:lang w:val="en-US"/>
        </w:rPr>
        <w:t xml:space="preserve">In particular, the proposed Code introduces new </w:t>
      </w:r>
      <w:r w:rsidR="00C23C9B">
        <w:rPr>
          <w:rFonts w:cs="Courier New"/>
          <w:lang w:eastAsia="en-AU"/>
        </w:rPr>
        <w:t xml:space="preserve">standards in the following areas: </w:t>
      </w:r>
    </w:p>
    <w:p w:rsidR="00E73ADB" w:rsidRDefault="00E73ADB" w:rsidP="00E73ADB">
      <w:pPr>
        <w:jc w:val="both"/>
      </w:pPr>
    </w:p>
    <w:p w:rsidR="00C23C9B" w:rsidRDefault="00C23C9B" w:rsidP="00E73ADB">
      <w:pPr>
        <w:jc w:val="both"/>
        <w:sectPr w:rsidR="00C23C9B" w:rsidSect="00F1054D">
          <w:headerReference w:type="default" r:id="rId21"/>
          <w:footerReference w:type="even" r:id="rId22"/>
          <w:footerReference w:type="default" r:id="rId23"/>
          <w:footerReference w:type="first" r:id="rId24"/>
          <w:pgSz w:w="11906" w:h="16838"/>
          <w:pgMar w:top="1985" w:right="2267" w:bottom="1418" w:left="1418" w:header="794" w:footer="709" w:gutter="0"/>
          <w:cols w:space="708"/>
          <w:docGrid w:linePitch="360"/>
        </w:sectPr>
      </w:pPr>
    </w:p>
    <w:p w:rsidR="00C23C9B" w:rsidRPr="001735A9" w:rsidRDefault="00C23C9B" w:rsidP="00BD28C4">
      <w:pPr>
        <w:pStyle w:val="ListParagraph"/>
        <w:numPr>
          <w:ilvl w:val="0"/>
          <w:numId w:val="22"/>
        </w:numPr>
        <w:ind w:left="426" w:hanging="426"/>
        <w:jc w:val="both"/>
        <w:rPr>
          <w:sz w:val="20"/>
        </w:rPr>
      </w:pPr>
      <w:r w:rsidRPr="001735A9">
        <w:rPr>
          <w:sz w:val="20"/>
        </w:rPr>
        <w:lastRenderedPageBreak/>
        <w:t>Operations management</w:t>
      </w:r>
    </w:p>
    <w:p w:rsidR="00C23C9B" w:rsidRPr="001735A9" w:rsidRDefault="00C23C9B" w:rsidP="00BD28C4">
      <w:pPr>
        <w:pStyle w:val="ListParagraph"/>
        <w:numPr>
          <w:ilvl w:val="0"/>
          <w:numId w:val="22"/>
        </w:numPr>
        <w:ind w:left="426" w:hanging="426"/>
        <w:rPr>
          <w:sz w:val="20"/>
        </w:rPr>
      </w:pPr>
      <w:r w:rsidRPr="001735A9">
        <w:rPr>
          <w:sz w:val="20"/>
        </w:rPr>
        <w:t>Responsibilities for greyhound trainers or carers</w:t>
      </w:r>
    </w:p>
    <w:p w:rsidR="00C23C9B" w:rsidRPr="001735A9" w:rsidRDefault="00C23C9B" w:rsidP="00BD28C4">
      <w:pPr>
        <w:pStyle w:val="ListParagraph"/>
        <w:numPr>
          <w:ilvl w:val="0"/>
          <w:numId w:val="22"/>
        </w:numPr>
        <w:ind w:left="426" w:hanging="426"/>
        <w:rPr>
          <w:sz w:val="20"/>
        </w:rPr>
      </w:pPr>
      <w:r w:rsidRPr="001735A9">
        <w:rPr>
          <w:sz w:val="20"/>
        </w:rPr>
        <w:t>Responsibilities for vehicle drivers</w:t>
      </w:r>
    </w:p>
    <w:p w:rsidR="00C23C9B" w:rsidRPr="001735A9" w:rsidRDefault="00C23C9B" w:rsidP="00BD28C4">
      <w:pPr>
        <w:pStyle w:val="ListParagraph"/>
        <w:numPr>
          <w:ilvl w:val="0"/>
          <w:numId w:val="22"/>
        </w:numPr>
        <w:ind w:left="426" w:hanging="426"/>
        <w:rPr>
          <w:sz w:val="20"/>
        </w:rPr>
      </w:pPr>
      <w:r w:rsidRPr="001735A9">
        <w:rPr>
          <w:sz w:val="20"/>
        </w:rPr>
        <w:t xml:space="preserve">Requirements </w:t>
      </w:r>
      <w:r w:rsidR="009E0B92" w:rsidRPr="001735A9">
        <w:rPr>
          <w:sz w:val="20"/>
        </w:rPr>
        <w:t>proprietors dealing with Veterinarians particularly around vaccinations and euthanasia certificates</w:t>
      </w:r>
    </w:p>
    <w:p w:rsidR="009E0B92" w:rsidRPr="001735A9" w:rsidRDefault="009E0B92" w:rsidP="00BD28C4">
      <w:pPr>
        <w:pStyle w:val="ListParagraph"/>
        <w:numPr>
          <w:ilvl w:val="0"/>
          <w:numId w:val="22"/>
        </w:numPr>
        <w:ind w:left="426" w:hanging="426"/>
        <w:rPr>
          <w:sz w:val="20"/>
        </w:rPr>
      </w:pPr>
      <w:r w:rsidRPr="001735A9">
        <w:rPr>
          <w:sz w:val="20"/>
        </w:rPr>
        <w:t>Mandatory training of participants with GRV</w:t>
      </w:r>
    </w:p>
    <w:p w:rsidR="009E0B92" w:rsidRPr="001735A9" w:rsidRDefault="009E0B92" w:rsidP="00BD28C4">
      <w:pPr>
        <w:pStyle w:val="ListParagraph"/>
        <w:numPr>
          <w:ilvl w:val="0"/>
          <w:numId w:val="22"/>
        </w:numPr>
        <w:ind w:left="426" w:hanging="426"/>
        <w:rPr>
          <w:sz w:val="20"/>
        </w:rPr>
      </w:pPr>
      <w:r w:rsidRPr="001735A9">
        <w:rPr>
          <w:sz w:val="20"/>
        </w:rPr>
        <w:t>Additional requirements around staff health</w:t>
      </w:r>
    </w:p>
    <w:p w:rsidR="009E0B92" w:rsidRPr="001735A9" w:rsidRDefault="009E0B92" w:rsidP="00BD28C4">
      <w:pPr>
        <w:pStyle w:val="ListParagraph"/>
        <w:numPr>
          <w:ilvl w:val="0"/>
          <w:numId w:val="22"/>
        </w:numPr>
        <w:ind w:left="426" w:hanging="426"/>
        <w:rPr>
          <w:sz w:val="20"/>
        </w:rPr>
      </w:pPr>
      <w:r w:rsidRPr="001735A9">
        <w:rPr>
          <w:sz w:val="20"/>
        </w:rPr>
        <w:t>Visitor facilities</w:t>
      </w:r>
    </w:p>
    <w:p w:rsidR="009E0B92" w:rsidRPr="001735A9" w:rsidRDefault="009E0B92" w:rsidP="00BD28C4">
      <w:pPr>
        <w:pStyle w:val="ListParagraph"/>
        <w:numPr>
          <w:ilvl w:val="0"/>
          <w:numId w:val="22"/>
        </w:numPr>
        <w:ind w:left="426" w:hanging="426"/>
        <w:rPr>
          <w:sz w:val="20"/>
        </w:rPr>
      </w:pPr>
      <w:r w:rsidRPr="001735A9">
        <w:rPr>
          <w:sz w:val="20"/>
        </w:rPr>
        <w:t>Transport vehicles</w:t>
      </w:r>
    </w:p>
    <w:p w:rsidR="009E0B92" w:rsidRPr="001735A9" w:rsidRDefault="009E0B92" w:rsidP="00BD28C4">
      <w:pPr>
        <w:pStyle w:val="ListParagraph"/>
        <w:numPr>
          <w:ilvl w:val="0"/>
          <w:numId w:val="22"/>
        </w:numPr>
        <w:ind w:left="426" w:hanging="426"/>
        <w:rPr>
          <w:sz w:val="20"/>
        </w:rPr>
      </w:pPr>
      <w:r w:rsidRPr="001735A9">
        <w:rPr>
          <w:sz w:val="20"/>
        </w:rPr>
        <w:t>Euthanasia requirements</w:t>
      </w:r>
    </w:p>
    <w:p w:rsidR="009E0B92" w:rsidRPr="001735A9" w:rsidRDefault="009E0B92" w:rsidP="00BD28C4">
      <w:pPr>
        <w:pStyle w:val="ListParagraph"/>
        <w:numPr>
          <w:ilvl w:val="0"/>
          <w:numId w:val="22"/>
        </w:numPr>
        <w:ind w:left="426" w:hanging="426"/>
        <w:rPr>
          <w:sz w:val="20"/>
        </w:rPr>
      </w:pPr>
      <w:r w:rsidRPr="001735A9">
        <w:rPr>
          <w:sz w:val="20"/>
        </w:rPr>
        <w:t>Health management plans</w:t>
      </w:r>
    </w:p>
    <w:p w:rsidR="009E0B92" w:rsidRPr="001735A9" w:rsidRDefault="008D1C82" w:rsidP="00BD28C4">
      <w:pPr>
        <w:pStyle w:val="ListParagraph"/>
        <w:numPr>
          <w:ilvl w:val="0"/>
          <w:numId w:val="22"/>
        </w:numPr>
        <w:ind w:left="426" w:hanging="426"/>
        <w:rPr>
          <w:sz w:val="20"/>
        </w:rPr>
      </w:pPr>
      <w:r w:rsidRPr="001735A9">
        <w:rPr>
          <w:sz w:val="20"/>
        </w:rPr>
        <w:t>Establishment records</w:t>
      </w:r>
    </w:p>
    <w:p w:rsidR="008D1C82" w:rsidRPr="001735A9" w:rsidRDefault="008D1C82" w:rsidP="00BD28C4">
      <w:pPr>
        <w:pStyle w:val="ListParagraph"/>
        <w:numPr>
          <w:ilvl w:val="0"/>
          <w:numId w:val="22"/>
        </w:numPr>
        <w:ind w:left="426" w:hanging="426"/>
        <w:rPr>
          <w:sz w:val="20"/>
        </w:rPr>
      </w:pPr>
      <w:r w:rsidRPr="001735A9">
        <w:rPr>
          <w:sz w:val="20"/>
        </w:rPr>
        <w:t>Animal treatment records</w:t>
      </w:r>
    </w:p>
    <w:p w:rsidR="008D1C82" w:rsidRPr="001735A9" w:rsidRDefault="008D1C82" w:rsidP="00BD28C4">
      <w:pPr>
        <w:pStyle w:val="ListParagraph"/>
        <w:numPr>
          <w:ilvl w:val="0"/>
          <w:numId w:val="22"/>
        </w:numPr>
        <w:ind w:left="426" w:hanging="426"/>
        <w:rPr>
          <w:sz w:val="20"/>
        </w:rPr>
      </w:pPr>
      <w:r w:rsidRPr="001735A9">
        <w:rPr>
          <w:sz w:val="20"/>
        </w:rPr>
        <w:t>Individual animal identification</w:t>
      </w:r>
    </w:p>
    <w:p w:rsidR="008D1C82" w:rsidRPr="001735A9" w:rsidRDefault="008D1C82" w:rsidP="00BD28C4">
      <w:pPr>
        <w:pStyle w:val="ListParagraph"/>
        <w:numPr>
          <w:ilvl w:val="0"/>
          <w:numId w:val="22"/>
        </w:numPr>
        <w:ind w:left="426" w:hanging="426"/>
        <w:rPr>
          <w:sz w:val="20"/>
        </w:rPr>
      </w:pPr>
      <w:r w:rsidRPr="001735A9">
        <w:rPr>
          <w:sz w:val="20"/>
        </w:rPr>
        <w:t>Statements of transfer/Sale of greyhounds</w:t>
      </w:r>
    </w:p>
    <w:p w:rsidR="008D1C82" w:rsidRPr="001735A9" w:rsidRDefault="008D1C82" w:rsidP="00BD28C4">
      <w:pPr>
        <w:pStyle w:val="ListParagraph"/>
        <w:numPr>
          <w:ilvl w:val="0"/>
          <w:numId w:val="22"/>
        </w:numPr>
        <w:ind w:left="426" w:hanging="426"/>
        <w:rPr>
          <w:sz w:val="20"/>
        </w:rPr>
      </w:pPr>
      <w:r w:rsidRPr="001735A9">
        <w:rPr>
          <w:sz w:val="20"/>
        </w:rPr>
        <w:t>New food and hygiene requirements</w:t>
      </w:r>
    </w:p>
    <w:p w:rsidR="008D1C82" w:rsidRPr="001735A9" w:rsidRDefault="008D1C82" w:rsidP="00BD28C4">
      <w:pPr>
        <w:pStyle w:val="ListParagraph"/>
        <w:numPr>
          <w:ilvl w:val="0"/>
          <w:numId w:val="22"/>
        </w:numPr>
        <w:ind w:left="426" w:hanging="426"/>
        <w:rPr>
          <w:sz w:val="20"/>
        </w:rPr>
      </w:pPr>
      <w:r w:rsidRPr="001735A9">
        <w:rPr>
          <w:sz w:val="20"/>
        </w:rPr>
        <w:t xml:space="preserve">Vaccination and parasite prevention- </w:t>
      </w:r>
      <w:r w:rsidR="00BD28C4">
        <w:rPr>
          <w:sz w:val="20"/>
        </w:rPr>
        <w:br/>
      </w:r>
      <w:r w:rsidRPr="001735A9">
        <w:rPr>
          <w:sz w:val="20"/>
        </w:rPr>
        <w:t>12 weeks of age or older</w:t>
      </w:r>
    </w:p>
    <w:p w:rsidR="008D1C82" w:rsidRPr="001735A9" w:rsidRDefault="008D1C82" w:rsidP="00BD28C4">
      <w:pPr>
        <w:pStyle w:val="ListParagraph"/>
        <w:numPr>
          <w:ilvl w:val="0"/>
          <w:numId w:val="22"/>
        </w:numPr>
        <w:ind w:left="426" w:hanging="426"/>
        <w:rPr>
          <w:sz w:val="20"/>
        </w:rPr>
      </w:pPr>
      <w:r w:rsidRPr="001735A9">
        <w:rPr>
          <w:sz w:val="20"/>
        </w:rPr>
        <w:t>Health checks and treatment plans</w:t>
      </w:r>
    </w:p>
    <w:p w:rsidR="008D1C82" w:rsidRPr="001735A9" w:rsidRDefault="008D1C82" w:rsidP="00BD28C4">
      <w:pPr>
        <w:pStyle w:val="ListParagraph"/>
        <w:numPr>
          <w:ilvl w:val="0"/>
          <w:numId w:val="22"/>
        </w:numPr>
        <w:ind w:left="426" w:hanging="426"/>
        <w:rPr>
          <w:sz w:val="20"/>
        </w:rPr>
      </w:pPr>
      <w:r w:rsidRPr="001735A9">
        <w:rPr>
          <w:sz w:val="20"/>
        </w:rPr>
        <w:t>Breeding requirements</w:t>
      </w:r>
    </w:p>
    <w:p w:rsidR="008D1C82" w:rsidRPr="001735A9" w:rsidRDefault="008D1C82" w:rsidP="00BD28C4">
      <w:pPr>
        <w:pStyle w:val="ListParagraph"/>
        <w:numPr>
          <w:ilvl w:val="0"/>
          <w:numId w:val="22"/>
        </w:numPr>
        <w:ind w:left="426" w:hanging="426"/>
        <w:rPr>
          <w:sz w:val="20"/>
        </w:rPr>
      </w:pPr>
      <w:r w:rsidRPr="001735A9">
        <w:rPr>
          <w:sz w:val="20"/>
        </w:rPr>
        <w:lastRenderedPageBreak/>
        <w:t>Mating/whelping/lactating requirements</w:t>
      </w:r>
    </w:p>
    <w:p w:rsidR="008D1C82" w:rsidRPr="001735A9" w:rsidRDefault="008D1C82" w:rsidP="00BD28C4">
      <w:pPr>
        <w:pStyle w:val="ListParagraph"/>
        <w:numPr>
          <w:ilvl w:val="0"/>
          <w:numId w:val="22"/>
        </w:numPr>
        <w:ind w:left="426" w:hanging="426"/>
        <w:rPr>
          <w:sz w:val="20"/>
        </w:rPr>
      </w:pPr>
      <w:r w:rsidRPr="001735A9">
        <w:rPr>
          <w:sz w:val="20"/>
        </w:rPr>
        <w:t>New rearing requirements</w:t>
      </w:r>
    </w:p>
    <w:p w:rsidR="008D1C82" w:rsidRPr="001735A9" w:rsidRDefault="008D1C82" w:rsidP="00BD28C4">
      <w:pPr>
        <w:pStyle w:val="ListParagraph"/>
        <w:numPr>
          <w:ilvl w:val="0"/>
          <w:numId w:val="22"/>
        </w:numPr>
        <w:ind w:left="426" w:hanging="426"/>
        <w:rPr>
          <w:sz w:val="20"/>
        </w:rPr>
      </w:pPr>
      <w:r w:rsidRPr="001735A9">
        <w:rPr>
          <w:sz w:val="20"/>
        </w:rPr>
        <w:t>New training/racing requirements</w:t>
      </w:r>
    </w:p>
    <w:p w:rsidR="008D1C82" w:rsidRPr="001735A9" w:rsidRDefault="008D1C82" w:rsidP="00BD28C4">
      <w:pPr>
        <w:pStyle w:val="ListParagraph"/>
        <w:numPr>
          <w:ilvl w:val="0"/>
          <w:numId w:val="22"/>
        </w:numPr>
        <w:ind w:left="426" w:hanging="426"/>
        <w:rPr>
          <w:sz w:val="20"/>
        </w:rPr>
      </w:pPr>
      <w:r w:rsidRPr="001735A9">
        <w:rPr>
          <w:sz w:val="20"/>
        </w:rPr>
        <w:t>Preparing a greyhound for retirement/rehoming</w:t>
      </w:r>
    </w:p>
    <w:p w:rsidR="008D1C82" w:rsidRPr="001735A9" w:rsidRDefault="00720916" w:rsidP="00BD28C4">
      <w:pPr>
        <w:pStyle w:val="ListParagraph"/>
        <w:numPr>
          <w:ilvl w:val="0"/>
          <w:numId w:val="22"/>
        </w:numPr>
        <w:ind w:left="426" w:hanging="426"/>
        <w:rPr>
          <w:sz w:val="20"/>
        </w:rPr>
      </w:pPr>
      <w:r w:rsidRPr="001735A9">
        <w:rPr>
          <w:sz w:val="20"/>
        </w:rPr>
        <w:t>Exercise/training and enrichment</w:t>
      </w:r>
    </w:p>
    <w:p w:rsidR="00720916" w:rsidRPr="001735A9" w:rsidRDefault="00720916" w:rsidP="00BD28C4">
      <w:pPr>
        <w:pStyle w:val="ListParagraph"/>
        <w:numPr>
          <w:ilvl w:val="0"/>
          <w:numId w:val="22"/>
        </w:numPr>
        <w:ind w:left="426" w:hanging="426"/>
        <w:rPr>
          <w:sz w:val="20"/>
        </w:rPr>
      </w:pPr>
      <w:r w:rsidRPr="001735A9">
        <w:rPr>
          <w:sz w:val="20"/>
        </w:rPr>
        <w:t>Pre-training requirements</w:t>
      </w:r>
    </w:p>
    <w:p w:rsidR="00720916" w:rsidRPr="001735A9" w:rsidRDefault="00720916" w:rsidP="00BD28C4">
      <w:pPr>
        <w:pStyle w:val="ListParagraph"/>
        <w:numPr>
          <w:ilvl w:val="0"/>
          <w:numId w:val="22"/>
        </w:numPr>
        <w:ind w:left="426" w:hanging="426"/>
        <w:rPr>
          <w:sz w:val="20"/>
        </w:rPr>
      </w:pPr>
      <w:r w:rsidRPr="001735A9">
        <w:rPr>
          <w:sz w:val="20"/>
        </w:rPr>
        <w:t>Socialisation and handling for dogs</w:t>
      </w:r>
    </w:p>
    <w:p w:rsidR="00720916" w:rsidRPr="001735A9" w:rsidRDefault="00720916" w:rsidP="00BD28C4">
      <w:pPr>
        <w:pStyle w:val="ListParagraph"/>
        <w:numPr>
          <w:ilvl w:val="0"/>
          <w:numId w:val="22"/>
        </w:numPr>
        <w:ind w:left="426" w:hanging="426"/>
        <w:rPr>
          <w:sz w:val="20"/>
        </w:rPr>
      </w:pPr>
      <w:r w:rsidRPr="001735A9">
        <w:rPr>
          <w:sz w:val="20"/>
        </w:rPr>
        <w:t>Isolation housing</w:t>
      </w:r>
    </w:p>
    <w:p w:rsidR="00720916" w:rsidRPr="001735A9" w:rsidRDefault="00720916" w:rsidP="00BD28C4">
      <w:pPr>
        <w:pStyle w:val="ListParagraph"/>
        <w:numPr>
          <w:ilvl w:val="0"/>
          <w:numId w:val="22"/>
        </w:numPr>
        <w:ind w:left="426" w:hanging="426"/>
        <w:rPr>
          <w:sz w:val="20"/>
        </w:rPr>
      </w:pPr>
      <w:r w:rsidRPr="001735A9">
        <w:rPr>
          <w:sz w:val="20"/>
        </w:rPr>
        <w:t>Tethering</w:t>
      </w:r>
    </w:p>
    <w:p w:rsidR="00720916" w:rsidRPr="001735A9" w:rsidRDefault="00720916" w:rsidP="00BD28C4">
      <w:pPr>
        <w:pStyle w:val="ListParagraph"/>
        <w:numPr>
          <w:ilvl w:val="0"/>
          <w:numId w:val="22"/>
        </w:numPr>
        <w:ind w:left="426" w:hanging="426"/>
        <w:rPr>
          <w:sz w:val="20"/>
        </w:rPr>
      </w:pPr>
      <w:r w:rsidRPr="001735A9">
        <w:rPr>
          <w:sz w:val="20"/>
        </w:rPr>
        <w:t>New requirements around fencing/outdoor/indoor housing</w:t>
      </w:r>
    </w:p>
    <w:p w:rsidR="00720916" w:rsidRPr="001735A9" w:rsidRDefault="00720916" w:rsidP="00BD28C4">
      <w:pPr>
        <w:pStyle w:val="ListParagraph"/>
        <w:numPr>
          <w:ilvl w:val="0"/>
          <w:numId w:val="22"/>
        </w:numPr>
        <w:ind w:left="426" w:hanging="426"/>
        <w:rPr>
          <w:sz w:val="20"/>
        </w:rPr>
      </w:pPr>
      <w:r w:rsidRPr="001735A9">
        <w:rPr>
          <w:sz w:val="20"/>
        </w:rPr>
        <w:t>Toileting yards</w:t>
      </w:r>
    </w:p>
    <w:p w:rsidR="00720916" w:rsidRPr="001735A9" w:rsidRDefault="00720916" w:rsidP="00BD28C4">
      <w:pPr>
        <w:pStyle w:val="ListParagraph"/>
        <w:numPr>
          <w:ilvl w:val="0"/>
          <w:numId w:val="22"/>
        </w:numPr>
        <w:ind w:left="426" w:hanging="426"/>
        <w:rPr>
          <w:sz w:val="20"/>
        </w:rPr>
      </w:pPr>
      <w:r w:rsidRPr="001735A9">
        <w:rPr>
          <w:sz w:val="20"/>
        </w:rPr>
        <w:t>Bull rings</w:t>
      </w:r>
    </w:p>
    <w:p w:rsidR="00720916" w:rsidRPr="001735A9" w:rsidRDefault="00720916" w:rsidP="00BD28C4">
      <w:pPr>
        <w:pStyle w:val="ListParagraph"/>
        <w:numPr>
          <w:ilvl w:val="0"/>
          <w:numId w:val="22"/>
        </w:numPr>
        <w:ind w:left="426" w:hanging="426"/>
        <w:rPr>
          <w:sz w:val="20"/>
        </w:rPr>
      </w:pPr>
      <w:r w:rsidRPr="001735A9">
        <w:rPr>
          <w:sz w:val="20"/>
        </w:rPr>
        <w:t>Trial tracks</w:t>
      </w:r>
    </w:p>
    <w:p w:rsidR="00720916" w:rsidRPr="001735A9" w:rsidRDefault="00720916" w:rsidP="00BD28C4">
      <w:pPr>
        <w:pStyle w:val="ListParagraph"/>
        <w:numPr>
          <w:ilvl w:val="0"/>
          <w:numId w:val="22"/>
        </w:numPr>
        <w:ind w:left="426" w:hanging="426"/>
        <w:rPr>
          <w:sz w:val="20"/>
        </w:rPr>
      </w:pPr>
      <w:r w:rsidRPr="001735A9">
        <w:rPr>
          <w:sz w:val="20"/>
        </w:rPr>
        <w:t>Mating areas</w:t>
      </w:r>
    </w:p>
    <w:p w:rsidR="00720916" w:rsidRPr="001735A9" w:rsidRDefault="00720916" w:rsidP="00BD28C4">
      <w:pPr>
        <w:pStyle w:val="ListParagraph"/>
        <w:numPr>
          <w:ilvl w:val="0"/>
          <w:numId w:val="22"/>
        </w:numPr>
        <w:ind w:left="426" w:hanging="426"/>
        <w:rPr>
          <w:sz w:val="20"/>
        </w:rPr>
      </w:pPr>
      <w:r w:rsidRPr="001735A9">
        <w:rPr>
          <w:sz w:val="20"/>
        </w:rPr>
        <w:t>Sleeping areas</w:t>
      </w:r>
    </w:p>
    <w:p w:rsidR="00720916" w:rsidRPr="001735A9" w:rsidRDefault="00720916" w:rsidP="00BD28C4">
      <w:pPr>
        <w:pStyle w:val="ListParagraph"/>
        <w:numPr>
          <w:ilvl w:val="0"/>
          <w:numId w:val="22"/>
        </w:numPr>
        <w:ind w:left="426" w:hanging="426"/>
        <w:rPr>
          <w:sz w:val="20"/>
        </w:rPr>
      </w:pPr>
      <w:r w:rsidRPr="001735A9">
        <w:rPr>
          <w:sz w:val="20"/>
        </w:rPr>
        <w:t>Whelping/lactating areas</w:t>
      </w:r>
    </w:p>
    <w:p w:rsidR="00720916" w:rsidRPr="001735A9" w:rsidRDefault="00720916" w:rsidP="00BD28C4">
      <w:pPr>
        <w:pStyle w:val="ListParagraph"/>
        <w:numPr>
          <w:ilvl w:val="0"/>
          <w:numId w:val="22"/>
        </w:numPr>
        <w:ind w:left="426" w:hanging="426"/>
        <w:rPr>
          <w:sz w:val="20"/>
        </w:rPr>
      </w:pPr>
      <w:r w:rsidRPr="001735A9">
        <w:rPr>
          <w:sz w:val="20"/>
        </w:rPr>
        <w:t>Hobby establishments</w:t>
      </w:r>
    </w:p>
    <w:p w:rsidR="00720916" w:rsidRPr="001735A9" w:rsidRDefault="00720916" w:rsidP="00BD28C4">
      <w:pPr>
        <w:pStyle w:val="ListParagraph"/>
        <w:numPr>
          <w:ilvl w:val="0"/>
          <w:numId w:val="22"/>
        </w:numPr>
        <w:ind w:left="426" w:hanging="426"/>
        <w:rPr>
          <w:sz w:val="20"/>
        </w:rPr>
      </w:pPr>
      <w:r w:rsidRPr="001735A9">
        <w:rPr>
          <w:sz w:val="20"/>
        </w:rPr>
        <w:t>Housing areas</w:t>
      </w:r>
    </w:p>
    <w:p w:rsidR="00720916" w:rsidRPr="001735A9" w:rsidRDefault="00720916" w:rsidP="00BD28C4">
      <w:pPr>
        <w:pStyle w:val="ListParagraph"/>
        <w:ind w:left="426" w:hanging="426"/>
        <w:rPr>
          <w:sz w:val="20"/>
        </w:rPr>
      </w:pPr>
    </w:p>
    <w:p w:rsidR="00C23C9B" w:rsidRPr="001735A9" w:rsidRDefault="00C23C9B" w:rsidP="00E73ADB">
      <w:pPr>
        <w:jc w:val="both"/>
        <w:rPr>
          <w:sz w:val="20"/>
        </w:rPr>
      </w:pPr>
    </w:p>
    <w:p w:rsidR="00C23C9B" w:rsidRPr="001735A9" w:rsidRDefault="00C23C9B" w:rsidP="00E73ADB">
      <w:pPr>
        <w:jc w:val="both"/>
        <w:rPr>
          <w:sz w:val="20"/>
        </w:rPr>
      </w:pPr>
    </w:p>
    <w:p w:rsidR="00C23C9B" w:rsidRDefault="00C23C9B" w:rsidP="005F3125">
      <w:pPr>
        <w:pStyle w:val="Heading1"/>
        <w:sectPr w:rsidR="00C23C9B" w:rsidSect="00C23C9B">
          <w:type w:val="continuous"/>
          <w:pgSz w:w="11906" w:h="16838"/>
          <w:pgMar w:top="1985" w:right="2267" w:bottom="1418" w:left="1418" w:header="794" w:footer="709" w:gutter="0"/>
          <w:cols w:num="2" w:space="708"/>
          <w:docGrid w:linePitch="360"/>
        </w:sectPr>
      </w:pPr>
      <w:bookmarkStart w:id="161" w:name="_Toc456126068"/>
    </w:p>
    <w:p w:rsidR="004119DC" w:rsidRDefault="004119DC" w:rsidP="00720916">
      <w:pPr>
        <w:jc w:val="both"/>
      </w:pPr>
    </w:p>
    <w:p w:rsidR="009B1E6D" w:rsidRDefault="00720916" w:rsidP="00720916">
      <w:pPr>
        <w:spacing w:after="120"/>
        <w:jc w:val="both"/>
      </w:pPr>
      <w:r>
        <w:rPr>
          <w:lang w:val="en-US"/>
        </w:rPr>
        <w:t xml:space="preserve">If adopted by government, the proposed Code will be implemented by the </w:t>
      </w:r>
      <w:r>
        <w:t xml:space="preserve">Minister making the code </w:t>
      </w:r>
      <w:r w:rsidRPr="003A66D3">
        <w:t xml:space="preserve">under Section </w:t>
      </w:r>
      <w:r w:rsidR="001F6E93" w:rsidRPr="003A66D3">
        <w:t xml:space="preserve">63AC </w:t>
      </w:r>
      <w:r w:rsidRPr="003A66D3">
        <w:t>of the Act.</w:t>
      </w:r>
      <w:r w:rsidR="007B521C">
        <w:t xml:space="preserve"> </w:t>
      </w:r>
      <w:r w:rsidRPr="003A66D3">
        <w:t>Section</w:t>
      </w:r>
      <w:r>
        <w:t xml:space="preserve"> 63A</w:t>
      </w:r>
      <w:r w:rsidR="001F6E93">
        <w:t>E</w:t>
      </w:r>
      <w:r>
        <w:t xml:space="preserve"> of the Act provides that a person or body</w:t>
      </w:r>
      <w:r w:rsidR="001F6E93">
        <w:t>, which keeps a GRV greyhound,</w:t>
      </w:r>
      <w:r>
        <w:t xml:space="preserve"> must comply with the Code of Practice made under section </w:t>
      </w:r>
      <w:r w:rsidR="001F6E93">
        <w:t>63AC</w:t>
      </w:r>
      <w:r>
        <w:t>. The penalty</w:t>
      </w:r>
      <w:r w:rsidR="001F6E93">
        <w:t xml:space="preserve"> for non-compliance</w:t>
      </w:r>
      <w:r>
        <w:t xml:space="preserve"> is </w:t>
      </w:r>
      <w:r w:rsidR="001735A9">
        <w:t>600 penalty units (currently $93,276</w:t>
      </w:r>
      <w:r>
        <w:t xml:space="preserve">) in the case of a body corporate; and </w:t>
      </w:r>
      <w:r w:rsidR="001735A9">
        <w:t>246 penalty units (currently $38,243</w:t>
      </w:r>
      <w:r>
        <w:t>) in any other case.</w:t>
      </w:r>
      <w:r>
        <w:rPr>
          <w:rStyle w:val="FootnoteReference"/>
        </w:rPr>
        <w:footnoteReference w:id="149"/>
      </w:r>
      <w:r w:rsidR="00D346FD">
        <w:t xml:space="preserve"> </w:t>
      </w:r>
    </w:p>
    <w:p w:rsidR="009B1E6D" w:rsidRPr="00C357B6" w:rsidRDefault="00720916" w:rsidP="009B1E6D">
      <w:pPr>
        <w:spacing w:after="120"/>
        <w:jc w:val="both"/>
        <w:rPr>
          <w:color w:val="auto"/>
        </w:rPr>
      </w:pPr>
      <w:r w:rsidRPr="00C357B6">
        <w:rPr>
          <w:color w:val="auto"/>
        </w:rPr>
        <w:t xml:space="preserve">The Act and the Code may be enforced by ‘authorised officers’, who will be officers of GRV and possibly municipal councils. </w:t>
      </w:r>
      <w:r w:rsidR="009B1E6D" w:rsidRPr="00C357B6">
        <w:rPr>
          <w:color w:val="auto"/>
        </w:rPr>
        <w:t>GRV employees will be authorised under the DAA (mid 2017).</w:t>
      </w:r>
      <w:r w:rsidR="007B521C">
        <w:rPr>
          <w:color w:val="auto"/>
        </w:rPr>
        <w:t xml:space="preserve"> </w:t>
      </w:r>
      <w:r w:rsidR="009B1E6D" w:rsidRPr="00C357B6">
        <w:rPr>
          <w:color w:val="auto"/>
        </w:rPr>
        <w:t xml:space="preserve">GRV are currently unable to issue fines under the </w:t>
      </w:r>
      <w:r w:rsidR="00B97E2C">
        <w:rPr>
          <w:color w:val="auto"/>
        </w:rPr>
        <w:t>DAA</w:t>
      </w:r>
      <w:r w:rsidR="009B1E6D" w:rsidRPr="00C357B6">
        <w:rPr>
          <w:color w:val="auto"/>
        </w:rPr>
        <w:t>.</w:t>
      </w:r>
      <w:r w:rsidR="007B521C">
        <w:rPr>
          <w:color w:val="auto"/>
        </w:rPr>
        <w:t xml:space="preserve"> </w:t>
      </w:r>
      <w:r w:rsidR="009B1E6D" w:rsidRPr="00C357B6">
        <w:rPr>
          <w:color w:val="auto"/>
        </w:rPr>
        <w:t xml:space="preserve">Penalties under the </w:t>
      </w:r>
      <w:r w:rsidR="00B97E2C">
        <w:rPr>
          <w:color w:val="auto"/>
        </w:rPr>
        <w:t>DAA</w:t>
      </w:r>
      <w:r w:rsidR="009B1E6D" w:rsidRPr="00C357B6">
        <w:rPr>
          <w:color w:val="auto"/>
        </w:rPr>
        <w:t xml:space="preserve"> cannot be imposed by infringement but rather a summons to the Magistrates Court.</w:t>
      </w:r>
      <w:r w:rsidR="007B521C">
        <w:rPr>
          <w:color w:val="auto"/>
        </w:rPr>
        <w:t xml:space="preserve"> </w:t>
      </w:r>
      <w:r w:rsidR="009B1E6D" w:rsidRPr="00C357B6">
        <w:rPr>
          <w:color w:val="auto"/>
        </w:rPr>
        <w:t xml:space="preserve">The only option open to GRV is to issue small fines under the rules or to cancel participant registration (usually through the racing appeals disciplinary board or VCAT). </w:t>
      </w:r>
    </w:p>
    <w:p w:rsidR="00EE3E62" w:rsidRPr="008D7690" w:rsidRDefault="00EE3E62" w:rsidP="005F3125">
      <w:pPr>
        <w:pStyle w:val="Heading1"/>
      </w:pPr>
      <w:bookmarkStart w:id="162" w:name="_Toc469529186"/>
      <w:bookmarkStart w:id="163" w:name="_Toc477190210"/>
      <w:r w:rsidRPr="00070EEF">
        <w:lastRenderedPageBreak/>
        <w:t xml:space="preserve">Section </w:t>
      </w:r>
      <w:r>
        <w:t>9</w:t>
      </w:r>
      <w:r w:rsidRPr="00070EEF">
        <w:t xml:space="preserve"> </w:t>
      </w:r>
      <w:r>
        <w:t>Implementation plan for the preferred option</w:t>
      </w:r>
      <w:bookmarkEnd w:id="161"/>
      <w:bookmarkEnd w:id="162"/>
      <w:bookmarkEnd w:id="163"/>
    </w:p>
    <w:p w:rsidR="00B950CF" w:rsidRPr="00F8792B" w:rsidRDefault="00B82EE8" w:rsidP="00B950CF">
      <w:pPr>
        <w:spacing w:before="120" w:after="120"/>
        <w:jc w:val="both"/>
        <w:rPr>
          <w:rFonts w:asciiTheme="majorHAnsi" w:hAnsiTheme="majorHAnsi"/>
        </w:rPr>
      </w:pPr>
      <w:r w:rsidRPr="00F8792B">
        <w:rPr>
          <w:rFonts w:asciiTheme="majorHAnsi" w:hAnsiTheme="majorHAnsi"/>
        </w:rPr>
        <w:t>The Code will undergo a public submission period which will be communicated to industry stakeholders and the public by both GRV and DEDJTR</w:t>
      </w:r>
      <w:r>
        <w:rPr>
          <w:rFonts w:asciiTheme="majorHAnsi" w:hAnsiTheme="majorHAnsi"/>
        </w:rPr>
        <w:t>.</w:t>
      </w:r>
      <w:r w:rsidR="007B521C">
        <w:rPr>
          <w:rFonts w:asciiTheme="majorHAnsi" w:hAnsiTheme="majorHAnsi"/>
        </w:rPr>
        <w:t xml:space="preserve"> </w:t>
      </w:r>
      <w:r w:rsidR="00B950CF" w:rsidRPr="003D7A56">
        <w:rPr>
          <w:rFonts w:asciiTheme="majorHAnsi" w:hAnsiTheme="majorHAnsi"/>
        </w:rPr>
        <w:t xml:space="preserve">GRV have indicated that they will work with participants in order </w:t>
      </w:r>
      <w:r w:rsidR="00B950CF">
        <w:rPr>
          <w:rFonts w:asciiTheme="majorHAnsi" w:hAnsiTheme="majorHAnsi"/>
        </w:rPr>
        <w:t>to get them to comply with the proposed C</w:t>
      </w:r>
      <w:r w:rsidR="00B950CF" w:rsidRPr="003D7A56">
        <w:rPr>
          <w:rFonts w:asciiTheme="majorHAnsi" w:hAnsiTheme="majorHAnsi"/>
        </w:rPr>
        <w:t xml:space="preserve">ode. Strategies such as structured auditing and implementing work plans will be used. </w:t>
      </w:r>
      <w:r w:rsidR="00B950CF">
        <w:rPr>
          <w:rFonts w:asciiTheme="majorHAnsi" w:hAnsiTheme="majorHAnsi"/>
        </w:rPr>
        <w:t xml:space="preserve">DEDJTR typically apply a 12-month transition period for the introduction of the proposed Code. </w:t>
      </w:r>
      <w:r w:rsidR="00B950CF" w:rsidRPr="00B950CF">
        <w:rPr>
          <w:rFonts w:asciiTheme="majorHAnsi" w:hAnsiTheme="majorHAnsi"/>
        </w:rPr>
        <w:t>There will be no cost to participants when being audited. GRV</w:t>
      </w:r>
      <w:r w:rsidR="00703F83">
        <w:rPr>
          <w:rFonts w:asciiTheme="majorHAnsi" w:hAnsiTheme="majorHAnsi"/>
        </w:rPr>
        <w:t xml:space="preserve"> also</w:t>
      </w:r>
      <w:r w:rsidR="00B950CF" w:rsidRPr="00B950CF">
        <w:rPr>
          <w:rFonts w:asciiTheme="majorHAnsi" w:hAnsiTheme="majorHAnsi"/>
        </w:rPr>
        <w:t xml:space="preserve"> receive</w:t>
      </w:r>
      <w:r w:rsidR="00703F83">
        <w:rPr>
          <w:rFonts w:asciiTheme="majorHAnsi" w:hAnsiTheme="majorHAnsi"/>
        </w:rPr>
        <w:t xml:space="preserve"> </w:t>
      </w:r>
      <w:r w:rsidR="00B950CF" w:rsidRPr="00B950CF">
        <w:rPr>
          <w:rFonts w:asciiTheme="majorHAnsi" w:hAnsiTheme="majorHAnsi"/>
        </w:rPr>
        <w:t>funding from the government via the Victorian Racing Industry Fund which is managed through the Office of Racing as well as gambling revenue (approximately 24% of total revenue from all racing codes)</w:t>
      </w:r>
      <w:r w:rsidR="00B950CF">
        <w:rPr>
          <w:rFonts w:asciiTheme="majorHAnsi" w:hAnsiTheme="majorHAnsi"/>
        </w:rPr>
        <w:t>.</w:t>
      </w:r>
      <w:r w:rsidR="004306C0">
        <w:rPr>
          <w:rFonts w:asciiTheme="majorHAnsi" w:hAnsiTheme="majorHAnsi"/>
        </w:rPr>
        <w:t xml:space="preserve"> </w:t>
      </w:r>
    </w:p>
    <w:p w:rsidR="00B82EE8" w:rsidRDefault="00B82EE8" w:rsidP="00B82EE8">
      <w:pPr>
        <w:jc w:val="both"/>
        <w:rPr>
          <w:rFonts w:asciiTheme="majorHAnsi" w:hAnsiTheme="majorHAnsi"/>
        </w:rPr>
      </w:pPr>
      <w:r w:rsidRPr="00F8792B">
        <w:rPr>
          <w:rFonts w:asciiTheme="majorHAnsi" w:hAnsiTheme="majorHAnsi"/>
        </w:rPr>
        <w:t xml:space="preserve">The </w:t>
      </w:r>
      <w:r>
        <w:rPr>
          <w:rFonts w:asciiTheme="majorHAnsi" w:hAnsiTheme="majorHAnsi"/>
        </w:rPr>
        <w:t xml:space="preserve">Code </w:t>
      </w:r>
      <w:r w:rsidRPr="00F8792B">
        <w:rPr>
          <w:rFonts w:asciiTheme="majorHAnsi" w:hAnsiTheme="majorHAnsi"/>
        </w:rPr>
        <w:t>will primarily be administered by employees of GRV who will be authorised by DEDJTR in accordance with section 71A of the Domestic Animals Act 1994</w:t>
      </w:r>
      <w:r>
        <w:rPr>
          <w:rFonts w:asciiTheme="majorHAnsi" w:hAnsiTheme="majorHAnsi"/>
        </w:rPr>
        <w:t xml:space="preserve"> (</w:t>
      </w:r>
      <w:r w:rsidRPr="00F8792B">
        <w:rPr>
          <w:rFonts w:asciiTheme="majorHAnsi" w:hAnsiTheme="majorHAnsi"/>
        </w:rPr>
        <w:t>DAA</w:t>
      </w:r>
      <w:r>
        <w:rPr>
          <w:rFonts w:asciiTheme="majorHAnsi" w:hAnsiTheme="majorHAnsi"/>
        </w:rPr>
        <w:t>).</w:t>
      </w:r>
      <w:r w:rsidR="007B521C">
        <w:rPr>
          <w:rFonts w:asciiTheme="majorHAnsi" w:hAnsiTheme="majorHAnsi"/>
        </w:rPr>
        <w:t xml:space="preserve"> </w:t>
      </w:r>
      <w:r>
        <w:rPr>
          <w:rFonts w:asciiTheme="majorHAnsi" w:hAnsiTheme="majorHAnsi"/>
        </w:rPr>
        <w:t>The Code</w:t>
      </w:r>
      <w:r w:rsidRPr="00F8792B">
        <w:rPr>
          <w:rFonts w:asciiTheme="majorHAnsi" w:hAnsiTheme="majorHAnsi"/>
        </w:rPr>
        <w:t xml:space="preserve"> will be made under section 63AC of the DAA and gazetted in accordance section 63AD of the DAA</w:t>
      </w:r>
      <w:r>
        <w:rPr>
          <w:rFonts w:asciiTheme="majorHAnsi" w:hAnsiTheme="majorHAnsi"/>
        </w:rPr>
        <w:t>.</w:t>
      </w:r>
      <w:r w:rsidR="007B521C">
        <w:rPr>
          <w:rFonts w:asciiTheme="majorHAnsi" w:hAnsiTheme="majorHAnsi"/>
        </w:rPr>
        <w:t xml:space="preserve"> </w:t>
      </w:r>
      <w:r w:rsidRPr="00F8792B">
        <w:rPr>
          <w:rFonts w:asciiTheme="majorHAnsi" w:hAnsiTheme="majorHAnsi"/>
        </w:rPr>
        <w:t>Once published in the Government Gazette (in accordance with 6</w:t>
      </w:r>
      <w:r>
        <w:rPr>
          <w:rFonts w:asciiTheme="majorHAnsi" w:hAnsiTheme="majorHAnsi"/>
        </w:rPr>
        <w:t>3AD) the Code</w:t>
      </w:r>
      <w:r w:rsidRPr="00F8792B">
        <w:rPr>
          <w:rFonts w:asciiTheme="majorHAnsi" w:hAnsiTheme="majorHAnsi"/>
        </w:rPr>
        <w:t xml:space="preserve"> will come into effect</w:t>
      </w:r>
      <w:r>
        <w:rPr>
          <w:rFonts w:asciiTheme="majorHAnsi" w:hAnsiTheme="majorHAnsi"/>
        </w:rPr>
        <w:t>.</w:t>
      </w:r>
      <w:r w:rsidR="007B521C">
        <w:rPr>
          <w:rFonts w:asciiTheme="majorHAnsi" w:hAnsiTheme="majorHAnsi"/>
        </w:rPr>
        <w:t xml:space="preserve"> </w:t>
      </w:r>
      <w:r w:rsidRPr="00F8792B">
        <w:rPr>
          <w:rFonts w:asciiTheme="majorHAnsi" w:hAnsiTheme="majorHAnsi"/>
        </w:rPr>
        <w:t xml:space="preserve">GRV </w:t>
      </w:r>
      <w:r>
        <w:rPr>
          <w:rFonts w:asciiTheme="majorHAnsi" w:hAnsiTheme="majorHAnsi"/>
        </w:rPr>
        <w:t>employees must comply with the “</w:t>
      </w:r>
      <w:r w:rsidRPr="00F8792B">
        <w:rPr>
          <w:rFonts w:asciiTheme="majorHAnsi" w:hAnsiTheme="majorHAnsi"/>
        </w:rPr>
        <w:t>Section 71A Authorised Officer Appointments Policy” in order for their authorisation to continue</w:t>
      </w:r>
      <w:r>
        <w:rPr>
          <w:rFonts w:asciiTheme="majorHAnsi" w:hAnsiTheme="majorHAnsi"/>
        </w:rPr>
        <w:t>.</w:t>
      </w:r>
      <w:r w:rsidR="007B521C">
        <w:rPr>
          <w:rFonts w:asciiTheme="majorHAnsi" w:hAnsiTheme="majorHAnsi"/>
        </w:rPr>
        <w:t xml:space="preserve"> </w:t>
      </w:r>
      <w:r w:rsidRPr="00F8792B">
        <w:rPr>
          <w:rFonts w:asciiTheme="majorHAnsi" w:hAnsiTheme="majorHAnsi"/>
        </w:rPr>
        <w:t>GRV authorised officers will consist of the Animal Welfare/Education Inspectors and the Investigations Unit/Team/Group</w:t>
      </w:r>
      <w:r>
        <w:rPr>
          <w:rFonts w:asciiTheme="majorHAnsi" w:hAnsiTheme="majorHAnsi"/>
        </w:rPr>
        <w:t>.</w:t>
      </w:r>
    </w:p>
    <w:p w:rsidR="00B82EE8" w:rsidRPr="00F8792B" w:rsidRDefault="00B82EE8" w:rsidP="00B82EE8">
      <w:pPr>
        <w:jc w:val="both"/>
        <w:rPr>
          <w:rFonts w:asciiTheme="majorHAnsi" w:hAnsiTheme="majorHAnsi"/>
        </w:rPr>
      </w:pPr>
    </w:p>
    <w:p w:rsidR="00B82EE8" w:rsidRDefault="00B82EE8" w:rsidP="00B82EE8">
      <w:pPr>
        <w:jc w:val="both"/>
        <w:rPr>
          <w:rFonts w:asciiTheme="majorHAnsi" w:hAnsiTheme="majorHAnsi"/>
        </w:rPr>
      </w:pPr>
      <w:r w:rsidRPr="00F8792B">
        <w:rPr>
          <w:rFonts w:asciiTheme="majorHAnsi" w:hAnsiTheme="majorHAnsi"/>
        </w:rPr>
        <w:t>Although GRV will be the p</w:t>
      </w:r>
      <w:r>
        <w:rPr>
          <w:rFonts w:asciiTheme="majorHAnsi" w:hAnsiTheme="majorHAnsi"/>
        </w:rPr>
        <w:t>rimary administrators of the Code</w:t>
      </w:r>
      <w:r w:rsidRPr="00F8792B">
        <w:rPr>
          <w:rFonts w:asciiTheme="majorHAnsi" w:hAnsiTheme="majorHAnsi"/>
        </w:rPr>
        <w:t>, this does not mean employees of Council will be precluded from undertaking inspectorial, investigative or enforcement action against ‘Greyhound Establishments’</w:t>
      </w:r>
      <w:r>
        <w:rPr>
          <w:rFonts w:asciiTheme="majorHAnsi" w:hAnsiTheme="majorHAnsi"/>
        </w:rPr>
        <w:t>.</w:t>
      </w:r>
      <w:r w:rsidR="007B521C">
        <w:rPr>
          <w:rFonts w:asciiTheme="majorHAnsi" w:hAnsiTheme="majorHAnsi"/>
        </w:rPr>
        <w:t xml:space="preserve"> </w:t>
      </w:r>
      <w:r w:rsidRPr="00F8792B">
        <w:rPr>
          <w:rFonts w:asciiTheme="majorHAnsi" w:hAnsiTheme="majorHAnsi"/>
        </w:rPr>
        <w:t>GRV employees must be appropriately trained to be able to admi</w:t>
      </w:r>
      <w:r>
        <w:rPr>
          <w:rFonts w:asciiTheme="majorHAnsi" w:hAnsiTheme="majorHAnsi"/>
        </w:rPr>
        <w:t>nister the provisions of the Code.</w:t>
      </w:r>
      <w:r w:rsidR="007B521C">
        <w:rPr>
          <w:rFonts w:asciiTheme="majorHAnsi" w:hAnsiTheme="majorHAnsi"/>
        </w:rPr>
        <w:t xml:space="preserve"> </w:t>
      </w:r>
      <w:r>
        <w:rPr>
          <w:rFonts w:asciiTheme="majorHAnsi" w:hAnsiTheme="majorHAnsi"/>
        </w:rPr>
        <w:t xml:space="preserve">GRV will be hiring and training additional inspectors and officers to undertake enforcement. </w:t>
      </w:r>
      <w:r w:rsidRPr="00F8792B">
        <w:rPr>
          <w:rFonts w:asciiTheme="majorHAnsi" w:hAnsiTheme="majorHAnsi"/>
        </w:rPr>
        <w:t>GRV will conduct inspections (targeted and random) and audits of premises of people that keep GRV greyhounds t</w:t>
      </w:r>
      <w:r>
        <w:rPr>
          <w:rFonts w:asciiTheme="majorHAnsi" w:hAnsiTheme="majorHAnsi"/>
        </w:rPr>
        <w:t xml:space="preserve">o ensure compliance with the Code. </w:t>
      </w:r>
      <w:r w:rsidRPr="00F8792B">
        <w:rPr>
          <w:rFonts w:asciiTheme="majorHAnsi" w:hAnsiTheme="majorHAnsi"/>
        </w:rPr>
        <w:t>GRV will assume responsibility for prosecu</w:t>
      </w:r>
      <w:r>
        <w:rPr>
          <w:rFonts w:asciiTheme="majorHAnsi" w:hAnsiTheme="majorHAnsi"/>
        </w:rPr>
        <w:t>ting non-compliance with the Code.</w:t>
      </w:r>
      <w:r w:rsidR="007B521C">
        <w:rPr>
          <w:rFonts w:asciiTheme="majorHAnsi" w:hAnsiTheme="majorHAnsi"/>
        </w:rPr>
        <w:t xml:space="preserve"> </w:t>
      </w:r>
      <w:r>
        <w:rPr>
          <w:rFonts w:asciiTheme="majorHAnsi" w:hAnsiTheme="majorHAnsi"/>
        </w:rPr>
        <w:t>Non-compliance with the Code will become an</w:t>
      </w:r>
      <w:r w:rsidRPr="00F8792B">
        <w:rPr>
          <w:rFonts w:asciiTheme="majorHAnsi" w:hAnsiTheme="majorHAnsi"/>
        </w:rPr>
        <w:t xml:space="preserve"> offence under section 63AE of the DAA</w:t>
      </w:r>
      <w:r>
        <w:rPr>
          <w:rFonts w:asciiTheme="majorHAnsi" w:hAnsiTheme="majorHAnsi"/>
        </w:rPr>
        <w:t>.</w:t>
      </w:r>
      <w:r w:rsidR="007B521C">
        <w:rPr>
          <w:rFonts w:asciiTheme="majorHAnsi" w:hAnsiTheme="majorHAnsi"/>
        </w:rPr>
        <w:t xml:space="preserve"> </w:t>
      </w:r>
      <w:r w:rsidRPr="00F8792B">
        <w:rPr>
          <w:rFonts w:asciiTheme="majorHAnsi" w:hAnsiTheme="majorHAnsi"/>
        </w:rPr>
        <w:t>Local Councils may prosecute, however will primarily provid</w:t>
      </w:r>
      <w:r>
        <w:rPr>
          <w:rFonts w:asciiTheme="majorHAnsi" w:hAnsiTheme="majorHAnsi"/>
        </w:rPr>
        <w:t>e support and assistance to GRV.</w:t>
      </w:r>
      <w:r w:rsidR="007B521C">
        <w:rPr>
          <w:rFonts w:asciiTheme="majorHAnsi" w:hAnsiTheme="majorHAnsi"/>
        </w:rPr>
        <w:t xml:space="preserve"> </w:t>
      </w:r>
      <w:r w:rsidRPr="00F8792B">
        <w:rPr>
          <w:rFonts w:asciiTheme="majorHAnsi" w:hAnsiTheme="majorHAnsi"/>
        </w:rPr>
        <w:t>GRV and DEDJTR will communicate the introduction GRC via media</w:t>
      </w:r>
      <w:r>
        <w:rPr>
          <w:rFonts w:asciiTheme="majorHAnsi" w:hAnsiTheme="majorHAnsi"/>
        </w:rPr>
        <w:t xml:space="preserve"> and their respective websites.</w:t>
      </w:r>
      <w:r w:rsidR="007B521C">
        <w:rPr>
          <w:rFonts w:asciiTheme="majorHAnsi" w:hAnsiTheme="majorHAnsi"/>
        </w:rPr>
        <w:t xml:space="preserve"> </w:t>
      </w:r>
      <w:r w:rsidRPr="00F8792B">
        <w:rPr>
          <w:rFonts w:asciiTheme="majorHAnsi" w:hAnsiTheme="majorHAnsi"/>
        </w:rPr>
        <w:t>GRV will be primary organisation respo</w:t>
      </w:r>
      <w:r>
        <w:rPr>
          <w:rFonts w:asciiTheme="majorHAnsi" w:hAnsiTheme="majorHAnsi"/>
        </w:rPr>
        <w:t>nsible for communicating the Code</w:t>
      </w:r>
      <w:r w:rsidRPr="00F8792B">
        <w:rPr>
          <w:rFonts w:asciiTheme="majorHAnsi" w:hAnsiTheme="majorHAnsi"/>
        </w:rPr>
        <w:t xml:space="preserve"> to GRV participants</w:t>
      </w:r>
      <w:r>
        <w:rPr>
          <w:rFonts w:asciiTheme="majorHAnsi" w:hAnsiTheme="majorHAnsi"/>
        </w:rPr>
        <w:t>.</w:t>
      </w:r>
      <w:r w:rsidR="007B521C">
        <w:rPr>
          <w:rFonts w:asciiTheme="majorHAnsi" w:hAnsiTheme="majorHAnsi"/>
        </w:rPr>
        <w:t xml:space="preserve"> </w:t>
      </w:r>
      <w:r w:rsidRPr="00F8792B">
        <w:rPr>
          <w:rFonts w:asciiTheme="majorHAnsi" w:hAnsiTheme="majorHAnsi"/>
        </w:rPr>
        <w:t>Compl</w:t>
      </w:r>
      <w:r>
        <w:rPr>
          <w:rFonts w:asciiTheme="majorHAnsi" w:hAnsiTheme="majorHAnsi"/>
        </w:rPr>
        <w:t>iance of the Code</w:t>
      </w:r>
      <w:r w:rsidRPr="00F8792B">
        <w:rPr>
          <w:rFonts w:asciiTheme="majorHAnsi" w:hAnsiTheme="majorHAnsi"/>
        </w:rPr>
        <w:t xml:space="preserve"> will be achieved by a more robust, consistent and effective inspection and auditing process by GRV employees as it will be their </w:t>
      </w:r>
      <w:r>
        <w:rPr>
          <w:rFonts w:asciiTheme="majorHAnsi" w:hAnsiTheme="majorHAnsi"/>
        </w:rPr>
        <w:t xml:space="preserve">primary/only </w:t>
      </w:r>
      <w:r w:rsidRPr="00F8792B">
        <w:rPr>
          <w:rFonts w:asciiTheme="majorHAnsi" w:hAnsiTheme="majorHAnsi"/>
        </w:rPr>
        <w:t>focus</w:t>
      </w:r>
      <w:r>
        <w:rPr>
          <w:rFonts w:asciiTheme="majorHAnsi" w:hAnsiTheme="majorHAnsi"/>
        </w:rPr>
        <w:t>.</w:t>
      </w:r>
    </w:p>
    <w:p w:rsidR="00B82EE8" w:rsidRPr="00F8792B" w:rsidRDefault="00B82EE8" w:rsidP="00B82EE8">
      <w:pPr>
        <w:spacing w:before="120" w:after="120"/>
        <w:jc w:val="both"/>
        <w:rPr>
          <w:rFonts w:asciiTheme="majorHAnsi" w:hAnsiTheme="majorHAnsi"/>
        </w:rPr>
      </w:pPr>
      <w:r>
        <w:rPr>
          <w:rFonts w:asciiTheme="majorHAnsi" w:hAnsiTheme="majorHAnsi"/>
        </w:rPr>
        <w:t>Moreover, a</w:t>
      </w:r>
      <w:r w:rsidRPr="00F8792B">
        <w:rPr>
          <w:rFonts w:asciiTheme="majorHAnsi" w:hAnsiTheme="majorHAnsi"/>
        </w:rPr>
        <w:t>s noted by the New Zealand Greyhound Racing Association:</w:t>
      </w:r>
    </w:p>
    <w:p w:rsidR="00B82EE8" w:rsidRPr="00F8792B" w:rsidRDefault="00B82EE8" w:rsidP="00B82EE8">
      <w:pPr>
        <w:spacing w:before="120" w:after="120"/>
        <w:ind w:left="567" w:right="567"/>
        <w:jc w:val="both"/>
        <w:rPr>
          <w:rFonts w:asciiTheme="majorHAnsi" w:hAnsiTheme="majorHAnsi"/>
          <w:sz w:val="20"/>
        </w:rPr>
      </w:pPr>
      <w:r w:rsidRPr="00F8792B">
        <w:rPr>
          <w:rFonts w:asciiTheme="majorHAnsi" w:hAnsiTheme="majorHAnsi"/>
          <w:sz w:val="20"/>
        </w:rPr>
        <w:t>‘The objective for the whole greyhound racing industry should be to implement a regime whereby, through registration, record keeping and tracking, the identity and location of a greyhound is known from birth until retirement, including what happens to each greyhound at the point of retirement, whether retirement from racing or from breeding. Database management, reporting and accountability must be improved in order to achieve this.’</w:t>
      </w:r>
      <w:r w:rsidRPr="00F8792B">
        <w:rPr>
          <w:rStyle w:val="FootnoteReference"/>
          <w:rFonts w:asciiTheme="majorHAnsi" w:hAnsiTheme="majorHAnsi"/>
          <w:sz w:val="20"/>
        </w:rPr>
        <w:footnoteReference w:id="150"/>
      </w:r>
    </w:p>
    <w:p w:rsidR="00BD28C4" w:rsidRDefault="00BD28C4">
      <w:pPr>
        <w:rPr>
          <w:rFonts w:asciiTheme="majorHAnsi" w:hAnsiTheme="majorHAnsi"/>
        </w:rPr>
      </w:pPr>
      <w:r>
        <w:rPr>
          <w:rFonts w:asciiTheme="majorHAnsi" w:hAnsiTheme="majorHAnsi"/>
        </w:rPr>
        <w:br w:type="page"/>
      </w:r>
    </w:p>
    <w:p w:rsidR="00B82EE8" w:rsidRDefault="00B82EE8" w:rsidP="00B82EE8">
      <w:pPr>
        <w:spacing w:before="120" w:after="120"/>
        <w:jc w:val="both"/>
        <w:rPr>
          <w:rFonts w:asciiTheme="majorHAnsi" w:hAnsiTheme="majorHAnsi"/>
        </w:rPr>
      </w:pPr>
      <w:r>
        <w:rPr>
          <w:rFonts w:asciiTheme="majorHAnsi" w:hAnsiTheme="majorHAnsi"/>
        </w:rPr>
        <w:lastRenderedPageBreak/>
        <w:t xml:space="preserve">Hence in conjunction with the implementation of the Code </w:t>
      </w:r>
      <w:r w:rsidRPr="00F8792B">
        <w:rPr>
          <w:rFonts w:asciiTheme="majorHAnsi" w:hAnsiTheme="majorHAnsi"/>
        </w:rPr>
        <w:t xml:space="preserve">GRV is adopting a ‘cradle to the grave’ data management approach with the expansion of their current data base system ‘Fast Track’ as part of their </w:t>
      </w:r>
      <w:r w:rsidRPr="00F8792B">
        <w:rPr>
          <w:rFonts w:asciiTheme="majorHAnsi" w:hAnsiTheme="majorHAnsi"/>
          <w:i/>
        </w:rPr>
        <w:t>Location Project</w:t>
      </w:r>
      <w:r w:rsidRPr="00F8792B">
        <w:rPr>
          <w:rFonts w:asciiTheme="majorHAnsi" w:hAnsiTheme="majorHAnsi"/>
        </w:rPr>
        <w:t>.</w:t>
      </w:r>
      <w:r w:rsidR="007B521C">
        <w:rPr>
          <w:rFonts w:asciiTheme="majorHAnsi" w:hAnsiTheme="majorHAnsi"/>
        </w:rPr>
        <w:t xml:space="preserve"> </w:t>
      </w:r>
      <w:r w:rsidRPr="00F8792B">
        <w:rPr>
          <w:rFonts w:asciiTheme="majorHAnsi" w:hAnsiTheme="majorHAnsi"/>
        </w:rPr>
        <w:t xml:space="preserve">The </w:t>
      </w:r>
      <w:r w:rsidRPr="00F8792B">
        <w:rPr>
          <w:rFonts w:asciiTheme="majorHAnsi" w:hAnsiTheme="majorHAnsi"/>
          <w:i/>
        </w:rPr>
        <w:t>Location Project</w:t>
      </w:r>
      <w:r w:rsidRPr="00F8792B">
        <w:rPr>
          <w:rFonts w:asciiTheme="majorHAnsi" w:hAnsiTheme="majorHAnsi"/>
        </w:rPr>
        <w:t xml:space="preserve"> will see dogs from 12 weeks of age registered in Fast Track where dogs, owners, participants will be captured at any property (not just where there is a change of ownership or at the racing track, as is currently the case).</w:t>
      </w:r>
      <w:r w:rsidR="007B521C">
        <w:rPr>
          <w:rFonts w:asciiTheme="majorHAnsi" w:hAnsiTheme="majorHAnsi"/>
        </w:rPr>
        <w:t xml:space="preserve"> </w:t>
      </w:r>
      <w:r w:rsidRPr="00F8792B">
        <w:rPr>
          <w:rFonts w:asciiTheme="majorHAnsi" w:hAnsiTheme="majorHAnsi"/>
        </w:rPr>
        <w:t xml:space="preserve">Under the </w:t>
      </w:r>
      <w:r w:rsidRPr="00F8792B">
        <w:rPr>
          <w:rFonts w:asciiTheme="majorHAnsi" w:hAnsiTheme="majorHAnsi"/>
          <w:i/>
        </w:rPr>
        <w:t>Location Project</w:t>
      </w:r>
      <w:r w:rsidRPr="00F8792B">
        <w:rPr>
          <w:rFonts w:asciiTheme="majorHAnsi" w:hAnsiTheme="majorHAnsi"/>
        </w:rPr>
        <w:t xml:space="preserve"> a greyhound with a GRV microchip, unless registered with local government – must be registered with the GRV.</w:t>
      </w:r>
      <w:r w:rsidR="007B521C">
        <w:rPr>
          <w:rFonts w:asciiTheme="majorHAnsi" w:hAnsiTheme="majorHAnsi"/>
        </w:rPr>
        <w:t xml:space="preserve"> </w:t>
      </w:r>
      <w:r w:rsidRPr="00F8792B">
        <w:rPr>
          <w:rFonts w:asciiTheme="majorHAnsi" w:hAnsiTheme="majorHAnsi"/>
        </w:rPr>
        <w:t>Participants will be able to notify GRV each time a dog is relocated to a new property as part of the ong</w:t>
      </w:r>
      <w:r w:rsidR="0033595E">
        <w:rPr>
          <w:rFonts w:asciiTheme="majorHAnsi" w:hAnsiTheme="majorHAnsi"/>
        </w:rPr>
        <w:t>oing management in the lifecycle.</w:t>
      </w:r>
    </w:p>
    <w:p w:rsidR="00C02451" w:rsidRDefault="00C02451">
      <w:pPr>
        <w:rPr>
          <w:rFonts w:asciiTheme="majorHAnsi" w:eastAsiaTheme="majorEastAsia" w:hAnsiTheme="majorHAnsi" w:cstheme="majorBidi"/>
          <w:color w:val="1F497D" w:themeColor="text2"/>
          <w:sz w:val="32"/>
          <w:szCs w:val="32"/>
        </w:rPr>
      </w:pPr>
      <w:bookmarkStart w:id="164" w:name="_Toc456126069"/>
      <w:bookmarkStart w:id="165" w:name="_Toc469529187"/>
      <w:r>
        <w:br w:type="page"/>
      </w:r>
    </w:p>
    <w:p w:rsidR="00EE3E62" w:rsidRPr="008D7690" w:rsidRDefault="00EE3E62" w:rsidP="005F3125">
      <w:pPr>
        <w:pStyle w:val="Heading1"/>
      </w:pPr>
      <w:bookmarkStart w:id="166" w:name="_Toc477190211"/>
      <w:r w:rsidRPr="00070EEF">
        <w:lastRenderedPageBreak/>
        <w:t xml:space="preserve">Section </w:t>
      </w:r>
      <w:r>
        <w:t>10 Evaluation strategy</w:t>
      </w:r>
      <w:bookmarkEnd w:id="164"/>
      <w:bookmarkEnd w:id="165"/>
      <w:bookmarkEnd w:id="166"/>
    </w:p>
    <w:p w:rsidR="0094302A" w:rsidRDefault="003701E2" w:rsidP="00EE3E62">
      <w:pPr>
        <w:jc w:val="both"/>
      </w:pPr>
      <w:r>
        <w:t xml:space="preserve">GRV are implementing a </w:t>
      </w:r>
      <w:r w:rsidR="00AE0BAF">
        <w:t>broad-based</w:t>
      </w:r>
      <w:r>
        <w:t xml:space="preserve"> animal welfare evaluation strategy between 2</w:t>
      </w:r>
      <w:r w:rsidR="00AE0BAF">
        <w:t>016 and 2019 which will address</w:t>
      </w:r>
      <w:r w:rsidR="0094302A">
        <w:t>:</w:t>
      </w:r>
    </w:p>
    <w:p w:rsidR="0094302A" w:rsidRDefault="0094302A" w:rsidP="00EE3E62">
      <w:pPr>
        <w:jc w:val="both"/>
      </w:pPr>
    </w:p>
    <w:p w:rsidR="00C37DAD" w:rsidRDefault="00C37DAD" w:rsidP="00BD28C4">
      <w:pPr>
        <w:pStyle w:val="ListParagraph"/>
        <w:numPr>
          <w:ilvl w:val="0"/>
          <w:numId w:val="8"/>
        </w:numPr>
        <w:ind w:left="426" w:hanging="426"/>
        <w:jc w:val="both"/>
      </w:pPr>
      <w:r>
        <w:t>Reducing the premature injury and death of racing greyhounds;</w:t>
      </w:r>
    </w:p>
    <w:p w:rsidR="00C37DAD" w:rsidRDefault="00C37DAD" w:rsidP="00BD28C4">
      <w:pPr>
        <w:pStyle w:val="ListParagraph"/>
        <w:numPr>
          <w:ilvl w:val="0"/>
          <w:numId w:val="8"/>
        </w:numPr>
        <w:ind w:left="426" w:hanging="426"/>
        <w:jc w:val="both"/>
      </w:pPr>
      <w:r>
        <w:t>Preventing excessive breeding (reducing litter numbers);</w:t>
      </w:r>
    </w:p>
    <w:p w:rsidR="00C37DAD" w:rsidRDefault="00C37DAD" w:rsidP="00BD28C4">
      <w:pPr>
        <w:pStyle w:val="ListParagraph"/>
        <w:numPr>
          <w:ilvl w:val="0"/>
          <w:numId w:val="8"/>
        </w:numPr>
        <w:ind w:left="426" w:hanging="426"/>
        <w:jc w:val="both"/>
      </w:pPr>
      <w:r>
        <w:t>Optimising the use of the racing greyhound population;</w:t>
      </w:r>
    </w:p>
    <w:p w:rsidR="00C37DAD" w:rsidRDefault="00C37DAD" w:rsidP="00BD28C4">
      <w:pPr>
        <w:pStyle w:val="ListParagraph"/>
        <w:numPr>
          <w:ilvl w:val="0"/>
          <w:numId w:val="8"/>
        </w:numPr>
        <w:ind w:left="426" w:hanging="426"/>
        <w:jc w:val="both"/>
      </w:pPr>
      <w:r>
        <w:t>Creating more rehoming opportunities for greyhounds;</w:t>
      </w:r>
    </w:p>
    <w:p w:rsidR="00C37DAD" w:rsidRDefault="00C37DAD" w:rsidP="00BD28C4">
      <w:pPr>
        <w:pStyle w:val="ListParagraph"/>
        <w:numPr>
          <w:ilvl w:val="0"/>
          <w:numId w:val="8"/>
        </w:numPr>
        <w:ind w:left="426" w:hanging="426"/>
        <w:jc w:val="both"/>
      </w:pPr>
      <w:r>
        <w:t>Operating an incentives framework that promotes animal welfare at all stages of the greyhound lifecycle;</w:t>
      </w:r>
    </w:p>
    <w:p w:rsidR="00C37DAD" w:rsidRDefault="00C37DAD" w:rsidP="00BD28C4">
      <w:pPr>
        <w:pStyle w:val="ListParagraph"/>
        <w:numPr>
          <w:ilvl w:val="0"/>
          <w:numId w:val="8"/>
        </w:numPr>
        <w:ind w:left="426" w:hanging="426"/>
        <w:jc w:val="both"/>
      </w:pPr>
      <w:r>
        <w:t>Making informed decisions about GRVs infrastructure investments to maximise animal welfare outcomes; and</w:t>
      </w:r>
    </w:p>
    <w:p w:rsidR="0094302A" w:rsidRDefault="00C37DAD" w:rsidP="00BD28C4">
      <w:pPr>
        <w:pStyle w:val="ListParagraph"/>
        <w:numPr>
          <w:ilvl w:val="0"/>
          <w:numId w:val="8"/>
        </w:numPr>
        <w:ind w:left="426" w:hanging="426"/>
        <w:jc w:val="both"/>
      </w:pPr>
      <w:r>
        <w:t>Providing training to industry participants to improve greyhound welfare at every stage of a greyhound’s lifecycle</w:t>
      </w:r>
      <w:r w:rsidR="0094302A">
        <w:t>.</w:t>
      </w:r>
      <w:r w:rsidR="0094302A">
        <w:rPr>
          <w:rStyle w:val="FootnoteReference"/>
        </w:rPr>
        <w:footnoteReference w:id="151"/>
      </w:r>
    </w:p>
    <w:p w:rsidR="00B82EE8" w:rsidRDefault="00B82EE8" w:rsidP="00B82EE8">
      <w:pPr>
        <w:jc w:val="both"/>
      </w:pPr>
    </w:p>
    <w:p w:rsidR="003701E2" w:rsidRDefault="003701E2" w:rsidP="00B82EE8">
      <w:pPr>
        <w:jc w:val="both"/>
      </w:pPr>
      <w:r>
        <w:t>The evaluation by GRV will commence in mid-2019 and the impact of the proposed Code will be part of this assessment.</w:t>
      </w:r>
    </w:p>
    <w:p w:rsidR="003701E2" w:rsidRDefault="003701E2" w:rsidP="00B82EE8">
      <w:pPr>
        <w:jc w:val="both"/>
      </w:pPr>
    </w:p>
    <w:p w:rsidR="00B82EE8" w:rsidRDefault="00B82EE8" w:rsidP="00B82EE8">
      <w:pPr>
        <w:jc w:val="both"/>
      </w:pPr>
      <w:r>
        <w:t>The expansion of GRV</w:t>
      </w:r>
      <w:r w:rsidR="00EA7B71">
        <w:t>’s</w:t>
      </w:r>
      <w:r>
        <w:t xml:space="preserve"> current data base system ‘Fast Track’ will facilitate data gathering around these issues as well as the collection of audit data for around 5,000 properties in the first 2 years of the Code’s operation.</w:t>
      </w:r>
      <w:r w:rsidR="007B521C">
        <w:t xml:space="preserve"> </w:t>
      </w:r>
      <w:r>
        <w:t>Audit data will include infrastructure, welfare issues, and rehoming patterns.</w:t>
      </w:r>
    </w:p>
    <w:p w:rsidR="00C02451" w:rsidRDefault="00C02451" w:rsidP="00BD28C4">
      <w:bookmarkStart w:id="167" w:name="_Toc456126070"/>
      <w:bookmarkStart w:id="168" w:name="_Toc469529188"/>
      <w:r>
        <w:br w:type="page"/>
      </w:r>
    </w:p>
    <w:p w:rsidR="00EE3E62" w:rsidRPr="008D7690" w:rsidRDefault="00EE3E62" w:rsidP="005F3125">
      <w:pPr>
        <w:pStyle w:val="Heading1"/>
      </w:pPr>
      <w:bookmarkStart w:id="169" w:name="_Toc477190212"/>
      <w:r w:rsidRPr="00070EEF">
        <w:lastRenderedPageBreak/>
        <w:t xml:space="preserve">Section </w:t>
      </w:r>
      <w:r>
        <w:t>11 Consultation undertaken</w:t>
      </w:r>
      <w:bookmarkEnd w:id="167"/>
      <w:bookmarkEnd w:id="168"/>
      <w:bookmarkEnd w:id="169"/>
    </w:p>
    <w:p w:rsidR="002876C0" w:rsidRPr="00BD28C4" w:rsidRDefault="002876C0" w:rsidP="002876C0">
      <w:pPr>
        <w:pStyle w:val="ListParagraph"/>
        <w:ind w:left="0"/>
        <w:jc w:val="both"/>
      </w:pPr>
      <w:r w:rsidRPr="00070EEF">
        <w:t xml:space="preserve">The Department of Economic Development, Jobs, Transport and Resources (DEDJTR) undertook a stakeholder industry </w:t>
      </w:r>
      <w:r>
        <w:t xml:space="preserve">preliminary consultation </w:t>
      </w:r>
      <w:r w:rsidRPr="00070EEF">
        <w:t>survey between December 20</w:t>
      </w:r>
      <w:r>
        <w:t>15 and January 2016, where</w:t>
      </w:r>
      <w:r w:rsidRPr="00070EEF">
        <w:t xml:space="preserve"> 724 identified stakeholders, operating </w:t>
      </w:r>
      <w:r>
        <w:t xml:space="preserve">across the greyhound lifecycle </w:t>
      </w:r>
      <w:r w:rsidRPr="00070EEF">
        <w:t>provided data to assist in identifying the effects of the proposed code.</w:t>
      </w:r>
      <w:r>
        <w:rPr>
          <w:color w:val="FF0000"/>
        </w:rPr>
        <w:t xml:space="preserve"> </w:t>
      </w:r>
      <w:r w:rsidRPr="00787502">
        <w:t>Greyhounds Australasia report Victoria has 14,199 licensed persons</w:t>
      </w:r>
      <w:r w:rsidRPr="004D060C">
        <w:rPr>
          <w:rStyle w:val="FootnoteReference"/>
          <w:color w:val="000000" w:themeColor="text1"/>
        </w:rPr>
        <w:footnoteReference w:id="152"/>
      </w:r>
      <w:r w:rsidRPr="004D060C">
        <w:rPr>
          <w:color w:val="000000" w:themeColor="text1"/>
        </w:rPr>
        <w:t xml:space="preserve"> </w:t>
      </w:r>
      <w:r w:rsidRPr="00787502">
        <w:t>so</w:t>
      </w:r>
      <w:r>
        <w:t xml:space="preserve"> the survey represents</w:t>
      </w:r>
      <w:r w:rsidRPr="00787502">
        <w:t xml:space="preserve"> </w:t>
      </w:r>
      <w:r w:rsidRPr="007046FB">
        <w:rPr>
          <w:i/>
        </w:rPr>
        <w:t>only</w:t>
      </w:r>
      <w:r>
        <w:t xml:space="preserve"> </w:t>
      </w:r>
      <w:r w:rsidRPr="00787502">
        <w:t>5%</w:t>
      </w:r>
      <w:r>
        <w:t xml:space="preserve"> of the industry. </w:t>
      </w:r>
    </w:p>
    <w:p w:rsidR="002876C0" w:rsidRPr="00070EEF" w:rsidRDefault="002876C0" w:rsidP="002876C0">
      <w:pPr>
        <w:pStyle w:val="ListParagraph"/>
        <w:ind w:left="0"/>
        <w:jc w:val="both"/>
      </w:pPr>
    </w:p>
    <w:p w:rsidR="00B408EA" w:rsidRPr="00176B70" w:rsidRDefault="002876C0" w:rsidP="00BD28C4">
      <w:pPr>
        <w:jc w:val="both"/>
      </w:pPr>
      <w:r w:rsidRPr="00070EEF">
        <w:t>The survey identified that 80.11% of respondents indicate</w:t>
      </w:r>
      <w:r>
        <w:t>d</w:t>
      </w:r>
      <w:r w:rsidRPr="00070EEF">
        <w:t xml:space="preserve"> their primary activity </w:t>
      </w:r>
      <w:r w:rsidR="00BD28C4">
        <w:br/>
      </w:r>
      <w:r>
        <w:t>i</w:t>
      </w:r>
      <w:r w:rsidRPr="00070EEF">
        <w:t>s racing/training, whist</w:t>
      </w:r>
      <w:r>
        <w:t xml:space="preserve"> only</w:t>
      </w:r>
      <w:r w:rsidRPr="00070EEF">
        <w:t xml:space="preserve"> 8.84% list</w:t>
      </w:r>
      <w:r>
        <w:t>ed</w:t>
      </w:r>
      <w:r w:rsidRPr="00070EEF">
        <w:t xml:space="preserve"> their primary activity as breeding, 6.22% as rearing, 3.87% a spelling or boarding</w:t>
      </w:r>
      <w:r>
        <w:t>,</w:t>
      </w:r>
      <w:r w:rsidRPr="00070EEF">
        <w:t xml:space="preserve"> with the re</w:t>
      </w:r>
      <w:r>
        <w:t>mainder</w:t>
      </w:r>
      <w:r w:rsidRPr="00070EEF">
        <w:t xml:space="preserve"> having breaking in or </w:t>
      </w:r>
      <w:r>
        <w:t>‘</w:t>
      </w:r>
      <w:r w:rsidRPr="00070EEF">
        <w:t>other</w:t>
      </w:r>
      <w:r>
        <w:t>’</w:t>
      </w:r>
      <w:r w:rsidRPr="00070EEF">
        <w:t xml:space="preserve"> </w:t>
      </w:r>
      <w:r w:rsidR="00BD28C4">
        <w:br/>
      </w:r>
      <w:r w:rsidRPr="00070EEF">
        <w:t>as their primary activity.</w:t>
      </w:r>
      <w:r w:rsidR="007B521C">
        <w:rPr>
          <w:color w:val="FF0000"/>
        </w:rPr>
        <w:t xml:space="preserve"> </w:t>
      </w:r>
      <w:r w:rsidRPr="00070EEF">
        <w:t xml:space="preserve">The survey </w:t>
      </w:r>
      <w:r>
        <w:t xml:space="preserve">showed </w:t>
      </w:r>
      <w:r w:rsidRPr="00070EEF">
        <w:t>that stakeholders ‘</w:t>
      </w:r>
      <w:r w:rsidRPr="00070EEF">
        <w:rPr>
          <w:i/>
        </w:rPr>
        <w:t>are seeking a code that takes into account the different requirements of larger versus small/hobby operators with concern that if there are significant changes, this may put people out of operation’</w:t>
      </w:r>
      <w:r>
        <w:rPr>
          <w:rStyle w:val="FootnoteReference"/>
          <w:i/>
        </w:rPr>
        <w:footnoteReference w:id="153"/>
      </w:r>
      <w:r>
        <w:rPr>
          <w:color w:val="000000" w:themeColor="text1"/>
        </w:rPr>
        <w:t>.</w:t>
      </w:r>
      <w:r w:rsidR="00B408EA">
        <w:rPr>
          <w:color w:val="000000" w:themeColor="text1"/>
        </w:rPr>
        <w:t xml:space="preserve"> Under the proposed Code hobby breeders do not have to comply with housing pen/yard requirements.</w:t>
      </w:r>
      <w:r w:rsidR="007B521C">
        <w:rPr>
          <w:color w:val="000000" w:themeColor="text1"/>
        </w:rPr>
        <w:t xml:space="preserve"> </w:t>
      </w:r>
      <w:r w:rsidR="00B408EA" w:rsidRPr="00C357B6">
        <w:rPr>
          <w:color w:val="auto"/>
        </w:rPr>
        <w:t xml:space="preserve">Small operators (hobbyists) under the proposed Code will be able to </w:t>
      </w:r>
      <w:r w:rsidR="00BD28C4">
        <w:rPr>
          <w:color w:val="auto"/>
        </w:rPr>
        <w:br/>
      </w:r>
      <w:r w:rsidR="00B408EA" w:rsidRPr="00C357B6">
        <w:rPr>
          <w:color w:val="auto"/>
        </w:rPr>
        <w:t xml:space="preserve">keep their dogs (2 adult greyhounds and 1 litter) in their own homes and will not have </w:t>
      </w:r>
      <w:r w:rsidR="00BD28C4">
        <w:rPr>
          <w:color w:val="auto"/>
        </w:rPr>
        <w:br/>
      </w:r>
      <w:r w:rsidR="00B408EA" w:rsidRPr="00C357B6">
        <w:rPr>
          <w:color w:val="auto"/>
        </w:rPr>
        <w:t>to build housing pens or yards</w:t>
      </w:r>
      <w:r w:rsidR="00176B70" w:rsidRPr="00C357B6">
        <w:rPr>
          <w:color w:val="auto"/>
        </w:rPr>
        <w:t xml:space="preserve"> – which is not available to hobbyists in the current code</w:t>
      </w:r>
      <w:r w:rsidR="00B408EA" w:rsidRPr="00C357B6">
        <w:rPr>
          <w:color w:val="auto"/>
        </w:rPr>
        <w:t xml:space="preserve">. </w:t>
      </w:r>
      <w:r w:rsidR="00BD28C4">
        <w:rPr>
          <w:color w:val="auto"/>
        </w:rPr>
        <w:br/>
      </w:r>
      <w:r w:rsidR="00B408EA" w:rsidRPr="00C357B6">
        <w:rPr>
          <w:color w:val="auto"/>
        </w:rPr>
        <w:t xml:space="preserve">A large proportion of participants fall within the hobbyist category. All record keeping requirements, vet agreements, health plans etc. </w:t>
      </w:r>
      <w:r w:rsidR="00176B70" w:rsidRPr="00C357B6">
        <w:rPr>
          <w:color w:val="auto"/>
        </w:rPr>
        <w:t xml:space="preserve">however, </w:t>
      </w:r>
      <w:r w:rsidR="00B408EA" w:rsidRPr="00C357B6">
        <w:rPr>
          <w:color w:val="auto"/>
        </w:rPr>
        <w:t xml:space="preserve">would still need to </w:t>
      </w:r>
      <w:r w:rsidR="00BD28C4">
        <w:rPr>
          <w:color w:val="auto"/>
        </w:rPr>
        <w:br/>
      </w:r>
      <w:r w:rsidR="00B408EA" w:rsidRPr="00C357B6">
        <w:rPr>
          <w:color w:val="auto"/>
        </w:rPr>
        <w:t>be undertaken.</w:t>
      </w:r>
    </w:p>
    <w:p w:rsidR="002876C0" w:rsidRDefault="002876C0" w:rsidP="00BD28C4">
      <w:pPr>
        <w:jc w:val="both"/>
        <w:rPr>
          <w:color w:val="00B050"/>
        </w:rPr>
      </w:pPr>
    </w:p>
    <w:p w:rsidR="002876C0" w:rsidRDefault="002876C0" w:rsidP="002876C0">
      <w:pPr>
        <w:pStyle w:val="ListParagraph"/>
        <w:ind w:left="0"/>
        <w:jc w:val="both"/>
      </w:pPr>
      <w:r>
        <w:t xml:space="preserve">Preliminary consultation has also been undertaken prior to and during the drafting of </w:t>
      </w:r>
      <w:r w:rsidR="00BD28C4">
        <w:br/>
      </w:r>
      <w:r>
        <w:t>the proposed code. Three reference groups broadly representing animal welfare promoters, enforcement agencies and greyhound industry participants have consulted on the existing code and the direction of the proposed code. In addition, GRV have been heavily involved in the development of the proposed code is the industry’s promotional and regulatory body.</w:t>
      </w:r>
    </w:p>
    <w:p w:rsidR="002876C0" w:rsidRDefault="002876C0" w:rsidP="002876C0">
      <w:pPr>
        <w:pStyle w:val="ListParagraph"/>
        <w:ind w:left="0"/>
        <w:jc w:val="both"/>
      </w:pPr>
    </w:p>
    <w:p w:rsidR="00D33885" w:rsidRDefault="002876C0" w:rsidP="002876C0">
      <w:pPr>
        <w:pStyle w:val="ListParagraph"/>
        <w:ind w:left="0"/>
        <w:jc w:val="both"/>
        <w:rPr>
          <w:color w:val="000000" w:themeColor="text1"/>
        </w:rPr>
      </w:pPr>
      <w:r w:rsidRPr="002B6A3D">
        <w:t>The</w:t>
      </w:r>
      <w:r>
        <w:t xml:space="preserve"> primary process of consu</w:t>
      </w:r>
      <w:r w:rsidR="00D33885">
        <w:t>ltation regarding the proposed C</w:t>
      </w:r>
      <w:r>
        <w:t xml:space="preserve">ode is the publication of a RIS for public comment during a statutory minimum consultation period of 45-60 days. </w:t>
      </w:r>
      <w:r w:rsidRPr="00D6595B">
        <w:t xml:space="preserve">It is </w:t>
      </w:r>
      <w:r>
        <w:t>intended that a copy of this RIS and the proposed code will be provided to affected stakeholders, industry groups and the public over this period and provide the ability for individuals to lodge formal responses</w:t>
      </w:r>
      <w:r w:rsidRPr="00596689">
        <w:rPr>
          <w:color w:val="000000" w:themeColor="text1"/>
        </w:rPr>
        <w:t>.</w:t>
      </w:r>
      <w:r w:rsidR="00D33885">
        <w:rPr>
          <w:color w:val="000000" w:themeColor="text1"/>
        </w:rPr>
        <w:t xml:space="preserve"> As part of the consultation process DEDJTR invites feedback on the following consultation question:</w:t>
      </w:r>
    </w:p>
    <w:p w:rsidR="00D33885" w:rsidRDefault="00D33885" w:rsidP="002876C0">
      <w:pPr>
        <w:pStyle w:val="ListParagraph"/>
        <w:ind w:left="0"/>
        <w:jc w:val="both"/>
        <w:rPr>
          <w:color w:val="000000" w:themeColor="text1"/>
        </w:rPr>
      </w:pPr>
    </w:p>
    <w:p w:rsidR="00D33885" w:rsidRPr="00D33885" w:rsidRDefault="00D33885" w:rsidP="00D33885">
      <w:pPr>
        <w:pStyle w:val="ListParagraph"/>
        <w:pBdr>
          <w:top w:val="single" w:sz="4" w:space="1" w:color="244061" w:themeColor="accent1" w:themeShade="80"/>
          <w:left w:val="single" w:sz="4" w:space="4" w:color="244061" w:themeColor="accent1" w:themeShade="80"/>
          <w:bottom w:val="single" w:sz="4" w:space="1" w:color="244061" w:themeColor="accent1" w:themeShade="80"/>
          <w:right w:val="single" w:sz="4" w:space="4" w:color="244061" w:themeColor="accent1" w:themeShade="80"/>
        </w:pBdr>
        <w:shd w:val="clear" w:color="auto" w:fill="D9D9D9" w:themeFill="background1" w:themeFillShade="D9"/>
        <w:ind w:left="0"/>
        <w:jc w:val="both"/>
        <w:rPr>
          <w:i/>
          <w:color w:val="000000" w:themeColor="text1"/>
        </w:rPr>
      </w:pPr>
      <w:r w:rsidRPr="00D33885">
        <w:rPr>
          <w:i/>
          <w:color w:val="000000" w:themeColor="text1"/>
        </w:rPr>
        <w:t xml:space="preserve">Can you identify other credible </w:t>
      </w:r>
      <w:r>
        <w:rPr>
          <w:i/>
          <w:color w:val="000000" w:themeColor="text1"/>
        </w:rPr>
        <w:t xml:space="preserve">more flexible and less prescriptive </w:t>
      </w:r>
      <w:r w:rsidRPr="00D33885">
        <w:rPr>
          <w:i/>
          <w:color w:val="000000" w:themeColor="text1"/>
        </w:rPr>
        <w:t xml:space="preserve">methods to provide socialisation </w:t>
      </w:r>
      <w:r>
        <w:rPr>
          <w:i/>
          <w:color w:val="000000" w:themeColor="text1"/>
        </w:rPr>
        <w:t xml:space="preserve">for greyhounds 16 weeks to 18 months </w:t>
      </w:r>
      <w:r w:rsidRPr="00D33885">
        <w:rPr>
          <w:i/>
          <w:color w:val="000000" w:themeColor="text1"/>
        </w:rPr>
        <w:t xml:space="preserve">which will allow </w:t>
      </w:r>
      <w:r>
        <w:rPr>
          <w:i/>
          <w:color w:val="000000" w:themeColor="text1"/>
        </w:rPr>
        <w:t>for enforcement by GRV?</w:t>
      </w:r>
    </w:p>
    <w:p w:rsidR="00AE0BAF" w:rsidRDefault="00AE0BAF">
      <w:pPr>
        <w:rPr>
          <w:rFonts w:asciiTheme="majorHAnsi" w:eastAsiaTheme="majorEastAsia" w:hAnsiTheme="majorHAnsi" w:cstheme="majorBidi"/>
          <w:color w:val="1F497D" w:themeColor="text2"/>
          <w:sz w:val="32"/>
          <w:szCs w:val="32"/>
        </w:rPr>
      </w:pPr>
      <w:bookmarkStart w:id="170" w:name="_Toc456126071"/>
      <w:r>
        <w:br w:type="page"/>
      </w:r>
    </w:p>
    <w:p w:rsidR="00A325A7" w:rsidRDefault="00A325A7" w:rsidP="005F3125">
      <w:pPr>
        <w:pStyle w:val="Heading1"/>
      </w:pPr>
      <w:bookmarkStart w:id="171" w:name="_Toc469529189"/>
      <w:bookmarkStart w:id="172" w:name="_Toc477190213"/>
      <w:r>
        <w:lastRenderedPageBreak/>
        <w:t>Glossary of Terms</w:t>
      </w:r>
      <w:bookmarkEnd w:id="170"/>
      <w:bookmarkEnd w:id="171"/>
      <w:bookmarkEnd w:id="172"/>
    </w:p>
    <w:tbl>
      <w:tblPr>
        <w:tblW w:w="8330" w:type="dxa"/>
        <w:tblInd w:w="108" w:type="dxa"/>
        <w:tblLook w:val="04A0" w:firstRow="1" w:lastRow="0" w:firstColumn="1" w:lastColumn="0" w:noHBand="0" w:noVBand="1"/>
      </w:tblPr>
      <w:tblGrid>
        <w:gridCol w:w="1575"/>
        <w:gridCol w:w="6755"/>
      </w:tblGrid>
      <w:tr w:rsidR="00EE7331" w:rsidRPr="00BD28C4" w:rsidTr="004D060C">
        <w:tc>
          <w:tcPr>
            <w:tcW w:w="1575" w:type="dxa"/>
            <w:tcBorders>
              <w:top w:val="single" w:sz="4" w:space="0" w:color="1F497D" w:themeColor="text2"/>
              <w:bottom w:val="double" w:sz="4" w:space="0" w:color="4F81BD" w:themeColor="accent1"/>
            </w:tcBorders>
          </w:tcPr>
          <w:p w:rsidR="00A325A7" w:rsidRPr="00BD28C4" w:rsidRDefault="00A325A7" w:rsidP="008D7690">
            <w:pPr>
              <w:rPr>
                <w:b/>
                <w:color w:val="53565A"/>
              </w:rPr>
            </w:pPr>
            <w:r w:rsidRPr="00BD28C4">
              <w:rPr>
                <w:b/>
                <w:color w:val="53565A"/>
              </w:rPr>
              <w:t>Term</w:t>
            </w:r>
          </w:p>
        </w:tc>
        <w:tc>
          <w:tcPr>
            <w:tcW w:w="6755" w:type="dxa"/>
            <w:tcBorders>
              <w:top w:val="single" w:sz="4" w:space="0" w:color="1F497D" w:themeColor="text2"/>
              <w:bottom w:val="double" w:sz="4" w:space="0" w:color="4F81BD" w:themeColor="accent1"/>
            </w:tcBorders>
          </w:tcPr>
          <w:p w:rsidR="00A325A7" w:rsidRPr="00BD28C4" w:rsidRDefault="00A325A7" w:rsidP="00A325A7">
            <w:pPr>
              <w:rPr>
                <w:b/>
                <w:color w:val="53565A"/>
              </w:rPr>
            </w:pPr>
            <w:r w:rsidRPr="00BD28C4">
              <w:rPr>
                <w:b/>
                <w:color w:val="53565A"/>
              </w:rPr>
              <w:t>Definition</w:t>
            </w:r>
          </w:p>
        </w:tc>
      </w:tr>
      <w:tr w:rsidR="002044B3" w:rsidTr="00F86DB1">
        <w:trPr>
          <w:trHeight w:val="281"/>
        </w:trPr>
        <w:tc>
          <w:tcPr>
            <w:tcW w:w="1575" w:type="dxa"/>
            <w:tcBorders>
              <w:top w:val="double" w:sz="4" w:space="0" w:color="4F81BD" w:themeColor="accent1"/>
            </w:tcBorders>
          </w:tcPr>
          <w:p w:rsidR="002044B3" w:rsidRPr="007046FB" w:rsidRDefault="002044B3" w:rsidP="00A325A7">
            <w:pPr>
              <w:rPr>
                <w:sz w:val="20"/>
              </w:rPr>
            </w:pPr>
            <w:r w:rsidRPr="007046FB">
              <w:rPr>
                <w:sz w:val="20"/>
              </w:rPr>
              <w:t>AAWS</w:t>
            </w:r>
          </w:p>
        </w:tc>
        <w:tc>
          <w:tcPr>
            <w:tcW w:w="6755" w:type="dxa"/>
            <w:tcBorders>
              <w:top w:val="double" w:sz="4" w:space="0" w:color="4F81BD" w:themeColor="accent1"/>
            </w:tcBorders>
          </w:tcPr>
          <w:p w:rsidR="002044B3" w:rsidRPr="007046FB" w:rsidRDefault="002044B3" w:rsidP="00A325A7">
            <w:pPr>
              <w:rPr>
                <w:sz w:val="20"/>
              </w:rPr>
            </w:pPr>
            <w:r w:rsidRPr="007046FB">
              <w:rPr>
                <w:sz w:val="20"/>
              </w:rPr>
              <w:t>Australian Animal Welfare Strategy</w:t>
            </w:r>
          </w:p>
        </w:tc>
      </w:tr>
      <w:tr w:rsidR="00EE7331" w:rsidTr="004D060C">
        <w:trPr>
          <w:trHeight w:val="281"/>
        </w:trPr>
        <w:tc>
          <w:tcPr>
            <w:tcW w:w="1575" w:type="dxa"/>
          </w:tcPr>
          <w:p w:rsidR="00A325A7" w:rsidRPr="007046FB" w:rsidRDefault="00A325A7" w:rsidP="00A325A7">
            <w:pPr>
              <w:rPr>
                <w:sz w:val="20"/>
              </w:rPr>
            </w:pPr>
            <w:r w:rsidRPr="007046FB">
              <w:rPr>
                <w:sz w:val="20"/>
              </w:rPr>
              <w:t>COPG</w:t>
            </w:r>
          </w:p>
        </w:tc>
        <w:tc>
          <w:tcPr>
            <w:tcW w:w="6755" w:type="dxa"/>
          </w:tcPr>
          <w:p w:rsidR="00A325A7" w:rsidRPr="007046FB" w:rsidRDefault="00A325A7" w:rsidP="00A325A7">
            <w:pPr>
              <w:rPr>
                <w:sz w:val="20"/>
              </w:rPr>
            </w:pPr>
            <w:r w:rsidRPr="007046FB">
              <w:rPr>
                <w:sz w:val="20"/>
              </w:rPr>
              <w:t>Mandatory DAA Code of Practice for the</w:t>
            </w:r>
          </w:p>
          <w:p w:rsidR="00A325A7" w:rsidRPr="007046FB" w:rsidRDefault="00A325A7" w:rsidP="00A325A7">
            <w:pPr>
              <w:rPr>
                <w:sz w:val="20"/>
              </w:rPr>
            </w:pPr>
            <w:r w:rsidRPr="007046FB">
              <w:rPr>
                <w:sz w:val="20"/>
              </w:rPr>
              <w:t>Operation of Greyhound Establishments</w:t>
            </w:r>
          </w:p>
        </w:tc>
      </w:tr>
      <w:tr w:rsidR="00EE7331" w:rsidTr="00EE7331">
        <w:trPr>
          <w:trHeight w:val="281"/>
        </w:trPr>
        <w:tc>
          <w:tcPr>
            <w:tcW w:w="1575" w:type="dxa"/>
          </w:tcPr>
          <w:p w:rsidR="00A325A7" w:rsidRPr="007046FB" w:rsidRDefault="00A325A7" w:rsidP="00A325A7">
            <w:pPr>
              <w:rPr>
                <w:sz w:val="20"/>
              </w:rPr>
            </w:pPr>
            <w:r w:rsidRPr="007046FB">
              <w:rPr>
                <w:sz w:val="20"/>
              </w:rPr>
              <w:t>DAA</w:t>
            </w:r>
          </w:p>
        </w:tc>
        <w:tc>
          <w:tcPr>
            <w:tcW w:w="6755" w:type="dxa"/>
          </w:tcPr>
          <w:p w:rsidR="00A325A7" w:rsidRPr="007046FB" w:rsidRDefault="00A325A7" w:rsidP="00A325A7">
            <w:pPr>
              <w:rPr>
                <w:sz w:val="20"/>
              </w:rPr>
            </w:pPr>
            <w:r w:rsidRPr="007046FB">
              <w:rPr>
                <w:sz w:val="20"/>
              </w:rPr>
              <w:t>Domestic Animals Act 1994</w:t>
            </w:r>
          </w:p>
        </w:tc>
      </w:tr>
      <w:tr w:rsidR="00EE7331" w:rsidTr="00EE7331">
        <w:trPr>
          <w:trHeight w:val="281"/>
        </w:trPr>
        <w:tc>
          <w:tcPr>
            <w:tcW w:w="1575" w:type="dxa"/>
          </w:tcPr>
          <w:p w:rsidR="00A325A7" w:rsidRPr="007046FB" w:rsidRDefault="00A325A7" w:rsidP="00A325A7">
            <w:pPr>
              <w:rPr>
                <w:sz w:val="20"/>
              </w:rPr>
            </w:pPr>
            <w:r w:rsidRPr="007046FB">
              <w:rPr>
                <w:sz w:val="20"/>
              </w:rPr>
              <w:t>DAB</w:t>
            </w:r>
          </w:p>
        </w:tc>
        <w:tc>
          <w:tcPr>
            <w:tcW w:w="6755" w:type="dxa"/>
          </w:tcPr>
          <w:p w:rsidR="00A325A7" w:rsidRPr="007046FB" w:rsidRDefault="00A325A7" w:rsidP="00A325A7">
            <w:pPr>
              <w:rPr>
                <w:sz w:val="20"/>
              </w:rPr>
            </w:pPr>
            <w:r w:rsidRPr="007046FB">
              <w:rPr>
                <w:sz w:val="20"/>
              </w:rPr>
              <w:t>Domestic Animal Business</w:t>
            </w:r>
          </w:p>
        </w:tc>
      </w:tr>
      <w:tr w:rsidR="00EE7331" w:rsidTr="007046FB">
        <w:trPr>
          <w:trHeight w:val="570"/>
        </w:trPr>
        <w:tc>
          <w:tcPr>
            <w:tcW w:w="1575" w:type="dxa"/>
          </w:tcPr>
          <w:p w:rsidR="00A325A7" w:rsidRPr="007046FB" w:rsidRDefault="00A325A7" w:rsidP="00A325A7">
            <w:pPr>
              <w:rPr>
                <w:sz w:val="20"/>
              </w:rPr>
            </w:pPr>
            <w:r w:rsidRPr="007046FB">
              <w:rPr>
                <w:sz w:val="20"/>
              </w:rPr>
              <w:t>DEDJTR</w:t>
            </w:r>
          </w:p>
        </w:tc>
        <w:tc>
          <w:tcPr>
            <w:tcW w:w="6755" w:type="dxa"/>
          </w:tcPr>
          <w:p w:rsidR="00EE7331" w:rsidRPr="007046FB" w:rsidRDefault="00EE7331" w:rsidP="00EE7331">
            <w:pPr>
              <w:rPr>
                <w:sz w:val="20"/>
              </w:rPr>
            </w:pPr>
            <w:r w:rsidRPr="007046FB">
              <w:rPr>
                <w:sz w:val="20"/>
              </w:rPr>
              <w:t>Department of Economic Development,</w:t>
            </w:r>
          </w:p>
          <w:p w:rsidR="00A325A7" w:rsidRPr="007046FB" w:rsidRDefault="00EE7331" w:rsidP="00A325A7">
            <w:pPr>
              <w:rPr>
                <w:sz w:val="20"/>
              </w:rPr>
            </w:pPr>
            <w:r w:rsidRPr="007046FB">
              <w:rPr>
                <w:sz w:val="20"/>
              </w:rPr>
              <w:t>Jobs, Transport and Resources</w:t>
            </w:r>
          </w:p>
        </w:tc>
      </w:tr>
      <w:tr w:rsidR="00752A2D" w:rsidTr="004D060C">
        <w:trPr>
          <w:trHeight w:val="291"/>
        </w:trPr>
        <w:tc>
          <w:tcPr>
            <w:tcW w:w="1575" w:type="dxa"/>
          </w:tcPr>
          <w:p w:rsidR="00752A2D" w:rsidRDefault="00752A2D" w:rsidP="00A325A7">
            <w:pPr>
              <w:rPr>
                <w:sz w:val="20"/>
              </w:rPr>
            </w:pPr>
            <w:r>
              <w:rPr>
                <w:sz w:val="20"/>
              </w:rPr>
              <w:t>Educator</w:t>
            </w:r>
          </w:p>
        </w:tc>
        <w:tc>
          <w:tcPr>
            <w:tcW w:w="6755" w:type="dxa"/>
          </w:tcPr>
          <w:p w:rsidR="00752A2D" w:rsidRDefault="00752A2D" w:rsidP="00A325A7">
            <w:pPr>
              <w:rPr>
                <w:sz w:val="20"/>
              </w:rPr>
            </w:pPr>
            <w:r>
              <w:rPr>
                <w:sz w:val="20"/>
              </w:rPr>
              <w:t>A person who educate or re-educates a greyhound to chase a lure or compete in a race and familiarises it with the race track environment before it progresses to racing with a trainer</w:t>
            </w:r>
          </w:p>
        </w:tc>
      </w:tr>
      <w:tr w:rsidR="00A37021" w:rsidTr="004D060C">
        <w:trPr>
          <w:trHeight w:val="291"/>
        </w:trPr>
        <w:tc>
          <w:tcPr>
            <w:tcW w:w="1575" w:type="dxa"/>
          </w:tcPr>
          <w:p w:rsidR="00A37021" w:rsidRPr="007046FB" w:rsidRDefault="00A37021" w:rsidP="00A325A7">
            <w:pPr>
              <w:rPr>
                <w:sz w:val="20"/>
              </w:rPr>
            </w:pPr>
            <w:r>
              <w:rPr>
                <w:sz w:val="20"/>
              </w:rPr>
              <w:t>Enrichment</w:t>
            </w:r>
          </w:p>
        </w:tc>
        <w:tc>
          <w:tcPr>
            <w:tcW w:w="6755" w:type="dxa"/>
          </w:tcPr>
          <w:p w:rsidR="00A37021" w:rsidRPr="007046FB" w:rsidRDefault="00A37021" w:rsidP="00A325A7">
            <w:pPr>
              <w:rPr>
                <w:sz w:val="20"/>
              </w:rPr>
            </w:pPr>
            <w:r>
              <w:rPr>
                <w:sz w:val="20"/>
              </w:rPr>
              <w:t>Includes practices that provide situations or activities for greyhounds that are appropriate to meet their physical and psychological needs including any requirements outlined under the proposed Code.</w:t>
            </w:r>
          </w:p>
        </w:tc>
      </w:tr>
      <w:tr w:rsidR="00EE7331" w:rsidTr="004D060C">
        <w:trPr>
          <w:trHeight w:val="291"/>
        </w:trPr>
        <w:tc>
          <w:tcPr>
            <w:tcW w:w="1575" w:type="dxa"/>
          </w:tcPr>
          <w:p w:rsidR="00A325A7" w:rsidRPr="007046FB" w:rsidRDefault="00EE7331" w:rsidP="00A325A7">
            <w:pPr>
              <w:rPr>
                <w:sz w:val="20"/>
              </w:rPr>
            </w:pPr>
            <w:r w:rsidRPr="007046FB">
              <w:rPr>
                <w:sz w:val="20"/>
              </w:rPr>
              <w:t>GA</w:t>
            </w:r>
          </w:p>
        </w:tc>
        <w:tc>
          <w:tcPr>
            <w:tcW w:w="6755" w:type="dxa"/>
          </w:tcPr>
          <w:p w:rsidR="00A325A7" w:rsidRPr="007046FB" w:rsidRDefault="00EE7331" w:rsidP="00A325A7">
            <w:pPr>
              <w:rPr>
                <w:sz w:val="20"/>
              </w:rPr>
            </w:pPr>
            <w:r w:rsidRPr="007046FB">
              <w:rPr>
                <w:sz w:val="20"/>
              </w:rPr>
              <w:t>Greyhounds Australasia</w:t>
            </w:r>
          </w:p>
        </w:tc>
      </w:tr>
      <w:tr w:rsidR="00EE7331" w:rsidTr="00EE7331">
        <w:trPr>
          <w:trHeight w:val="281"/>
        </w:trPr>
        <w:tc>
          <w:tcPr>
            <w:tcW w:w="1575" w:type="dxa"/>
          </w:tcPr>
          <w:p w:rsidR="00A325A7" w:rsidRPr="007046FB" w:rsidRDefault="00EE7331" w:rsidP="00A325A7">
            <w:pPr>
              <w:rPr>
                <w:sz w:val="20"/>
              </w:rPr>
            </w:pPr>
            <w:r w:rsidRPr="007046FB">
              <w:rPr>
                <w:sz w:val="20"/>
              </w:rPr>
              <w:t>GAP</w:t>
            </w:r>
          </w:p>
        </w:tc>
        <w:tc>
          <w:tcPr>
            <w:tcW w:w="6755" w:type="dxa"/>
          </w:tcPr>
          <w:p w:rsidR="00A325A7" w:rsidRPr="007046FB" w:rsidRDefault="00EE7331" w:rsidP="00A325A7">
            <w:pPr>
              <w:rPr>
                <w:sz w:val="20"/>
              </w:rPr>
            </w:pPr>
            <w:r w:rsidRPr="007046FB">
              <w:rPr>
                <w:sz w:val="20"/>
              </w:rPr>
              <w:t>Greyhound Adoption Program</w:t>
            </w:r>
          </w:p>
        </w:tc>
      </w:tr>
      <w:tr w:rsidR="00EE7331" w:rsidTr="00EE7331">
        <w:trPr>
          <w:trHeight w:val="281"/>
        </w:trPr>
        <w:tc>
          <w:tcPr>
            <w:tcW w:w="1575" w:type="dxa"/>
          </w:tcPr>
          <w:p w:rsidR="00A325A7" w:rsidRPr="007046FB" w:rsidRDefault="00EE7331" w:rsidP="00A325A7">
            <w:pPr>
              <w:rPr>
                <w:sz w:val="20"/>
              </w:rPr>
            </w:pPr>
            <w:r w:rsidRPr="007046FB">
              <w:rPr>
                <w:sz w:val="20"/>
              </w:rPr>
              <w:t>Greyhound</w:t>
            </w:r>
          </w:p>
        </w:tc>
        <w:tc>
          <w:tcPr>
            <w:tcW w:w="6755" w:type="dxa"/>
          </w:tcPr>
          <w:p w:rsidR="00A325A7" w:rsidRPr="007046FB" w:rsidRDefault="00EE7331" w:rsidP="00A325A7">
            <w:pPr>
              <w:rPr>
                <w:sz w:val="20"/>
              </w:rPr>
            </w:pPr>
            <w:r w:rsidRPr="007046FB">
              <w:rPr>
                <w:sz w:val="20"/>
              </w:rPr>
              <w:t>Any greyhound registered or intending to be registered with Greyhound Racing Victoria (GRV) and not registered with its local council. This includes greyhounds involved in all life stages including breeding, rearing, breaking in, training, spelling, racing, and preparing for, or in, retirement.</w:t>
            </w:r>
          </w:p>
        </w:tc>
      </w:tr>
      <w:tr w:rsidR="00EE7331" w:rsidTr="00EE7331">
        <w:trPr>
          <w:trHeight w:val="281"/>
        </w:trPr>
        <w:tc>
          <w:tcPr>
            <w:tcW w:w="1575" w:type="dxa"/>
          </w:tcPr>
          <w:p w:rsidR="00A325A7" w:rsidRPr="007046FB" w:rsidRDefault="00EE7331" w:rsidP="00A325A7">
            <w:pPr>
              <w:rPr>
                <w:sz w:val="20"/>
              </w:rPr>
            </w:pPr>
            <w:r w:rsidRPr="007046FB">
              <w:rPr>
                <w:sz w:val="20"/>
              </w:rPr>
              <w:t>GRV</w:t>
            </w:r>
          </w:p>
        </w:tc>
        <w:tc>
          <w:tcPr>
            <w:tcW w:w="6755" w:type="dxa"/>
          </w:tcPr>
          <w:p w:rsidR="00A325A7" w:rsidRPr="007046FB" w:rsidRDefault="00EE7331" w:rsidP="00A325A7">
            <w:pPr>
              <w:rPr>
                <w:sz w:val="20"/>
              </w:rPr>
            </w:pPr>
            <w:r w:rsidRPr="007046FB">
              <w:rPr>
                <w:sz w:val="20"/>
              </w:rPr>
              <w:t>Greyhound Racing Victoria</w:t>
            </w:r>
          </w:p>
        </w:tc>
      </w:tr>
      <w:tr w:rsidR="00A37021" w:rsidTr="00EE7331">
        <w:trPr>
          <w:trHeight w:val="281"/>
        </w:trPr>
        <w:tc>
          <w:tcPr>
            <w:tcW w:w="1575" w:type="dxa"/>
          </w:tcPr>
          <w:p w:rsidR="00A37021" w:rsidRPr="007046FB" w:rsidRDefault="00A37021" w:rsidP="00A325A7">
            <w:pPr>
              <w:rPr>
                <w:sz w:val="20"/>
              </w:rPr>
            </w:pPr>
            <w:r>
              <w:rPr>
                <w:sz w:val="20"/>
              </w:rPr>
              <w:t>Humane euthanasia</w:t>
            </w:r>
          </w:p>
        </w:tc>
        <w:tc>
          <w:tcPr>
            <w:tcW w:w="6755" w:type="dxa"/>
          </w:tcPr>
          <w:p w:rsidR="00A37021" w:rsidRPr="007046FB" w:rsidRDefault="00A37021" w:rsidP="00A325A7">
            <w:pPr>
              <w:rPr>
                <w:sz w:val="20"/>
              </w:rPr>
            </w:pPr>
            <w:r>
              <w:rPr>
                <w:sz w:val="20"/>
              </w:rPr>
              <w:t>Means the greyhound is rendered immediately unconscious and does not regain consciousness prior to death</w:t>
            </w:r>
          </w:p>
        </w:tc>
      </w:tr>
      <w:tr w:rsidR="00EE7331" w:rsidTr="00EE7331">
        <w:trPr>
          <w:trHeight w:val="281"/>
        </w:trPr>
        <w:tc>
          <w:tcPr>
            <w:tcW w:w="1575" w:type="dxa"/>
          </w:tcPr>
          <w:p w:rsidR="00A325A7" w:rsidRPr="007046FB" w:rsidRDefault="00EE7331" w:rsidP="00A325A7">
            <w:pPr>
              <w:rPr>
                <w:sz w:val="20"/>
              </w:rPr>
            </w:pPr>
            <w:r w:rsidRPr="007046FB">
              <w:rPr>
                <w:sz w:val="20"/>
              </w:rPr>
              <w:t>ORIC</w:t>
            </w:r>
          </w:p>
        </w:tc>
        <w:tc>
          <w:tcPr>
            <w:tcW w:w="6755" w:type="dxa"/>
          </w:tcPr>
          <w:p w:rsidR="00A325A7" w:rsidRPr="007046FB" w:rsidRDefault="00EE7331" w:rsidP="00A325A7">
            <w:pPr>
              <w:rPr>
                <w:sz w:val="20"/>
              </w:rPr>
            </w:pPr>
            <w:r w:rsidRPr="007046FB">
              <w:rPr>
                <w:sz w:val="20"/>
              </w:rPr>
              <w:t>Office of the Racing Integrity Commissioner</w:t>
            </w:r>
          </w:p>
        </w:tc>
      </w:tr>
      <w:tr w:rsidR="00EE7331" w:rsidTr="00EE7331">
        <w:trPr>
          <w:trHeight w:val="281"/>
        </w:trPr>
        <w:tc>
          <w:tcPr>
            <w:tcW w:w="1575" w:type="dxa"/>
          </w:tcPr>
          <w:p w:rsidR="00A325A7" w:rsidRPr="007046FB" w:rsidRDefault="00EE7331" w:rsidP="00A325A7">
            <w:pPr>
              <w:rPr>
                <w:sz w:val="20"/>
              </w:rPr>
            </w:pPr>
            <w:r w:rsidRPr="007046FB">
              <w:rPr>
                <w:sz w:val="20"/>
              </w:rPr>
              <w:t>POCTAA</w:t>
            </w:r>
          </w:p>
        </w:tc>
        <w:tc>
          <w:tcPr>
            <w:tcW w:w="6755" w:type="dxa"/>
          </w:tcPr>
          <w:p w:rsidR="00A325A7" w:rsidRPr="007046FB" w:rsidRDefault="00EE7331" w:rsidP="00A325A7">
            <w:pPr>
              <w:rPr>
                <w:sz w:val="20"/>
              </w:rPr>
            </w:pPr>
            <w:r w:rsidRPr="007046FB">
              <w:rPr>
                <w:sz w:val="20"/>
              </w:rPr>
              <w:t>Prevention of Cruelty to Animals Act 1986</w:t>
            </w:r>
          </w:p>
        </w:tc>
      </w:tr>
      <w:tr w:rsidR="00EE7331" w:rsidTr="00EE7331">
        <w:trPr>
          <w:trHeight w:val="281"/>
        </w:trPr>
        <w:tc>
          <w:tcPr>
            <w:tcW w:w="1575" w:type="dxa"/>
          </w:tcPr>
          <w:p w:rsidR="00A325A7" w:rsidRPr="007046FB" w:rsidRDefault="00EE7331" w:rsidP="00A325A7">
            <w:pPr>
              <w:rPr>
                <w:sz w:val="20"/>
              </w:rPr>
            </w:pPr>
            <w:r w:rsidRPr="007046FB">
              <w:rPr>
                <w:sz w:val="20"/>
              </w:rPr>
              <w:t>POCTAA Code</w:t>
            </w:r>
          </w:p>
        </w:tc>
        <w:tc>
          <w:tcPr>
            <w:tcW w:w="6755" w:type="dxa"/>
          </w:tcPr>
          <w:p w:rsidR="00A325A7" w:rsidRPr="007046FB" w:rsidRDefault="00EE7331" w:rsidP="00A325A7">
            <w:pPr>
              <w:rPr>
                <w:sz w:val="20"/>
              </w:rPr>
            </w:pPr>
            <w:r w:rsidRPr="007046FB">
              <w:rPr>
                <w:sz w:val="20"/>
              </w:rPr>
              <w:t>POCTAA Code of Practice for the Private Keeping of Dogs</w:t>
            </w:r>
          </w:p>
        </w:tc>
      </w:tr>
      <w:tr w:rsidR="00EE7331" w:rsidTr="00EE7331">
        <w:trPr>
          <w:trHeight w:val="295"/>
        </w:trPr>
        <w:tc>
          <w:tcPr>
            <w:tcW w:w="1575" w:type="dxa"/>
          </w:tcPr>
          <w:p w:rsidR="00A325A7" w:rsidRPr="007046FB" w:rsidRDefault="00EE7331" w:rsidP="00A325A7">
            <w:pPr>
              <w:rPr>
                <w:sz w:val="20"/>
              </w:rPr>
            </w:pPr>
            <w:r w:rsidRPr="007046FB">
              <w:rPr>
                <w:sz w:val="20"/>
              </w:rPr>
              <w:t>Racing Act</w:t>
            </w:r>
          </w:p>
        </w:tc>
        <w:tc>
          <w:tcPr>
            <w:tcW w:w="6755" w:type="dxa"/>
          </w:tcPr>
          <w:p w:rsidR="00A325A7" w:rsidRPr="007046FB" w:rsidRDefault="00EE7331" w:rsidP="00A325A7">
            <w:pPr>
              <w:rPr>
                <w:sz w:val="20"/>
              </w:rPr>
            </w:pPr>
            <w:r w:rsidRPr="007046FB">
              <w:rPr>
                <w:sz w:val="20"/>
              </w:rPr>
              <w:t>Racing Act 1958</w:t>
            </w:r>
          </w:p>
        </w:tc>
      </w:tr>
      <w:tr w:rsidR="00A37021" w:rsidTr="00EE7331">
        <w:trPr>
          <w:trHeight w:val="295"/>
        </w:trPr>
        <w:tc>
          <w:tcPr>
            <w:tcW w:w="1575" w:type="dxa"/>
          </w:tcPr>
          <w:p w:rsidR="00A37021" w:rsidRPr="007046FB" w:rsidRDefault="00A37021" w:rsidP="00A325A7">
            <w:pPr>
              <w:rPr>
                <w:sz w:val="20"/>
              </w:rPr>
            </w:pPr>
            <w:r>
              <w:rPr>
                <w:sz w:val="20"/>
              </w:rPr>
              <w:t>RADB</w:t>
            </w:r>
          </w:p>
        </w:tc>
        <w:tc>
          <w:tcPr>
            <w:tcW w:w="6755" w:type="dxa"/>
          </w:tcPr>
          <w:p w:rsidR="00A37021" w:rsidRPr="007046FB" w:rsidRDefault="00A37021" w:rsidP="00A325A7">
            <w:pPr>
              <w:rPr>
                <w:sz w:val="20"/>
              </w:rPr>
            </w:pPr>
            <w:r>
              <w:rPr>
                <w:sz w:val="20"/>
              </w:rPr>
              <w:t>Racing Appeals and Disciplinary Board</w:t>
            </w:r>
          </w:p>
        </w:tc>
      </w:tr>
      <w:tr w:rsidR="00A37021" w:rsidTr="00EE7331">
        <w:trPr>
          <w:trHeight w:val="295"/>
        </w:trPr>
        <w:tc>
          <w:tcPr>
            <w:tcW w:w="1575" w:type="dxa"/>
          </w:tcPr>
          <w:p w:rsidR="00A37021" w:rsidRDefault="00A37021" w:rsidP="00A325A7">
            <w:pPr>
              <w:rPr>
                <w:sz w:val="20"/>
              </w:rPr>
            </w:pPr>
            <w:r>
              <w:rPr>
                <w:sz w:val="20"/>
              </w:rPr>
              <w:t>Rearing</w:t>
            </w:r>
          </w:p>
        </w:tc>
        <w:tc>
          <w:tcPr>
            <w:tcW w:w="6755" w:type="dxa"/>
          </w:tcPr>
          <w:p w:rsidR="00A37021" w:rsidRDefault="00A37021" w:rsidP="00A325A7">
            <w:pPr>
              <w:rPr>
                <w:sz w:val="20"/>
              </w:rPr>
            </w:pPr>
            <w:r>
              <w:rPr>
                <w:sz w:val="20"/>
              </w:rPr>
              <w:t>To raise a greyhound to maturity</w:t>
            </w:r>
          </w:p>
        </w:tc>
      </w:tr>
      <w:tr w:rsidR="00A37021" w:rsidTr="00EE7331">
        <w:trPr>
          <w:trHeight w:val="295"/>
        </w:trPr>
        <w:tc>
          <w:tcPr>
            <w:tcW w:w="1575" w:type="dxa"/>
          </w:tcPr>
          <w:p w:rsidR="00A37021" w:rsidRDefault="00A37021" w:rsidP="00A325A7">
            <w:pPr>
              <w:rPr>
                <w:sz w:val="20"/>
              </w:rPr>
            </w:pPr>
            <w:r>
              <w:rPr>
                <w:sz w:val="20"/>
              </w:rPr>
              <w:t>Wastage</w:t>
            </w:r>
          </w:p>
        </w:tc>
        <w:tc>
          <w:tcPr>
            <w:tcW w:w="6755" w:type="dxa"/>
          </w:tcPr>
          <w:p w:rsidR="00A37021" w:rsidRDefault="00A37021" w:rsidP="00A325A7">
            <w:pPr>
              <w:rPr>
                <w:sz w:val="20"/>
              </w:rPr>
            </w:pPr>
            <w:r>
              <w:rPr>
                <w:sz w:val="20"/>
              </w:rPr>
              <w:t xml:space="preserve">Any </w:t>
            </w:r>
            <w:r w:rsidRPr="007046FB">
              <w:rPr>
                <w:sz w:val="20"/>
              </w:rPr>
              <w:t>dog removed from the industry, as it is not believed will make potential (in racing) or is past potential in racing or breeding</w:t>
            </w:r>
          </w:p>
        </w:tc>
      </w:tr>
      <w:tr w:rsidR="00A37021" w:rsidTr="00EE7331">
        <w:trPr>
          <w:trHeight w:val="295"/>
        </w:trPr>
        <w:tc>
          <w:tcPr>
            <w:tcW w:w="1575" w:type="dxa"/>
          </w:tcPr>
          <w:p w:rsidR="00A37021" w:rsidRDefault="00A37021" w:rsidP="00A325A7">
            <w:pPr>
              <w:rPr>
                <w:sz w:val="20"/>
              </w:rPr>
            </w:pPr>
            <w:r>
              <w:rPr>
                <w:sz w:val="20"/>
              </w:rPr>
              <w:t>Whelping</w:t>
            </w:r>
          </w:p>
        </w:tc>
        <w:tc>
          <w:tcPr>
            <w:tcW w:w="6755" w:type="dxa"/>
          </w:tcPr>
          <w:p w:rsidR="00A37021" w:rsidRDefault="00A37021" w:rsidP="00A325A7">
            <w:pPr>
              <w:rPr>
                <w:sz w:val="20"/>
              </w:rPr>
            </w:pPr>
            <w:r>
              <w:rPr>
                <w:sz w:val="20"/>
              </w:rPr>
              <w:t>The process of giving birth to greyhound puppies or “whelps”.</w:t>
            </w:r>
          </w:p>
        </w:tc>
      </w:tr>
      <w:tr w:rsidR="00A37021" w:rsidTr="00752A2D">
        <w:trPr>
          <w:trHeight w:val="295"/>
        </w:trPr>
        <w:tc>
          <w:tcPr>
            <w:tcW w:w="1575" w:type="dxa"/>
            <w:tcBorders>
              <w:bottom w:val="single" w:sz="4" w:space="0" w:color="244061" w:themeColor="accent1" w:themeShade="80"/>
            </w:tcBorders>
          </w:tcPr>
          <w:p w:rsidR="00A37021" w:rsidRDefault="00A37021" w:rsidP="00A325A7">
            <w:pPr>
              <w:rPr>
                <w:sz w:val="20"/>
              </w:rPr>
            </w:pPr>
            <w:r>
              <w:rPr>
                <w:sz w:val="20"/>
              </w:rPr>
              <w:t>Whelps</w:t>
            </w:r>
          </w:p>
        </w:tc>
        <w:tc>
          <w:tcPr>
            <w:tcW w:w="6755" w:type="dxa"/>
            <w:tcBorders>
              <w:bottom w:val="single" w:sz="4" w:space="0" w:color="244061" w:themeColor="accent1" w:themeShade="80"/>
            </w:tcBorders>
          </w:tcPr>
          <w:p w:rsidR="00A37021" w:rsidRDefault="00A37021" w:rsidP="00A325A7">
            <w:pPr>
              <w:rPr>
                <w:sz w:val="20"/>
              </w:rPr>
            </w:pPr>
            <w:r>
              <w:rPr>
                <w:sz w:val="20"/>
              </w:rPr>
              <w:t>Newborn greyhound puppy which lacks the ability to see, hear or regulate its body temperature</w:t>
            </w:r>
          </w:p>
        </w:tc>
      </w:tr>
    </w:tbl>
    <w:p w:rsidR="00EE7331" w:rsidRDefault="00EE7331">
      <w:pPr>
        <w:rPr>
          <w:rFonts w:asciiTheme="majorHAnsi" w:eastAsiaTheme="majorEastAsia" w:hAnsiTheme="majorHAnsi" w:cstheme="majorBidi"/>
          <w:color w:val="1F497D" w:themeColor="text2"/>
          <w:sz w:val="32"/>
          <w:szCs w:val="32"/>
        </w:rPr>
      </w:pPr>
      <w:r>
        <w:br w:type="page"/>
      </w:r>
    </w:p>
    <w:p w:rsidR="002044B3" w:rsidRPr="008D7690" w:rsidRDefault="00EE3E62" w:rsidP="005F3125">
      <w:pPr>
        <w:pStyle w:val="Heading1"/>
      </w:pPr>
      <w:bookmarkStart w:id="173" w:name="_Toc456126072"/>
      <w:bookmarkStart w:id="174" w:name="_Toc469529190"/>
      <w:bookmarkStart w:id="175" w:name="_Toc477190214"/>
      <w:r>
        <w:lastRenderedPageBreak/>
        <w:t xml:space="preserve">Bibliography of </w:t>
      </w:r>
      <w:r w:rsidR="00E75E46">
        <w:t>References</w:t>
      </w:r>
      <w:bookmarkEnd w:id="173"/>
      <w:bookmarkEnd w:id="174"/>
      <w:bookmarkEnd w:id="175"/>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Animals Australia </w:t>
      </w:r>
      <w:r w:rsidRPr="005F3125">
        <w:rPr>
          <w:rFonts w:cs="Arial-BoldMT"/>
          <w:bCs/>
          <w:i/>
          <w:color w:val="000000" w:themeColor="text1"/>
          <w:sz w:val="20"/>
          <w:szCs w:val="20"/>
        </w:rPr>
        <w:t>Bred for no other purpose than to race (</w:t>
      </w:r>
      <w:r w:rsidR="008A7534" w:rsidRPr="005F3125">
        <w:rPr>
          <w:rFonts w:cs="Arial-BoldMT"/>
          <w:bCs/>
          <w:i/>
          <w:color w:val="000000" w:themeColor="text1"/>
          <w:sz w:val="20"/>
          <w:szCs w:val="20"/>
        </w:rPr>
        <w:t>2015</w:t>
      </w:r>
      <w:r w:rsidRPr="005F3125">
        <w:rPr>
          <w:rFonts w:cs="Arial-BoldMT"/>
          <w:bCs/>
          <w:i/>
          <w:color w:val="000000" w:themeColor="text1"/>
          <w:sz w:val="20"/>
          <w:szCs w:val="20"/>
        </w:rPr>
        <w:t>)</w:t>
      </w:r>
    </w:p>
    <w:p w:rsidR="005653BA" w:rsidRDefault="005653BA" w:rsidP="005653BA">
      <w:pPr>
        <w:autoSpaceDE w:val="0"/>
        <w:autoSpaceDN w:val="0"/>
        <w:adjustRightInd w:val="0"/>
        <w:spacing w:after="240"/>
        <w:rPr>
          <w:rFonts w:cs="Arial-BoldMT"/>
          <w:bCs/>
          <w:i/>
          <w:color w:val="000000" w:themeColor="text1"/>
          <w:sz w:val="20"/>
          <w:szCs w:val="20"/>
        </w:rPr>
      </w:pPr>
      <w:r w:rsidRPr="005F3125">
        <w:rPr>
          <w:rFonts w:cs="Arial-BoldMT"/>
          <w:bCs/>
          <w:color w:val="000000" w:themeColor="text1"/>
          <w:sz w:val="20"/>
          <w:szCs w:val="20"/>
        </w:rPr>
        <w:t xml:space="preserve">Animals Australia </w:t>
      </w:r>
      <w:r w:rsidRPr="005F3125">
        <w:rPr>
          <w:rFonts w:cs="Arial-BoldMT"/>
          <w:bCs/>
          <w:i/>
          <w:color w:val="000000" w:themeColor="text1"/>
          <w:sz w:val="20"/>
          <w:szCs w:val="20"/>
        </w:rPr>
        <w:t>Greyhound racing: following the money trail (</w:t>
      </w:r>
      <w:r w:rsidR="008A7534" w:rsidRPr="005F3125">
        <w:rPr>
          <w:rFonts w:cs="Arial-BoldMT"/>
          <w:bCs/>
          <w:i/>
          <w:color w:val="000000" w:themeColor="text1"/>
          <w:sz w:val="20"/>
          <w:szCs w:val="20"/>
        </w:rPr>
        <w:t>2015</w:t>
      </w:r>
      <w:r w:rsidRPr="005F3125">
        <w:rPr>
          <w:rFonts w:cs="Arial-BoldMT"/>
          <w:bCs/>
          <w:i/>
          <w:color w:val="000000" w:themeColor="text1"/>
          <w:sz w:val="20"/>
          <w:szCs w:val="20"/>
        </w:rPr>
        <w:t>)</w:t>
      </w:r>
    </w:p>
    <w:p w:rsidR="00F4256F" w:rsidRPr="00F4256F" w:rsidRDefault="00F4256F" w:rsidP="005653BA">
      <w:pPr>
        <w:autoSpaceDE w:val="0"/>
        <w:autoSpaceDN w:val="0"/>
        <w:adjustRightInd w:val="0"/>
        <w:spacing w:after="240"/>
        <w:rPr>
          <w:rFonts w:cs="Arial-BoldMT"/>
          <w:bCs/>
          <w:color w:val="000000" w:themeColor="text1"/>
          <w:sz w:val="20"/>
          <w:szCs w:val="20"/>
        </w:rPr>
      </w:pPr>
      <w:r>
        <w:rPr>
          <w:sz w:val="20"/>
          <w:szCs w:val="20"/>
        </w:rPr>
        <w:t xml:space="preserve">AVMA (American </w:t>
      </w:r>
      <w:r w:rsidR="003576C9">
        <w:rPr>
          <w:sz w:val="20"/>
          <w:szCs w:val="20"/>
        </w:rPr>
        <w:t>Veterinary</w:t>
      </w:r>
      <w:r>
        <w:rPr>
          <w:sz w:val="20"/>
          <w:szCs w:val="20"/>
        </w:rPr>
        <w:t xml:space="preserve"> Medical Association) </w:t>
      </w:r>
      <w:r w:rsidRPr="00F4256F">
        <w:rPr>
          <w:i/>
          <w:sz w:val="20"/>
          <w:szCs w:val="20"/>
        </w:rPr>
        <w:t>Guidelines for the Euthanasia of Animals</w:t>
      </w:r>
      <w:r>
        <w:rPr>
          <w:sz w:val="20"/>
          <w:szCs w:val="20"/>
        </w:rPr>
        <w:t xml:space="preserve"> (2013),</w:t>
      </w:r>
    </w:p>
    <w:p w:rsidR="008A7534" w:rsidRPr="007046FB" w:rsidRDefault="008A7534" w:rsidP="004D060C">
      <w:pPr>
        <w:autoSpaceDE w:val="0"/>
        <w:autoSpaceDN w:val="0"/>
        <w:adjustRightInd w:val="0"/>
        <w:spacing w:after="240"/>
        <w:rPr>
          <w:color w:val="000000" w:themeColor="text1"/>
          <w:sz w:val="16"/>
          <w:szCs w:val="20"/>
          <w:lang w:val="en-US"/>
        </w:rPr>
      </w:pPr>
      <w:r w:rsidRPr="007046FB">
        <w:rPr>
          <w:color w:val="000000" w:themeColor="text1"/>
          <w:sz w:val="20"/>
          <w:lang w:val="en-US"/>
        </w:rPr>
        <w:t>Baird, M. Premier NSW</w:t>
      </w:r>
      <w:r w:rsidR="00E53059" w:rsidRPr="007046FB">
        <w:rPr>
          <w:color w:val="000000" w:themeColor="text1"/>
          <w:sz w:val="20"/>
          <w:lang w:val="en-US"/>
        </w:rPr>
        <w:t>, 7</w:t>
      </w:r>
      <w:r w:rsidRPr="007046FB">
        <w:rPr>
          <w:color w:val="000000" w:themeColor="text1"/>
          <w:sz w:val="20"/>
          <w:lang w:val="en-US"/>
        </w:rPr>
        <w:t xml:space="preserve"> July 2016, Media Release </w:t>
      </w:r>
      <w:r w:rsidRPr="007046FB">
        <w:rPr>
          <w:i/>
          <w:color w:val="000000" w:themeColor="text1"/>
          <w:sz w:val="20"/>
          <w:lang w:val="en-US"/>
        </w:rPr>
        <w:t>Greyhound Racing to be shut down in NSW.</w:t>
      </w:r>
    </w:p>
    <w:p w:rsidR="00D05C1A" w:rsidRPr="005F3125" w:rsidRDefault="00057E3D" w:rsidP="004D060C">
      <w:pPr>
        <w:autoSpaceDE w:val="0"/>
        <w:autoSpaceDN w:val="0"/>
        <w:adjustRightInd w:val="0"/>
        <w:spacing w:after="240"/>
        <w:rPr>
          <w:rFonts w:cs="Arial-BoldMT"/>
          <w:bCs/>
          <w:color w:val="000000" w:themeColor="text1"/>
          <w:sz w:val="20"/>
          <w:szCs w:val="20"/>
        </w:rPr>
      </w:pPr>
      <w:r w:rsidRPr="005F3125">
        <w:rPr>
          <w:color w:val="000000" w:themeColor="text1"/>
          <w:sz w:val="20"/>
          <w:szCs w:val="20"/>
          <w:lang w:val="en-US"/>
        </w:rPr>
        <w:t>Beer, L., Wilson, J., Stephens, J. (2008)</w:t>
      </w:r>
      <w:r w:rsidRPr="005F3125">
        <w:rPr>
          <w:i/>
          <w:color w:val="000000" w:themeColor="text1"/>
          <w:sz w:val="20"/>
          <w:szCs w:val="20"/>
          <w:lang w:val="en-US"/>
        </w:rPr>
        <w:t xml:space="preserve"> </w:t>
      </w:r>
      <w:r w:rsidRPr="005F3125">
        <w:rPr>
          <w:rFonts w:cs="Arial-BoldMT"/>
          <w:bCs/>
          <w:i/>
          <w:color w:val="000000" w:themeColor="text1"/>
          <w:sz w:val="20"/>
          <w:szCs w:val="20"/>
        </w:rPr>
        <w:t xml:space="preserve">Improving the welfare of the racing greyhound – A GRV Perspective. </w:t>
      </w:r>
      <w:r w:rsidRPr="005F3125">
        <w:rPr>
          <w:rFonts w:cs="Arial-BoldMT"/>
          <w:bCs/>
          <w:color w:val="000000" w:themeColor="text1"/>
          <w:sz w:val="20"/>
          <w:szCs w:val="20"/>
        </w:rPr>
        <w:t>Paper presented at Australian Animal Welfare Strategy Conference, Canberra.</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Bittar, P. April 2016. Review of the Integrity Structures of the Victorian Racing Industry</w:t>
      </w:r>
    </w:p>
    <w:p w:rsidR="002C2CAB" w:rsidRPr="005F3125" w:rsidRDefault="00057E3D">
      <w:pPr>
        <w:autoSpaceDE w:val="0"/>
        <w:autoSpaceDN w:val="0"/>
        <w:adjustRightInd w:val="0"/>
        <w:spacing w:after="240"/>
        <w:rPr>
          <w:rFonts w:eastAsia="Times New Roman" w:cs="Times New Roman"/>
          <w:color w:val="000000" w:themeColor="text1"/>
          <w:sz w:val="20"/>
          <w:szCs w:val="20"/>
          <w:lang w:val="en-US"/>
        </w:rPr>
      </w:pPr>
      <w:r w:rsidRPr="005F3125">
        <w:rPr>
          <w:rFonts w:cs="Arial-BoldMT"/>
          <w:bCs/>
          <w:color w:val="000000" w:themeColor="text1"/>
          <w:sz w:val="20"/>
          <w:szCs w:val="20"/>
        </w:rPr>
        <w:t>Cobb, M., Branson, N., McGreevy, P.D., et al.</w:t>
      </w:r>
      <w:r w:rsidRPr="005F3125">
        <w:rPr>
          <w:color w:val="000000" w:themeColor="text1"/>
          <w:sz w:val="20"/>
          <w:szCs w:val="20"/>
        </w:rPr>
        <w:t xml:space="preserve"> (August 2015) </w:t>
      </w:r>
      <w:r w:rsidRPr="005F3125">
        <w:rPr>
          <w:i/>
          <w:color w:val="000000" w:themeColor="text1"/>
          <w:sz w:val="20"/>
          <w:szCs w:val="20"/>
        </w:rPr>
        <w:t>Review and assessment</w:t>
      </w:r>
      <w:r w:rsidRPr="005F3125">
        <w:rPr>
          <w:color w:val="000000" w:themeColor="text1"/>
          <w:sz w:val="20"/>
          <w:szCs w:val="20"/>
        </w:rPr>
        <w:t xml:space="preserve"> </w:t>
      </w:r>
      <w:r w:rsidRPr="005F3125">
        <w:rPr>
          <w:i/>
          <w:color w:val="000000" w:themeColor="text1"/>
          <w:sz w:val="20"/>
          <w:szCs w:val="20"/>
        </w:rPr>
        <w:t xml:space="preserve">of best practice rearing, socialisation, education and training methods for greyhounds in a racing context. </w:t>
      </w:r>
      <w:r w:rsidRPr="005F3125">
        <w:rPr>
          <w:color w:val="000000" w:themeColor="text1"/>
          <w:sz w:val="20"/>
          <w:szCs w:val="20"/>
        </w:rPr>
        <w:t>https://www.researchgate.net/publication/280734566</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Department of Economic Development, Jobs, Transport &amp; Resources. 2016, </w:t>
      </w:r>
      <w:r w:rsidRPr="005F3125">
        <w:rPr>
          <w:rFonts w:cs="Arial-BoldMT"/>
          <w:bCs/>
          <w:i/>
          <w:color w:val="000000" w:themeColor="text1"/>
          <w:sz w:val="20"/>
          <w:szCs w:val="20"/>
        </w:rPr>
        <w:t>Analyses of stakeholder Industry Survey</w:t>
      </w:r>
    </w:p>
    <w:p w:rsidR="005653BA" w:rsidRPr="005F3125" w:rsidRDefault="005653BA" w:rsidP="005653BA">
      <w:pPr>
        <w:autoSpaceDE w:val="0"/>
        <w:autoSpaceDN w:val="0"/>
        <w:adjustRightInd w:val="0"/>
        <w:spacing w:after="240"/>
        <w:rPr>
          <w:rFonts w:cs="Arial-BoldMT"/>
          <w:bCs/>
          <w:i/>
          <w:color w:val="000000" w:themeColor="text1"/>
          <w:sz w:val="20"/>
          <w:szCs w:val="20"/>
        </w:rPr>
      </w:pPr>
      <w:r w:rsidRPr="005F3125">
        <w:rPr>
          <w:rFonts w:cs="Arial-BoldMT"/>
          <w:bCs/>
          <w:i/>
          <w:color w:val="000000" w:themeColor="text1"/>
          <w:sz w:val="20"/>
          <w:szCs w:val="20"/>
        </w:rPr>
        <w:t xml:space="preserve">Domestic Animals Act 1994 </w:t>
      </w:r>
      <w:r w:rsidRPr="005F3125">
        <w:rPr>
          <w:rFonts w:cs="Arial-BoldMT"/>
          <w:bCs/>
          <w:color w:val="000000" w:themeColor="text1"/>
          <w:sz w:val="20"/>
          <w:szCs w:val="20"/>
        </w:rPr>
        <w:t>(Authorised Version No. 067) 4 May 2016</w:t>
      </w:r>
    </w:p>
    <w:p w:rsidR="00C470E8" w:rsidRDefault="00C470E8" w:rsidP="005653BA">
      <w:pPr>
        <w:autoSpaceDE w:val="0"/>
        <w:autoSpaceDN w:val="0"/>
        <w:adjustRightInd w:val="0"/>
        <w:spacing w:after="240"/>
        <w:rPr>
          <w:rFonts w:cs="Arial-BoldMT"/>
          <w:bCs/>
          <w:color w:val="000000" w:themeColor="text1"/>
          <w:sz w:val="20"/>
          <w:szCs w:val="20"/>
        </w:rPr>
      </w:pPr>
      <w:r w:rsidRPr="00C470E8">
        <w:rPr>
          <w:rFonts w:cs="Arial-BoldMT"/>
          <w:bCs/>
          <w:color w:val="000000" w:themeColor="text1"/>
          <w:sz w:val="20"/>
          <w:szCs w:val="20"/>
        </w:rPr>
        <w:t xml:space="preserve">Government of Victoria, 2016, </w:t>
      </w:r>
      <w:r w:rsidRPr="00202816">
        <w:rPr>
          <w:rFonts w:cs="Arial-BoldMT"/>
          <w:bCs/>
          <w:i/>
          <w:color w:val="000000" w:themeColor="text1"/>
          <w:sz w:val="20"/>
          <w:szCs w:val="20"/>
        </w:rPr>
        <w:t>Victorian Guide to Regulation: A handbook for policy-makers in Victoria</w:t>
      </w:r>
      <w:r w:rsidRPr="00C470E8">
        <w:rPr>
          <w:rFonts w:cs="Arial-BoldMT"/>
          <w:bCs/>
          <w:color w:val="000000" w:themeColor="text1"/>
          <w:sz w:val="20"/>
          <w:szCs w:val="20"/>
        </w:rPr>
        <w:t>, Department of Treasury and Finance, Melbourne</w:t>
      </w:r>
    </w:p>
    <w:p w:rsidR="005653BA" w:rsidRPr="005F3125" w:rsidRDefault="005653BA" w:rsidP="005653BA">
      <w:pPr>
        <w:autoSpaceDE w:val="0"/>
        <w:autoSpaceDN w:val="0"/>
        <w:adjustRightInd w:val="0"/>
        <w:spacing w:after="240"/>
        <w:rPr>
          <w:rStyle w:val="Hyperlink"/>
          <w:color w:val="000000" w:themeColor="text1"/>
          <w:sz w:val="20"/>
          <w:szCs w:val="20"/>
        </w:rPr>
      </w:pPr>
      <w:r w:rsidRPr="005F3125">
        <w:rPr>
          <w:rFonts w:cs="Arial-BoldMT"/>
          <w:bCs/>
          <w:color w:val="000000" w:themeColor="text1"/>
          <w:sz w:val="20"/>
          <w:szCs w:val="20"/>
        </w:rPr>
        <w:t xml:space="preserve">GRV </w:t>
      </w:r>
      <w:r w:rsidRPr="005F3125">
        <w:rPr>
          <w:rFonts w:cs="Arial-BoldMT"/>
          <w:bCs/>
          <w:i/>
          <w:color w:val="000000" w:themeColor="text1"/>
          <w:sz w:val="20"/>
          <w:szCs w:val="20"/>
        </w:rPr>
        <w:t>Greyhound Care and Standards website</w:t>
      </w:r>
      <w:r w:rsidRPr="005F3125">
        <w:rPr>
          <w:rFonts w:cs="Arial-BoldMT"/>
          <w:bCs/>
          <w:color w:val="000000" w:themeColor="text1"/>
          <w:sz w:val="20"/>
          <w:szCs w:val="20"/>
        </w:rPr>
        <w:t xml:space="preserve"> (2016) </w:t>
      </w:r>
      <w:r w:rsidRPr="005F3125">
        <w:rPr>
          <w:color w:val="000000" w:themeColor="text1"/>
          <w:sz w:val="20"/>
          <w:szCs w:val="20"/>
        </w:rPr>
        <w:t>http://greyhoundcare.grv.org.au/</w:t>
      </w:r>
      <w:r w:rsidRPr="005F3125">
        <w:rPr>
          <w:rStyle w:val="Hyperlink"/>
          <w:color w:val="000000" w:themeColor="text1"/>
          <w:sz w:val="20"/>
          <w:szCs w:val="20"/>
        </w:rPr>
        <w:t xml:space="preserve"> </w:t>
      </w:r>
      <w:r w:rsidR="005F3125" w:rsidRPr="005F3125">
        <w:rPr>
          <w:rStyle w:val="Hyperlink"/>
          <w:color w:val="000000" w:themeColor="text1"/>
          <w:sz w:val="20"/>
          <w:szCs w:val="20"/>
        </w:rPr>
        <w:t>(</w:t>
      </w:r>
      <w:r w:rsidRPr="005F3125">
        <w:rPr>
          <w:rStyle w:val="Hyperlink"/>
          <w:color w:val="000000" w:themeColor="text1"/>
          <w:sz w:val="20"/>
          <w:szCs w:val="20"/>
        </w:rPr>
        <w:t>accessed</w:t>
      </w:r>
      <w:r w:rsidR="008A7534" w:rsidRPr="005F3125">
        <w:rPr>
          <w:rStyle w:val="Hyperlink"/>
          <w:color w:val="000000" w:themeColor="text1"/>
          <w:sz w:val="20"/>
          <w:szCs w:val="20"/>
        </w:rPr>
        <w:t xml:space="preserve"> 23 May 2016</w:t>
      </w:r>
      <w:r w:rsidRPr="005F3125">
        <w:rPr>
          <w:rStyle w:val="Hyperlink"/>
          <w:color w:val="000000" w:themeColor="text1"/>
          <w:sz w:val="20"/>
          <w:szCs w:val="20"/>
        </w:rPr>
        <w:t>)</w:t>
      </w:r>
    </w:p>
    <w:p w:rsidR="008A7534" w:rsidRPr="0093786B" w:rsidRDefault="008A7534" w:rsidP="005653BA">
      <w:pPr>
        <w:autoSpaceDE w:val="0"/>
        <w:autoSpaceDN w:val="0"/>
        <w:adjustRightInd w:val="0"/>
        <w:spacing w:after="240"/>
        <w:rPr>
          <w:rFonts w:cs="Arial-BoldMT"/>
          <w:bCs/>
          <w:color w:val="000000" w:themeColor="text1"/>
          <w:sz w:val="20"/>
          <w:szCs w:val="20"/>
        </w:rPr>
      </w:pPr>
      <w:r w:rsidRPr="007046FB">
        <w:rPr>
          <w:color w:val="000000" w:themeColor="text1"/>
          <w:sz w:val="20"/>
          <w:szCs w:val="20"/>
        </w:rPr>
        <w:t>GRNSW, Response to Order dated 15 May 2015, (30(b)</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GRV website (May 2016) </w:t>
      </w:r>
      <w:r w:rsidRPr="005F3125">
        <w:rPr>
          <w:rFonts w:cs="Arial-BoldMT"/>
          <w:bCs/>
          <w:i/>
          <w:color w:val="000000" w:themeColor="text1"/>
          <w:sz w:val="20"/>
          <w:szCs w:val="20"/>
        </w:rPr>
        <w:t xml:space="preserve">Becoming and owner. </w:t>
      </w:r>
      <w:r w:rsidRPr="005F3125">
        <w:rPr>
          <w:rFonts w:cs="Arial-BoldMT"/>
          <w:bCs/>
          <w:color w:val="000000" w:themeColor="text1"/>
          <w:sz w:val="20"/>
          <w:szCs w:val="20"/>
        </w:rPr>
        <w:t>http://www.grv.org.au/becoming-an-owner/</w:t>
      </w:r>
    </w:p>
    <w:p w:rsidR="00FE43E9" w:rsidRPr="005F3125" w:rsidRDefault="00FE43E9" w:rsidP="005653BA">
      <w:pPr>
        <w:autoSpaceDE w:val="0"/>
        <w:autoSpaceDN w:val="0"/>
        <w:adjustRightInd w:val="0"/>
        <w:spacing w:after="240"/>
        <w:rPr>
          <w:rFonts w:cs="Arial-BoldMT"/>
          <w:bCs/>
          <w:color w:val="000000" w:themeColor="text1"/>
          <w:sz w:val="20"/>
          <w:szCs w:val="20"/>
        </w:rPr>
      </w:pPr>
      <w:r w:rsidRPr="005F3125">
        <w:rPr>
          <w:color w:val="000000" w:themeColor="text1"/>
          <w:sz w:val="20"/>
        </w:rPr>
        <w:t xml:space="preserve">GRV (May 2016), Developing GRV’s Strategy for 2016-2019, </w:t>
      </w:r>
      <w:r w:rsidRPr="005F3125">
        <w:rPr>
          <w:i/>
          <w:color w:val="000000" w:themeColor="text1"/>
          <w:sz w:val="20"/>
        </w:rPr>
        <w:t>draft for Consultation purposes</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Greyhounds Australasia Rules, as Amended by Greyhounds Australasia 01/01/2016 and effective from 01/06/2016</w:t>
      </w:r>
    </w:p>
    <w:p w:rsidR="005653BA"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Greyhounds Australasia website (May 2016) </w:t>
      </w:r>
      <w:r w:rsidRPr="005F3125">
        <w:rPr>
          <w:color w:val="000000" w:themeColor="text1"/>
          <w:sz w:val="20"/>
          <w:szCs w:val="20"/>
        </w:rPr>
        <w:t>http://galtd.org.au/</w:t>
      </w:r>
      <w:r w:rsidRPr="005F3125">
        <w:rPr>
          <w:rFonts w:cs="Arial-BoldMT"/>
          <w:bCs/>
          <w:color w:val="000000" w:themeColor="text1"/>
          <w:sz w:val="20"/>
          <w:szCs w:val="20"/>
        </w:rPr>
        <w:t xml:space="preserve"> </w:t>
      </w:r>
      <w:r w:rsidR="005F3125">
        <w:rPr>
          <w:rFonts w:cs="Arial-BoldMT"/>
          <w:bCs/>
          <w:color w:val="000000" w:themeColor="text1"/>
          <w:sz w:val="20"/>
          <w:szCs w:val="20"/>
        </w:rPr>
        <w:t>(</w:t>
      </w:r>
      <w:r w:rsidRPr="005F3125">
        <w:rPr>
          <w:rFonts w:cs="Arial-BoldMT"/>
          <w:bCs/>
          <w:color w:val="000000" w:themeColor="text1"/>
          <w:sz w:val="20"/>
          <w:szCs w:val="20"/>
        </w:rPr>
        <w:t>accessed</w:t>
      </w:r>
      <w:r w:rsidR="008A7534" w:rsidRPr="005F3125">
        <w:rPr>
          <w:rFonts w:cs="Arial-BoldMT"/>
          <w:bCs/>
          <w:color w:val="000000" w:themeColor="text1"/>
          <w:sz w:val="20"/>
          <w:szCs w:val="20"/>
        </w:rPr>
        <w:t xml:space="preserve"> 23 May 2016</w:t>
      </w:r>
      <w:r w:rsidRPr="005F3125">
        <w:rPr>
          <w:rFonts w:cs="Arial-BoldMT"/>
          <w:bCs/>
          <w:color w:val="000000" w:themeColor="text1"/>
          <w:sz w:val="20"/>
          <w:szCs w:val="20"/>
        </w:rPr>
        <w:t>)</w:t>
      </w:r>
    </w:p>
    <w:p w:rsidR="00C638A0" w:rsidRPr="005F3125" w:rsidRDefault="00C638A0" w:rsidP="005653BA">
      <w:pPr>
        <w:autoSpaceDE w:val="0"/>
        <w:autoSpaceDN w:val="0"/>
        <w:adjustRightInd w:val="0"/>
        <w:spacing w:after="240"/>
        <w:rPr>
          <w:rStyle w:val="Hyperlink"/>
          <w:rFonts w:cs="Arial-BoldMT"/>
          <w:bCs/>
          <w:color w:val="000000" w:themeColor="text1"/>
          <w:sz w:val="20"/>
          <w:szCs w:val="20"/>
        </w:rPr>
      </w:pPr>
      <w:r>
        <w:rPr>
          <w:rStyle w:val="Hyperlink"/>
          <w:rFonts w:cs="Arial-BoldMT"/>
          <w:bCs/>
          <w:color w:val="000000" w:themeColor="text1"/>
          <w:sz w:val="20"/>
          <w:szCs w:val="20"/>
        </w:rPr>
        <w:t>Greyhounds Australasia website (</w:t>
      </w:r>
      <w:r w:rsidR="00C055AD">
        <w:rPr>
          <w:rStyle w:val="Hyperlink"/>
          <w:rFonts w:cs="Arial-BoldMT"/>
          <w:bCs/>
          <w:color w:val="000000" w:themeColor="text1"/>
          <w:sz w:val="20"/>
          <w:szCs w:val="20"/>
        </w:rPr>
        <w:t>September</w:t>
      </w:r>
      <w:r>
        <w:rPr>
          <w:rStyle w:val="Hyperlink"/>
          <w:rFonts w:cs="Arial-BoldMT"/>
          <w:bCs/>
          <w:color w:val="000000" w:themeColor="text1"/>
          <w:sz w:val="20"/>
          <w:szCs w:val="20"/>
        </w:rPr>
        <w:t xml:space="preserve"> 2016) </w:t>
      </w:r>
      <w:r w:rsidRPr="004B0055">
        <w:rPr>
          <w:rStyle w:val="Hyperlink"/>
          <w:rFonts w:cs="Arial-BoldMT"/>
          <w:bCs/>
          <w:color w:val="000000" w:themeColor="text1"/>
          <w:sz w:val="20"/>
          <w:szCs w:val="20"/>
        </w:rPr>
        <w:t>http://www.galtd.org.au/industry/australasian-statistics</w:t>
      </w:r>
      <w:r>
        <w:rPr>
          <w:rStyle w:val="Hyperlink"/>
          <w:rFonts w:cs="Arial-BoldMT"/>
          <w:bCs/>
          <w:color w:val="000000" w:themeColor="text1"/>
          <w:sz w:val="20"/>
          <w:szCs w:val="20"/>
        </w:rPr>
        <w:t xml:space="preserve"> (accesses 16 September 2016)</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Greyhound Racing Victoria Local Racing Rules, As at 14 June 2016</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color w:val="000000" w:themeColor="text1"/>
          <w:sz w:val="20"/>
          <w:szCs w:val="20"/>
        </w:rPr>
        <w:t>Greyhound Racing Victoria, 2011-2012</w:t>
      </w:r>
      <w:r w:rsidRPr="005F3125">
        <w:rPr>
          <w:i/>
          <w:iCs/>
          <w:color w:val="000000" w:themeColor="text1"/>
          <w:sz w:val="20"/>
          <w:szCs w:val="20"/>
        </w:rPr>
        <w:t xml:space="preserve"> ANNUAL REPORT</w:t>
      </w:r>
      <w:r w:rsidRPr="005F3125">
        <w:rPr>
          <w:color w:val="000000" w:themeColor="text1"/>
          <w:sz w:val="20"/>
          <w:szCs w:val="20"/>
        </w:rPr>
        <w:t xml:space="preserve">. </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color w:val="000000" w:themeColor="text1"/>
          <w:sz w:val="20"/>
          <w:szCs w:val="20"/>
        </w:rPr>
        <w:t>Greyhound Racing Victoria, 2013-2014</w:t>
      </w:r>
      <w:r w:rsidRPr="005F3125">
        <w:rPr>
          <w:i/>
          <w:iCs/>
          <w:color w:val="000000" w:themeColor="text1"/>
          <w:sz w:val="20"/>
          <w:szCs w:val="20"/>
        </w:rPr>
        <w:t xml:space="preserve"> ANNUAL REPORT</w:t>
      </w:r>
      <w:r w:rsidRPr="005F3125">
        <w:rPr>
          <w:color w:val="000000" w:themeColor="text1"/>
          <w:sz w:val="20"/>
          <w:szCs w:val="20"/>
        </w:rPr>
        <w:t xml:space="preserve">. </w:t>
      </w:r>
    </w:p>
    <w:p w:rsidR="005653BA" w:rsidRDefault="005653BA" w:rsidP="005653BA">
      <w:pPr>
        <w:autoSpaceDE w:val="0"/>
        <w:autoSpaceDN w:val="0"/>
        <w:adjustRightInd w:val="0"/>
        <w:spacing w:after="240"/>
        <w:rPr>
          <w:color w:val="000000" w:themeColor="text1"/>
          <w:sz w:val="20"/>
          <w:szCs w:val="20"/>
        </w:rPr>
      </w:pPr>
      <w:r w:rsidRPr="005F3125">
        <w:rPr>
          <w:color w:val="000000" w:themeColor="text1"/>
          <w:sz w:val="20"/>
          <w:szCs w:val="20"/>
        </w:rPr>
        <w:t>Greyhound Racing Victoria, 2014-2015</w:t>
      </w:r>
      <w:r w:rsidRPr="005F3125">
        <w:rPr>
          <w:i/>
          <w:iCs/>
          <w:color w:val="000000" w:themeColor="text1"/>
          <w:sz w:val="20"/>
          <w:szCs w:val="20"/>
        </w:rPr>
        <w:t xml:space="preserve"> ANNUAL REPORT</w:t>
      </w:r>
      <w:r w:rsidRPr="005F3125">
        <w:rPr>
          <w:color w:val="000000" w:themeColor="text1"/>
          <w:sz w:val="20"/>
          <w:szCs w:val="20"/>
        </w:rPr>
        <w:t xml:space="preserve">. </w:t>
      </w:r>
    </w:p>
    <w:p w:rsidR="00C055AD" w:rsidRPr="005F3125" w:rsidRDefault="00C055AD" w:rsidP="005653BA">
      <w:pPr>
        <w:autoSpaceDE w:val="0"/>
        <w:autoSpaceDN w:val="0"/>
        <w:adjustRightInd w:val="0"/>
        <w:spacing w:after="240"/>
        <w:rPr>
          <w:rFonts w:cs="Arial-BoldMT"/>
          <w:bCs/>
          <w:color w:val="000000" w:themeColor="text1"/>
          <w:sz w:val="20"/>
          <w:szCs w:val="20"/>
        </w:rPr>
      </w:pPr>
      <w:r>
        <w:rPr>
          <w:rFonts w:cs="Arial-BoldMT"/>
          <w:bCs/>
          <w:color w:val="000000" w:themeColor="text1"/>
          <w:sz w:val="20"/>
          <w:szCs w:val="20"/>
        </w:rPr>
        <w:t>Greyhound Racing Victoria, 2015-2016</w:t>
      </w:r>
      <w:r w:rsidRPr="00C055AD">
        <w:rPr>
          <w:rFonts w:cs="Arial-BoldMT"/>
          <w:bCs/>
          <w:color w:val="000000" w:themeColor="text1"/>
          <w:sz w:val="20"/>
          <w:szCs w:val="20"/>
        </w:rPr>
        <w:t xml:space="preserve"> ANNUAL REPORT.</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lastRenderedPageBreak/>
        <w:t xml:space="preserve">Greyhound Racing Victoria, </w:t>
      </w:r>
      <w:r w:rsidRPr="005F3125">
        <w:rPr>
          <w:rFonts w:cs="Arial-BoldMT"/>
          <w:bCs/>
          <w:i/>
          <w:color w:val="000000" w:themeColor="text1"/>
          <w:sz w:val="20"/>
          <w:szCs w:val="20"/>
        </w:rPr>
        <w:t xml:space="preserve">Trainers Competency Pack – Level 1 Attendant. </w:t>
      </w:r>
      <w:r w:rsidRPr="005F3125">
        <w:rPr>
          <w:rFonts w:cs="Arial-BoldMT"/>
          <w:bCs/>
          <w:color w:val="000000" w:themeColor="text1"/>
          <w:sz w:val="20"/>
          <w:szCs w:val="20"/>
        </w:rPr>
        <w:t>version 1.0</w:t>
      </w:r>
    </w:p>
    <w:p w:rsidR="005653BA" w:rsidRDefault="005653BA" w:rsidP="005653BA">
      <w:pPr>
        <w:autoSpaceDE w:val="0"/>
        <w:autoSpaceDN w:val="0"/>
        <w:adjustRightInd w:val="0"/>
        <w:spacing w:after="240"/>
        <w:rPr>
          <w:rStyle w:val="Hyperlink"/>
          <w:rFonts w:cs="Arial-BoldMT"/>
          <w:bCs/>
          <w:color w:val="000000" w:themeColor="text1"/>
          <w:sz w:val="20"/>
          <w:szCs w:val="20"/>
        </w:rPr>
      </w:pPr>
      <w:r w:rsidRPr="005F3125">
        <w:rPr>
          <w:rFonts w:cs="Arial-BoldMT"/>
          <w:bCs/>
          <w:color w:val="000000" w:themeColor="text1"/>
          <w:sz w:val="20"/>
          <w:szCs w:val="20"/>
        </w:rPr>
        <w:t>Greyhound Racing Victoria., website http://www.grv.org.au/</w:t>
      </w:r>
      <w:r w:rsidRPr="005F3125">
        <w:rPr>
          <w:rStyle w:val="Hyperlink"/>
          <w:rFonts w:cs="Arial-BoldMT"/>
          <w:bCs/>
          <w:color w:val="000000" w:themeColor="text1"/>
          <w:sz w:val="20"/>
          <w:szCs w:val="20"/>
        </w:rPr>
        <w:t xml:space="preserve"> (accessed</w:t>
      </w:r>
      <w:r w:rsidR="005F3125" w:rsidRPr="005F3125">
        <w:rPr>
          <w:rStyle w:val="Hyperlink"/>
          <w:rFonts w:cs="Arial-BoldMT"/>
          <w:bCs/>
          <w:color w:val="000000" w:themeColor="text1"/>
          <w:sz w:val="20"/>
          <w:szCs w:val="20"/>
        </w:rPr>
        <w:t xml:space="preserve"> 23 May 2016</w:t>
      </w:r>
      <w:r w:rsidRPr="005F3125">
        <w:rPr>
          <w:rStyle w:val="Hyperlink"/>
          <w:rFonts w:cs="Arial-BoldMT"/>
          <w:bCs/>
          <w:color w:val="000000" w:themeColor="text1"/>
          <w:sz w:val="20"/>
          <w:szCs w:val="20"/>
        </w:rPr>
        <w:t>)</w:t>
      </w:r>
    </w:p>
    <w:p w:rsidR="00361051" w:rsidRPr="005F3125" w:rsidRDefault="00361051" w:rsidP="005653BA">
      <w:pPr>
        <w:autoSpaceDE w:val="0"/>
        <w:autoSpaceDN w:val="0"/>
        <w:adjustRightInd w:val="0"/>
        <w:spacing w:after="240"/>
        <w:rPr>
          <w:rFonts w:cs="Arial-BoldMT"/>
          <w:bCs/>
          <w:color w:val="000000" w:themeColor="text1"/>
          <w:sz w:val="20"/>
          <w:szCs w:val="20"/>
        </w:rPr>
      </w:pPr>
      <w:r>
        <w:rPr>
          <w:rStyle w:val="Hyperlink"/>
          <w:rFonts w:cs="Arial-BoldMT"/>
          <w:bCs/>
          <w:color w:val="000000" w:themeColor="text1"/>
          <w:sz w:val="20"/>
          <w:szCs w:val="20"/>
        </w:rPr>
        <w:t>Greyhound Racing Victoria (statistics and data) provided</w:t>
      </w:r>
      <w:r>
        <w:rPr>
          <w:sz w:val="20"/>
          <w:szCs w:val="20"/>
        </w:rPr>
        <w:t xml:space="preserve"> 24/7/16</w:t>
      </w:r>
      <w:r w:rsidRPr="004D060C">
        <w:rPr>
          <w:sz w:val="20"/>
          <w:szCs w:val="20"/>
        </w:rPr>
        <w:t>.</w:t>
      </w:r>
    </w:p>
    <w:p w:rsidR="007C594E" w:rsidRPr="005F3125" w:rsidRDefault="007C594E" w:rsidP="007C594E">
      <w:pPr>
        <w:autoSpaceDE w:val="0"/>
        <w:autoSpaceDN w:val="0"/>
        <w:adjustRightInd w:val="0"/>
        <w:spacing w:after="240"/>
        <w:rPr>
          <w:color w:val="000000" w:themeColor="text1"/>
          <w:sz w:val="20"/>
        </w:rPr>
      </w:pPr>
      <w:r w:rsidRPr="005F3125">
        <w:rPr>
          <w:color w:val="000000" w:themeColor="text1"/>
          <w:sz w:val="20"/>
        </w:rPr>
        <w:t>http://gap.grv.org.au/about-gap/intake-model/ accessed 4 July 2016</w:t>
      </w:r>
    </w:p>
    <w:p w:rsidR="008A7534" w:rsidRPr="007046FB" w:rsidRDefault="008A7534" w:rsidP="007C594E">
      <w:pPr>
        <w:autoSpaceDE w:val="0"/>
        <w:autoSpaceDN w:val="0"/>
        <w:adjustRightInd w:val="0"/>
        <w:spacing w:after="240"/>
        <w:rPr>
          <w:color w:val="000000" w:themeColor="text1"/>
          <w:sz w:val="16"/>
        </w:rPr>
      </w:pPr>
      <w:r w:rsidRPr="007046FB">
        <w:rPr>
          <w:rFonts w:asciiTheme="majorHAnsi" w:hAnsiTheme="majorHAnsi" w:cs="Arial-BoldMT"/>
          <w:bCs/>
          <w:color w:val="000000" w:themeColor="text1"/>
          <w:sz w:val="20"/>
        </w:rPr>
        <w:t xml:space="preserve">KPMG, </w:t>
      </w:r>
      <w:r w:rsidRPr="007046FB">
        <w:rPr>
          <w:rFonts w:asciiTheme="majorHAnsi" w:hAnsiTheme="majorHAnsi" w:cs="Arial-BoldMT"/>
          <w:bCs/>
          <w:i/>
          <w:color w:val="000000" w:themeColor="text1"/>
          <w:sz w:val="20"/>
        </w:rPr>
        <w:t xml:space="preserve">The Community Investment Dividend’ </w:t>
      </w:r>
      <w:r w:rsidRPr="007046FB">
        <w:rPr>
          <w:rFonts w:asciiTheme="majorHAnsi" w:hAnsiTheme="majorHAnsi" w:cs="Arial-BoldMT"/>
          <w:bCs/>
          <w:color w:val="000000" w:themeColor="text1"/>
          <w:sz w:val="20"/>
        </w:rPr>
        <w:t>2013 p.4</w:t>
      </w:r>
    </w:p>
    <w:p w:rsidR="00080BD0" w:rsidRDefault="00080BD0" w:rsidP="00080BD0">
      <w:pPr>
        <w:autoSpaceDE w:val="0"/>
        <w:autoSpaceDN w:val="0"/>
        <w:adjustRightInd w:val="0"/>
        <w:spacing w:after="240"/>
        <w:rPr>
          <w:rFonts w:asciiTheme="majorHAnsi" w:hAnsiTheme="majorHAnsi" w:cs="Arial-BoldMT"/>
          <w:bCs/>
          <w:color w:val="000000" w:themeColor="text1"/>
          <w:sz w:val="20"/>
        </w:rPr>
      </w:pPr>
      <w:r w:rsidRPr="00080BD0">
        <w:rPr>
          <w:rFonts w:asciiTheme="majorHAnsi" w:hAnsiTheme="majorHAnsi" w:cs="Arial-BoldMT"/>
          <w:bCs/>
          <w:color w:val="000000" w:themeColor="text1"/>
          <w:sz w:val="20"/>
        </w:rPr>
        <w:t>Lewis</w:t>
      </w:r>
      <w:r>
        <w:rPr>
          <w:rFonts w:asciiTheme="majorHAnsi" w:hAnsiTheme="majorHAnsi" w:cs="Arial-BoldMT"/>
          <w:bCs/>
          <w:color w:val="000000" w:themeColor="text1"/>
          <w:sz w:val="20"/>
        </w:rPr>
        <w:t>, G. AM</w:t>
      </w:r>
      <w:r w:rsidRPr="00080BD0">
        <w:rPr>
          <w:rFonts w:asciiTheme="majorHAnsi" w:hAnsiTheme="majorHAnsi" w:cs="Arial-BoldMT"/>
          <w:bCs/>
          <w:color w:val="000000" w:themeColor="text1"/>
          <w:sz w:val="20"/>
        </w:rPr>
        <w:t>, report</w:t>
      </w:r>
      <w:r>
        <w:rPr>
          <w:rFonts w:asciiTheme="majorHAnsi" w:hAnsiTheme="majorHAnsi" w:cs="Arial-BoldMT"/>
          <w:bCs/>
          <w:color w:val="000000" w:themeColor="text1"/>
          <w:sz w:val="20"/>
        </w:rPr>
        <w:t>, August 2008,</w:t>
      </w:r>
      <w:r w:rsidRPr="00080BD0">
        <w:rPr>
          <w:rFonts w:asciiTheme="majorHAnsi" w:hAnsiTheme="majorHAnsi" w:cs="Arial-BoldMT"/>
          <w:bCs/>
          <w:color w:val="000000" w:themeColor="text1"/>
          <w:sz w:val="20"/>
        </w:rPr>
        <w:t xml:space="preserve"> </w:t>
      </w:r>
      <w:r w:rsidRPr="005459F6">
        <w:rPr>
          <w:rFonts w:asciiTheme="majorHAnsi" w:hAnsiTheme="majorHAnsi" w:cs="Arial-BoldMT"/>
          <w:bCs/>
          <w:i/>
          <w:color w:val="000000" w:themeColor="text1"/>
          <w:sz w:val="20"/>
        </w:rPr>
        <w:t>A report on Integrity and Assurance in the Victorian Racing Industry</w:t>
      </w:r>
    </w:p>
    <w:p w:rsidR="00BD2B1C" w:rsidRPr="00CD3D33" w:rsidRDefault="00BD2B1C" w:rsidP="007C594E">
      <w:pPr>
        <w:autoSpaceDE w:val="0"/>
        <w:autoSpaceDN w:val="0"/>
        <w:adjustRightInd w:val="0"/>
        <w:spacing w:after="240"/>
        <w:rPr>
          <w:i/>
          <w:color w:val="000000" w:themeColor="text1"/>
          <w:sz w:val="20"/>
        </w:rPr>
      </w:pPr>
      <w:r>
        <w:rPr>
          <w:color w:val="000000" w:themeColor="text1"/>
          <w:sz w:val="20"/>
        </w:rPr>
        <w:t xml:space="preserve">MacSporran, A. 1 June 2015, </w:t>
      </w:r>
      <w:r>
        <w:rPr>
          <w:i/>
          <w:color w:val="000000" w:themeColor="text1"/>
          <w:sz w:val="20"/>
        </w:rPr>
        <w:t>Queensland Greyhound Racing Industry Commission of Inquiry.</w:t>
      </w:r>
    </w:p>
    <w:p w:rsidR="00425EA3" w:rsidRPr="005F3125" w:rsidRDefault="00425EA3" w:rsidP="007C594E">
      <w:pPr>
        <w:autoSpaceDE w:val="0"/>
        <w:autoSpaceDN w:val="0"/>
        <w:adjustRightInd w:val="0"/>
        <w:spacing w:after="240"/>
        <w:rPr>
          <w:color w:val="000000" w:themeColor="text1"/>
          <w:sz w:val="20"/>
          <w:szCs w:val="20"/>
        </w:rPr>
      </w:pPr>
      <w:r w:rsidRPr="005F3125">
        <w:rPr>
          <w:color w:val="000000" w:themeColor="text1"/>
          <w:sz w:val="20"/>
        </w:rPr>
        <w:t>McHugh, M. 16 June 2016,</w:t>
      </w:r>
      <w:r w:rsidRPr="005F3125">
        <w:rPr>
          <w:i/>
          <w:color w:val="000000" w:themeColor="text1"/>
          <w:sz w:val="20"/>
        </w:rPr>
        <w:t xml:space="preserve"> </w:t>
      </w:r>
      <w:r w:rsidRPr="005F3125">
        <w:rPr>
          <w:i/>
          <w:color w:val="000000" w:themeColor="text1"/>
          <w:sz w:val="20"/>
          <w:szCs w:val="20"/>
        </w:rPr>
        <w:t xml:space="preserve">Special Commission of Inquiry into Greyhound Racing Industry in New </w:t>
      </w:r>
      <w:r w:rsidR="00E53059" w:rsidRPr="005F3125">
        <w:rPr>
          <w:i/>
          <w:color w:val="000000" w:themeColor="text1"/>
          <w:sz w:val="20"/>
          <w:szCs w:val="20"/>
        </w:rPr>
        <w:t>South</w:t>
      </w:r>
      <w:r w:rsidRPr="005F3125">
        <w:rPr>
          <w:i/>
          <w:color w:val="000000" w:themeColor="text1"/>
          <w:sz w:val="20"/>
          <w:szCs w:val="20"/>
        </w:rPr>
        <w:t xml:space="preserve"> Wales</w:t>
      </w:r>
      <w:r w:rsidR="00BD2B1C">
        <w:rPr>
          <w:color w:val="000000" w:themeColor="text1"/>
          <w:sz w:val="20"/>
          <w:szCs w:val="20"/>
        </w:rPr>
        <w:t>.</w:t>
      </w:r>
    </w:p>
    <w:p w:rsidR="00425EA3" w:rsidRPr="005F3125" w:rsidRDefault="00057E3D" w:rsidP="004D060C">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Milne, C. Chief Veterinary Officer. 30 April 2015. </w:t>
      </w:r>
      <w:r w:rsidRPr="005F3125">
        <w:rPr>
          <w:rFonts w:cs="Arial-BoldMT"/>
          <w:bCs/>
          <w:i/>
          <w:color w:val="000000" w:themeColor="text1"/>
          <w:sz w:val="20"/>
          <w:szCs w:val="20"/>
        </w:rPr>
        <w:t xml:space="preserve">Investigation into animal welfare and cruelty in the Victorian greyhound industry. </w:t>
      </w:r>
      <w:r w:rsidRPr="005F3125">
        <w:rPr>
          <w:rFonts w:cs="Arial-BoldMT"/>
          <w:bCs/>
          <w:color w:val="000000" w:themeColor="text1"/>
          <w:sz w:val="20"/>
          <w:szCs w:val="20"/>
        </w:rPr>
        <w:t>Report to Parliament of Victoria.</w:t>
      </w:r>
    </w:p>
    <w:p w:rsidR="00620D7E" w:rsidRPr="005F3125" w:rsidRDefault="00620D7E" w:rsidP="005653BA">
      <w:pPr>
        <w:autoSpaceDE w:val="0"/>
        <w:autoSpaceDN w:val="0"/>
        <w:adjustRightInd w:val="0"/>
        <w:spacing w:after="240"/>
        <w:rPr>
          <w:rFonts w:cs="Arial-BoldMT"/>
          <w:bCs/>
          <w:color w:val="000000" w:themeColor="text1"/>
          <w:sz w:val="20"/>
          <w:szCs w:val="20"/>
        </w:rPr>
      </w:pPr>
      <w:r w:rsidRPr="005F3125">
        <w:rPr>
          <w:color w:val="000000" w:themeColor="text1"/>
          <w:sz w:val="20"/>
          <w:szCs w:val="20"/>
        </w:rPr>
        <w:t>New Zealand Greyhound Racing Association, (25 June 2013) Independent Welfare Review</w:t>
      </w:r>
      <w:r w:rsidRPr="005F3125">
        <w:rPr>
          <w:rFonts w:cs="Arial-BoldMT"/>
          <w:bCs/>
          <w:color w:val="000000" w:themeColor="text1"/>
          <w:sz w:val="20"/>
          <w:szCs w:val="20"/>
        </w:rPr>
        <w:t xml:space="preserve"> </w:t>
      </w:r>
    </w:p>
    <w:p w:rsidR="002C2CAB" w:rsidRPr="005F3125" w:rsidRDefault="002C2CAB" w:rsidP="00844B90">
      <w:pPr>
        <w:rPr>
          <w:rFonts w:eastAsia="Times New Roman" w:cs="Times New Roman"/>
          <w:color w:val="000000" w:themeColor="text1"/>
          <w:sz w:val="20"/>
          <w:szCs w:val="20"/>
          <w:lang w:val="en-US"/>
        </w:rPr>
      </w:pPr>
      <w:r w:rsidRPr="005F3125">
        <w:rPr>
          <w:rFonts w:eastAsia="Times New Roman" w:cs="Times New Roman"/>
          <w:color w:val="000000" w:themeColor="text1"/>
          <w:sz w:val="20"/>
          <w:szCs w:val="20"/>
          <w:lang w:val="en-US"/>
        </w:rPr>
        <w:t xml:space="preserve">Office of Racing Regulation (1 April 2014) </w:t>
      </w:r>
      <w:r w:rsidRPr="005F3125">
        <w:rPr>
          <w:rFonts w:eastAsia="Times New Roman" w:cs="Times New Roman"/>
          <w:i/>
          <w:color w:val="000000" w:themeColor="text1"/>
          <w:sz w:val="20"/>
          <w:szCs w:val="20"/>
          <w:lang w:val="en-US"/>
        </w:rPr>
        <w:t>Control Body Assessment Program</w:t>
      </w:r>
      <w:r w:rsidRPr="005F3125">
        <w:rPr>
          <w:rFonts w:eastAsia="Times New Roman" w:cs="Times New Roman"/>
          <w:color w:val="000000" w:themeColor="text1"/>
          <w:sz w:val="20"/>
          <w:szCs w:val="20"/>
          <w:lang w:val="en-US"/>
        </w:rPr>
        <w:t>, Report 2013</w:t>
      </w:r>
    </w:p>
    <w:p w:rsidR="002C2CAB" w:rsidRPr="005F3125" w:rsidRDefault="002C2CAB" w:rsidP="00844B90">
      <w:pPr>
        <w:rPr>
          <w:rFonts w:eastAsia="Times New Roman" w:cs="Times New Roman"/>
          <w:color w:val="000000" w:themeColor="text1"/>
          <w:sz w:val="20"/>
          <w:szCs w:val="20"/>
          <w:lang w:val="en-US"/>
        </w:rPr>
      </w:pP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OIE, World Organisation for Animal Health, definition animal welfare: </w:t>
      </w:r>
      <w:r w:rsidRPr="005F3125">
        <w:rPr>
          <w:rFonts w:ascii="Segoe UI" w:hAnsi="Segoe UI" w:cs="Segoe UI"/>
          <w:color w:val="000000" w:themeColor="text1"/>
          <w:sz w:val="20"/>
          <w:szCs w:val="20"/>
        </w:rPr>
        <w:t>http://www.oie.int/en/</w:t>
      </w:r>
      <w:r w:rsidRPr="005F3125">
        <w:rPr>
          <w:rFonts w:cs="Arial-BoldMT"/>
          <w:bCs/>
          <w:color w:val="000000" w:themeColor="text1"/>
          <w:sz w:val="20"/>
          <w:szCs w:val="20"/>
        </w:rPr>
        <w:t xml:space="preserve"> </w:t>
      </w:r>
      <w:r w:rsidR="005F3125" w:rsidRPr="005F3125">
        <w:rPr>
          <w:rFonts w:cs="Arial-BoldMT"/>
          <w:bCs/>
          <w:color w:val="000000" w:themeColor="text1"/>
          <w:sz w:val="20"/>
          <w:szCs w:val="20"/>
        </w:rPr>
        <w:t>(</w:t>
      </w:r>
      <w:r w:rsidRPr="005F3125">
        <w:rPr>
          <w:rFonts w:cs="Arial-BoldMT"/>
          <w:bCs/>
          <w:color w:val="000000" w:themeColor="text1"/>
          <w:sz w:val="20"/>
          <w:szCs w:val="20"/>
        </w:rPr>
        <w:t>accessed</w:t>
      </w:r>
      <w:r w:rsidR="008A7534" w:rsidRPr="005F3125">
        <w:rPr>
          <w:rFonts w:cs="Arial-BoldMT"/>
          <w:bCs/>
          <w:color w:val="000000" w:themeColor="text1"/>
          <w:sz w:val="20"/>
          <w:szCs w:val="20"/>
        </w:rPr>
        <w:t xml:space="preserve"> 23 May 2016</w:t>
      </w:r>
      <w:r w:rsidRPr="005F3125">
        <w:rPr>
          <w:rFonts w:cs="Arial-BoldMT"/>
          <w:bCs/>
          <w:color w:val="000000" w:themeColor="text1"/>
          <w:sz w:val="20"/>
          <w:szCs w:val="20"/>
        </w:rPr>
        <w:t>)</w:t>
      </w:r>
    </w:p>
    <w:p w:rsidR="005653BA" w:rsidRPr="005F3125" w:rsidRDefault="00E53059"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Pakula,</w:t>
      </w:r>
      <w:r>
        <w:rPr>
          <w:rFonts w:cs="Arial-BoldMT"/>
          <w:bCs/>
          <w:color w:val="000000" w:themeColor="text1"/>
          <w:sz w:val="20"/>
          <w:szCs w:val="20"/>
        </w:rPr>
        <w:t xml:space="preserve"> </w:t>
      </w:r>
      <w:r w:rsidRPr="005F3125">
        <w:rPr>
          <w:rFonts w:cs="Arial-BoldMT"/>
          <w:bCs/>
          <w:color w:val="000000" w:themeColor="text1"/>
          <w:sz w:val="20"/>
          <w:szCs w:val="20"/>
        </w:rPr>
        <w:t>M</w:t>
      </w:r>
      <w:r w:rsidR="005653BA" w:rsidRPr="005F3125">
        <w:rPr>
          <w:rFonts w:cs="Arial-BoldMT"/>
          <w:bCs/>
          <w:color w:val="000000" w:themeColor="text1"/>
          <w:sz w:val="20"/>
          <w:szCs w:val="20"/>
        </w:rPr>
        <w:t xml:space="preserve">. (May 2016) Public Accounts and Estimates Committee, </w:t>
      </w:r>
      <w:r w:rsidR="005653BA" w:rsidRPr="005F3125">
        <w:rPr>
          <w:rFonts w:cs="Arial-BoldMT"/>
          <w:bCs/>
          <w:i/>
          <w:color w:val="000000" w:themeColor="text1"/>
          <w:sz w:val="20"/>
          <w:szCs w:val="20"/>
        </w:rPr>
        <w:t>Inquiry into Budget Estimates 2016-17.</w:t>
      </w:r>
    </w:p>
    <w:p w:rsidR="002044B3" w:rsidRPr="005F3125" w:rsidRDefault="00057E3D" w:rsidP="004D060C">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Perna, S. Racing Integrity Commissioner. June 2015. </w:t>
      </w:r>
      <w:r w:rsidRPr="005F3125">
        <w:rPr>
          <w:rFonts w:cs="Arial-BoldMT"/>
          <w:bCs/>
          <w:i/>
          <w:color w:val="000000" w:themeColor="text1"/>
          <w:sz w:val="20"/>
          <w:szCs w:val="20"/>
        </w:rPr>
        <w:t xml:space="preserve">2015 Own Motion –Inquiry into live baiting in greyhound racing Victoria. </w:t>
      </w:r>
      <w:r w:rsidRPr="005F3125">
        <w:rPr>
          <w:rFonts w:cs="Arial-BoldMT"/>
          <w:bCs/>
          <w:color w:val="000000" w:themeColor="text1"/>
          <w:sz w:val="20"/>
          <w:szCs w:val="20"/>
        </w:rPr>
        <w:t>Report to Parliament of Victoria.</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i/>
          <w:color w:val="000000" w:themeColor="text1"/>
          <w:sz w:val="20"/>
          <w:szCs w:val="20"/>
        </w:rPr>
        <w:t xml:space="preserve">Prevention of Cruelty to Animals Act 1986 </w:t>
      </w:r>
      <w:r w:rsidRPr="005F3125">
        <w:rPr>
          <w:rFonts w:cs="Arial-BoldMT"/>
          <w:bCs/>
          <w:color w:val="000000" w:themeColor="text1"/>
          <w:sz w:val="20"/>
          <w:szCs w:val="20"/>
        </w:rPr>
        <w:t>(Authorised Version No. 088) 4 May 2016</w:t>
      </w:r>
    </w:p>
    <w:p w:rsidR="005653BA" w:rsidRPr="005F3125" w:rsidRDefault="005653BA" w:rsidP="005653BA">
      <w:pPr>
        <w:autoSpaceDE w:val="0"/>
        <w:autoSpaceDN w:val="0"/>
        <w:adjustRightInd w:val="0"/>
        <w:spacing w:after="240"/>
        <w:rPr>
          <w:rFonts w:cs="Arial-BoldMT"/>
          <w:bCs/>
          <w:color w:val="000000" w:themeColor="text1"/>
          <w:sz w:val="20"/>
          <w:szCs w:val="20"/>
        </w:rPr>
      </w:pPr>
      <w:r w:rsidRPr="005F3125">
        <w:rPr>
          <w:rFonts w:cs="Arial-BoldMT"/>
          <w:bCs/>
          <w:i/>
          <w:color w:val="000000" w:themeColor="text1"/>
          <w:sz w:val="20"/>
          <w:szCs w:val="20"/>
        </w:rPr>
        <w:t xml:space="preserve">Racing Act 1958 </w:t>
      </w:r>
      <w:r w:rsidRPr="005F3125">
        <w:rPr>
          <w:rFonts w:cs="Arial-BoldMT"/>
          <w:bCs/>
          <w:color w:val="000000" w:themeColor="text1"/>
          <w:sz w:val="20"/>
          <w:szCs w:val="20"/>
        </w:rPr>
        <w:t>(Authorised Version No. 170) 4 May 2016</w:t>
      </w:r>
    </w:p>
    <w:p w:rsidR="001B6965" w:rsidRPr="005F3125" w:rsidRDefault="001B6965" w:rsidP="005653BA">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Report of the Special Commission of Inquiry into the Greyhound Racing Industry in New South Wales, 2016, 4 volumes</w:t>
      </w:r>
    </w:p>
    <w:p w:rsidR="005653BA" w:rsidRPr="005F3125" w:rsidRDefault="005653BA" w:rsidP="005653BA">
      <w:pPr>
        <w:autoSpaceDE w:val="0"/>
        <w:autoSpaceDN w:val="0"/>
        <w:adjustRightInd w:val="0"/>
        <w:spacing w:after="240"/>
        <w:rPr>
          <w:rStyle w:val="Hyperlink"/>
          <w:rFonts w:cs="Arial-BoldMT"/>
          <w:bCs/>
          <w:color w:val="000000" w:themeColor="text1"/>
          <w:sz w:val="20"/>
          <w:szCs w:val="20"/>
        </w:rPr>
      </w:pPr>
      <w:r w:rsidRPr="005F3125">
        <w:rPr>
          <w:rFonts w:cs="Arial-BoldMT"/>
          <w:bCs/>
          <w:color w:val="000000" w:themeColor="text1"/>
          <w:sz w:val="20"/>
          <w:szCs w:val="20"/>
        </w:rPr>
        <w:t xml:space="preserve">RSPCA. </w:t>
      </w:r>
      <w:r w:rsidRPr="005F3125">
        <w:rPr>
          <w:rFonts w:cs="TT13FEo00"/>
          <w:i/>
          <w:color w:val="000000" w:themeColor="text1"/>
          <w:sz w:val="20"/>
          <w:szCs w:val="20"/>
        </w:rPr>
        <w:t>What are the animal welfare issues associated with greyhound racing in Australia? (April 2016)</w:t>
      </w:r>
      <w:r w:rsidRPr="005F3125">
        <w:rPr>
          <w:color w:val="000000" w:themeColor="text1"/>
          <w:sz w:val="20"/>
          <w:szCs w:val="20"/>
        </w:rPr>
        <w:t xml:space="preserve"> http://kb.rspca.org.au/What-are-the-animal-welfare-issues-associated-with-greyhound-racing-in-Australia_617.html</w:t>
      </w:r>
    </w:p>
    <w:p w:rsidR="005653BA" w:rsidRDefault="005653BA" w:rsidP="005653BA">
      <w:pPr>
        <w:autoSpaceDE w:val="0"/>
        <w:autoSpaceDN w:val="0"/>
        <w:adjustRightInd w:val="0"/>
        <w:spacing w:after="240"/>
        <w:rPr>
          <w:rStyle w:val="Hyperlink"/>
          <w:rFonts w:cs="Arial-BoldMT"/>
          <w:bCs/>
          <w:color w:val="000000" w:themeColor="text1"/>
          <w:sz w:val="20"/>
          <w:szCs w:val="20"/>
        </w:rPr>
      </w:pPr>
      <w:r w:rsidRPr="005F3125">
        <w:rPr>
          <w:color w:val="000000" w:themeColor="text1"/>
          <w:sz w:val="20"/>
          <w:szCs w:val="20"/>
        </w:rPr>
        <w:t>Select Committee on Greyhound Racing in NSW, First Report, March 2014</w:t>
      </w:r>
      <w:r w:rsidRPr="005F3125">
        <w:rPr>
          <w:rFonts w:cs="Arial-BoldMT"/>
          <w:bCs/>
          <w:color w:val="000000" w:themeColor="text1"/>
          <w:sz w:val="20"/>
          <w:szCs w:val="20"/>
        </w:rPr>
        <w:t xml:space="preserve">Sydney Morning Herald, (20 June 2012) </w:t>
      </w:r>
      <w:r w:rsidRPr="005F3125">
        <w:rPr>
          <w:rFonts w:cs="Arial"/>
          <w:i/>
          <w:color w:val="000000" w:themeColor="text1"/>
          <w:sz w:val="20"/>
          <w:szCs w:val="20"/>
        </w:rPr>
        <w:t>This is no slumdog</w:t>
      </w:r>
      <w:r w:rsidRPr="005F3125">
        <w:rPr>
          <w:rFonts w:cs="Arial-BoldMT"/>
          <w:bCs/>
          <w:color w:val="000000" w:themeColor="text1"/>
          <w:sz w:val="20"/>
          <w:szCs w:val="20"/>
        </w:rPr>
        <w:t xml:space="preserve"> http://www.smh.com.au/money/investing/this-is-no-slumdog-20120618-20kqg.html</w:t>
      </w:r>
      <w:r w:rsidRPr="005F3125">
        <w:rPr>
          <w:rStyle w:val="Hyperlink"/>
          <w:rFonts w:cs="Arial-BoldMT"/>
          <w:bCs/>
          <w:color w:val="000000" w:themeColor="text1"/>
          <w:sz w:val="20"/>
          <w:szCs w:val="20"/>
        </w:rPr>
        <w:t xml:space="preserve"> (accessed</w:t>
      </w:r>
      <w:r w:rsidR="008A7534" w:rsidRPr="005F3125">
        <w:rPr>
          <w:rStyle w:val="Hyperlink"/>
          <w:rFonts w:cs="Arial-BoldMT"/>
          <w:bCs/>
          <w:color w:val="000000" w:themeColor="text1"/>
          <w:sz w:val="20"/>
          <w:szCs w:val="20"/>
        </w:rPr>
        <w:t xml:space="preserve"> 23 May 2016</w:t>
      </w:r>
      <w:r w:rsidRPr="005F3125">
        <w:rPr>
          <w:rStyle w:val="Hyperlink"/>
          <w:rFonts w:cs="Arial-BoldMT"/>
          <w:bCs/>
          <w:color w:val="000000" w:themeColor="text1"/>
          <w:sz w:val="20"/>
          <w:szCs w:val="20"/>
        </w:rPr>
        <w:t>).</w:t>
      </w:r>
    </w:p>
    <w:p w:rsidR="001A1929" w:rsidRDefault="001A1929" w:rsidP="005653BA">
      <w:pPr>
        <w:autoSpaceDE w:val="0"/>
        <w:autoSpaceDN w:val="0"/>
        <w:adjustRightInd w:val="0"/>
        <w:spacing w:after="240"/>
        <w:rPr>
          <w:rStyle w:val="Hyperlink"/>
          <w:rFonts w:cs="Arial-BoldMT"/>
          <w:bCs/>
          <w:color w:val="000000" w:themeColor="text1"/>
          <w:sz w:val="20"/>
          <w:szCs w:val="20"/>
        </w:rPr>
      </w:pPr>
      <w:r w:rsidRPr="001A1929">
        <w:rPr>
          <w:rStyle w:val="Hyperlink"/>
          <w:rFonts w:cs="Arial-BoldMT"/>
          <w:bCs/>
          <w:color w:val="000000" w:themeColor="text1"/>
          <w:sz w:val="20"/>
          <w:szCs w:val="20"/>
        </w:rPr>
        <w:t xml:space="preserve">Serpell, J. A. (2002). </w:t>
      </w:r>
      <w:r w:rsidRPr="001A1929">
        <w:rPr>
          <w:rStyle w:val="Hyperlink"/>
          <w:rFonts w:cs="Arial-BoldMT"/>
          <w:bCs/>
          <w:i/>
          <w:color w:val="000000" w:themeColor="text1"/>
          <w:sz w:val="20"/>
          <w:szCs w:val="20"/>
        </w:rPr>
        <w:t xml:space="preserve">Anthropomorphism and anthropomorphic selection beyond the “cute response.” </w:t>
      </w:r>
      <w:r w:rsidRPr="001A1929">
        <w:rPr>
          <w:rStyle w:val="Hyperlink"/>
          <w:rFonts w:cs="Arial-BoldMT"/>
          <w:bCs/>
          <w:color w:val="000000" w:themeColor="text1"/>
          <w:sz w:val="20"/>
          <w:szCs w:val="20"/>
        </w:rPr>
        <w:t>Society and Animals: Journal of Human–Animal Studies, 10(4), 83–100.</w:t>
      </w:r>
    </w:p>
    <w:p w:rsidR="00AE2D44" w:rsidRPr="00AE2D44" w:rsidRDefault="00AE2D44" w:rsidP="005653BA">
      <w:pPr>
        <w:autoSpaceDE w:val="0"/>
        <w:autoSpaceDN w:val="0"/>
        <w:adjustRightInd w:val="0"/>
        <w:spacing w:after="240"/>
        <w:rPr>
          <w:rStyle w:val="Hyperlink"/>
          <w:rFonts w:cs="Arial-BoldMT"/>
          <w:bCs/>
          <w:color w:val="000000" w:themeColor="text1"/>
          <w:sz w:val="20"/>
          <w:szCs w:val="20"/>
        </w:rPr>
      </w:pPr>
      <w:r>
        <w:rPr>
          <w:rStyle w:val="Hyperlink"/>
          <w:rFonts w:cs="Arial-BoldMT"/>
          <w:bCs/>
          <w:color w:val="000000" w:themeColor="text1"/>
          <w:sz w:val="20"/>
          <w:szCs w:val="20"/>
        </w:rPr>
        <w:t xml:space="preserve">Suddendorf, T. Busby, J. </w:t>
      </w:r>
      <w:r w:rsidR="00376E8D" w:rsidRPr="001A1929">
        <w:rPr>
          <w:rStyle w:val="Hyperlink"/>
          <w:rFonts w:cs="Arial-BoldMT"/>
          <w:bCs/>
          <w:i/>
          <w:color w:val="000000" w:themeColor="text1"/>
          <w:sz w:val="20"/>
          <w:szCs w:val="20"/>
        </w:rPr>
        <w:t xml:space="preserve">Mental Time Travel in Animals. </w:t>
      </w:r>
      <w:r>
        <w:rPr>
          <w:rStyle w:val="Hyperlink"/>
          <w:rFonts w:cs="Arial-BoldMT"/>
          <w:bCs/>
          <w:color w:val="000000" w:themeColor="text1"/>
          <w:sz w:val="20"/>
          <w:szCs w:val="20"/>
        </w:rPr>
        <w:t>Trends in Cognitive Sciences. Sept 2003. Vol 7(9): 391-396.</w:t>
      </w:r>
    </w:p>
    <w:p w:rsidR="00D942A0" w:rsidRPr="001A1929" w:rsidRDefault="00D942A0" w:rsidP="005653BA">
      <w:pPr>
        <w:autoSpaceDE w:val="0"/>
        <w:autoSpaceDN w:val="0"/>
        <w:adjustRightInd w:val="0"/>
        <w:spacing w:after="240"/>
        <w:rPr>
          <w:rFonts w:cs="Arial-BoldMT"/>
          <w:bCs/>
          <w:i/>
          <w:color w:val="000000" w:themeColor="text1"/>
          <w:sz w:val="20"/>
          <w:szCs w:val="20"/>
        </w:rPr>
      </w:pPr>
      <w:r>
        <w:rPr>
          <w:rStyle w:val="Hyperlink"/>
          <w:rFonts w:cs="Arial-BoldMT"/>
          <w:bCs/>
          <w:color w:val="000000" w:themeColor="text1"/>
          <w:sz w:val="20"/>
          <w:szCs w:val="20"/>
        </w:rPr>
        <w:lastRenderedPageBreak/>
        <w:t xml:space="preserve">The Daily Telegraph. (8 July 2016) </w:t>
      </w:r>
      <w:r>
        <w:rPr>
          <w:rStyle w:val="Hyperlink"/>
          <w:rFonts w:cs="Arial-BoldMT"/>
          <w:bCs/>
          <w:i/>
          <w:color w:val="000000" w:themeColor="text1"/>
          <w:sz w:val="20"/>
          <w:szCs w:val="20"/>
        </w:rPr>
        <w:t>Greyhound racing ban: Sad day for battlers’ sport.</w:t>
      </w:r>
    </w:p>
    <w:p w:rsidR="002044B3" w:rsidRPr="005F3125" w:rsidRDefault="00057E3D" w:rsidP="004D060C">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Victorian Responsible Gambling Foundation website. </w:t>
      </w:r>
      <w:r w:rsidRPr="005F3125">
        <w:rPr>
          <w:rFonts w:cs="Arial"/>
          <w:bCs/>
          <w:i/>
          <w:color w:val="000000" w:themeColor="text1"/>
          <w:kern w:val="36"/>
          <w:sz w:val="20"/>
          <w:szCs w:val="20"/>
        </w:rPr>
        <w:t>Greyhound Racing Victoria and Harness Racing Victoria report increases in betting turnover</w:t>
      </w:r>
      <w:r w:rsidRPr="005F3125">
        <w:rPr>
          <w:rFonts w:cs="Arial-BoldMT"/>
          <w:bCs/>
          <w:color w:val="000000" w:themeColor="text1"/>
          <w:sz w:val="20"/>
          <w:szCs w:val="20"/>
        </w:rPr>
        <w:t xml:space="preserve"> (2015) https://www.responsiblegambling.vic.gov.au/information-and-resources/</w:t>
      </w:r>
      <w:r w:rsidR="00D05C1A" w:rsidRPr="005F3125">
        <w:rPr>
          <w:rStyle w:val="Hyperlink"/>
          <w:rFonts w:cs="Arial-BoldMT"/>
          <w:bCs/>
          <w:color w:val="000000" w:themeColor="text1"/>
          <w:sz w:val="20"/>
          <w:szCs w:val="20"/>
        </w:rPr>
        <w:t xml:space="preserve"> (accessed</w:t>
      </w:r>
      <w:r w:rsidR="008A7534" w:rsidRPr="005F3125">
        <w:rPr>
          <w:rStyle w:val="Hyperlink"/>
          <w:rFonts w:cs="Arial-BoldMT"/>
          <w:bCs/>
          <w:color w:val="000000" w:themeColor="text1"/>
          <w:sz w:val="20"/>
          <w:szCs w:val="20"/>
        </w:rPr>
        <w:t xml:space="preserve"> 23 May 2016</w:t>
      </w:r>
      <w:r w:rsidR="00D05C1A" w:rsidRPr="005F3125">
        <w:rPr>
          <w:rStyle w:val="Hyperlink"/>
          <w:rFonts w:cs="Arial-BoldMT"/>
          <w:bCs/>
          <w:color w:val="000000" w:themeColor="text1"/>
          <w:sz w:val="20"/>
          <w:szCs w:val="20"/>
        </w:rPr>
        <w:t>)</w:t>
      </w:r>
      <w:r w:rsidR="005F3125" w:rsidRPr="005F3125">
        <w:rPr>
          <w:rStyle w:val="Hyperlink"/>
          <w:rFonts w:cs="Arial-BoldMT"/>
          <w:bCs/>
          <w:color w:val="000000" w:themeColor="text1"/>
          <w:sz w:val="20"/>
          <w:szCs w:val="20"/>
        </w:rPr>
        <w:t>.</w:t>
      </w:r>
    </w:p>
    <w:p w:rsidR="002044B3" w:rsidRPr="005F3125" w:rsidRDefault="00057E3D" w:rsidP="004D060C">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 xml:space="preserve">Victorian Racing Industry. (12 October 2012) </w:t>
      </w:r>
      <w:r w:rsidRPr="005F3125">
        <w:rPr>
          <w:rFonts w:cs="Arial-BoldMT"/>
          <w:bCs/>
          <w:i/>
          <w:color w:val="000000" w:themeColor="text1"/>
          <w:sz w:val="20"/>
          <w:szCs w:val="20"/>
        </w:rPr>
        <w:t>Submission to Inquiry into Local Economic Development Initiatives in Victoria.</w:t>
      </w:r>
    </w:p>
    <w:p w:rsidR="002044B3" w:rsidRPr="005F3125" w:rsidRDefault="00057E3D" w:rsidP="004D060C">
      <w:pPr>
        <w:autoSpaceDE w:val="0"/>
        <w:autoSpaceDN w:val="0"/>
        <w:adjustRightInd w:val="0"/>
        <w:spacing w:after="240"/>
        <w:rPr>
          <w:rFonts w:cs="Arial-BoldMT"/>
          <w:bCs/>
          <w:color w:val="000000" w:themeColor="text1"/>
          <w:sz w:val="20"/>
          <w:szCs w:val="20"/>
        </w:rPr>
      </w:pPr>
      <w:r w:rsidRPr="005F3125">
        <w:rPr>
          <w:rFonts w:cs="Arial-BoldMT"/>
          <w:bCs/>
          <w:color w:val="000000" w:themeColor="text1"/>
          <w:sz w:val="20"/>
          <w:szCs w:val="20"/>
        </w:rPr>
        <w:t>Victorian Government Gazette, (17 March 2011), p</w:t>
      </w:r>
      <w:r w:rsidR="00DE6206" w:rsidRPr="005F3125">
        <w:rPr>
          <w:rFonts w:cs="Arial-BoldMT"/>
          <w:bCs/>
          <w:color w:val="000000" w:themeColor="text1"/>
          <w:sz w:val="20"/>
          <w:szCs w:val="20"/>
        </w:rPr>
        <w:t>a</w:t>
      </w:r>
      <w:r w:rsidRPr="005F3125">
        <w:rPr>
          <w:rFonts w:cs="Arial-BoldMT"/>
          <w:bCs/>
          <w:color w:val="000000" w:themeColor="text1"/>
          <w:sz w:val="20"/>
          <w:szCs w:val="20"/>
        </w:rPr>
        <w:t>ge 637, gazette G11</w:t>
      </w:r>
    </w:p>
    <w:p w:rsidR="002044B3" w:rsidRPr="005F3125" w:rsidRDefault="00057E3D" w:rsidP="004D060C">
      <w:pPr>
        <w:autoSpaceDE w:val="0"/>
        <w:autoSpaceDN w:val="0"/>
        <w:adjustRightInd w:val="0"/>
        <w:spacing w:after="240"/>
        <w:rPr>
          <w:rFonts w:cs="Arial-BoldMT"/>
          <w:bCs/>
          <w:i/>
          <w:color w:val="000000" w:themeColor="text1"/>
          <w:sz w:val="20"/>
          <w:szCs w:val="20"/>
        </w:rPr>
      </w:pPr>
      <w:r w:rsidRPr="005F3125">
        <w:rPr>
          <w:rFonts w:cs="Arial-BoldMT"/>
          <w:bCs/>
          <w:color w:val="000000" w:themeColor="text1"/>
          <w:sz w:val="20"/>
          <w:szCs w:val="20"/>
        </w:rPr>
        <w:t>Victorian Government</w:t>
      </w:r>
      <w:r w:rsidR="00B17D58">
        <w:rPr>
          <w:rFonts w:cs="Arial-BoldMT"/>
          <w:bCs/>
          <w:color w:val="000000" w:themeColor="text1"/>
          <w:sz w:val="20"/>
          <w:szCs w:val="20"/>
        </w:rPr>
        <w:t xml:space="preserve"> (1998)</w:t>
      </w:r>
      <w:r w:rsidRPr="005F3125">
        <w:rPr>
          <w:rFonts w:cs="Arial-BoldMT"/>
          <w:bCs/>
          <w:color w:val="000000" w:themeColor="text1"/>
          <w:sz w:val="20"/>
          <w:szCs w:val="20"/>
        </w:rPr>
        <w:t xml:space="preserve"> </w:t>
      </w:r>
      <w:r w:rsidRPr="005F3125">
        <w:rPr>
          <w:rFonts w:cs="Arial-BoldMT"/>
          <w:bCs/>
          <w:i/>
          <w:color w:val="000000" w:themeColor="text1"/>
          <w:sz w:val="20"/>
          <w:szCs w:val="20"/>
        </w:rPr>
        <w:t xml:space="preserve">Code of Practice for the Operation of Greyhound Establishments </w:t>
      </w:r>
    </w:p>
    <w:p w:rsidR="005F3125" w:rsidRDefault="000953A7" w:rsidP="004D060C">
      <w:pPr>
        <w:autoSpaceDE w:val="0"/>
        <w:autoSpaceDN w:val="0"/>
        <w:adjustRightInd w:val="0"/>
        <w:spacing w:after="240"/>
        <w:rPr>
          <w:color w:val="000000" w:themeColor="text1"/>
          <w:sz w:val="20"/>
          <w:szCs w:val="20"/>
        </w:rPr>
      </w:pPr>
      <w:r w:rsidRPr="005F3125">
        <w:rPr>
          <w:color w:val="000000" w:themeColor="text1"/>
          <w:sz w:val="20"/>
          <w:szCs w:val="20"/>
        </w:rPr>
        <w:t xml:space="preserve">Wilberforce Society (Draft Policy Paper) (2011), </w:t>
      </w:r>
      <w:r w:rsidRPr="005F3125">
        <w:rPr>
          <w:i/>
          <w:color w:val="000000" w:themeColor="text1"/>
          <w:sz w:val="20"/>
          <w:szCs w:val="20"/>
        </w:rPr>
        <w:t>Regulation and Reform of the Greyhound Racing Industry</w:t>
      </w:r>
      <w:r w:rsidRPr="005F3125">
        <w:rPr>
          <w:color w:val="000000" w:themeColor="text1"/>
          <w:sz w:val="20"/>
          <w:szCs w:val="20"/>
        </w:rPr>
        <w:t>.</w:t>
      </w:r>
    </w:p>
    <w:p w:rsidR="005F3125" w:rsidRDefault="005F3125">
      <w:pPr>
        <w:rPr>
          <w:color w:val="000000" w:themeColor="text1"/>
          <w:sz w:val="20"/>
          <w:szCs w:val="20"/>
        </w:rPr>
      </w:pPr>
      <w:r>
        <w:rPr>
          <w:color w:val="000000" w:themeColor="text1"/>
          <w:sz w:val="20"/>
          <w:szCs w:val="20"/>
        </w:rPr>
        <w:br w:type="page"/>
      </w:r>
    </w:p>
    <w:p w:rsidR="00EE3E62" w:rsidRPr="008D7690" w:rsidRDefault="00F86DB1" w:rsidP="005F3125">
      <w:pPr>
        <w:pStyle w:val="Heading1"/>
      </w:pPr>
      <w:bookmarkStart w:id="176" w:name="_Toc456126073"/>
      <w:bookmarkStart w:id="177" w:name="_Toc469529191"/>
      <w:bookmarkStart w:id="178" w:name="_Toc477190215"/>
      <w:r>
        <w:lastRenderedPageBreak/>
        <w:t>Appendices</w:t>
      </w:r>
      <w:bookmarkEnd w:id="176"/>
      <w:bookmarkEnd w:id="177"/>
      <w:bookmarkEnd w:id="178"/>
    </w:p>
    <w:p w:rsidR="0093786B" w:rsidRDefault="0093786B" w:rsidP="00981934">
      <w:pPr>
        <w:numPr>
          <w:ilvl w:val="0"/>
          <w:numId w:val="7"/>
        </w:numPr>
        <w:tabs>
          <w:tab w:val="num" w:pos="360"/>
        </w:tabs>
        <w:ind w:left="284" w:hanging="284"/>
        <w:rPr>
          <w:i/>
        </w:rPr>
      </w:pPr>
      <w:r>
        <w:rPr>
          <w:i/>
        </w:rPr>
        <w:t>Legislative Framework</w:t>
      </w:r>
    </w:p>
    <w:p w:rsidR="0093786B" w:rsidRDefault="0093786B" w:rsidP="007046FB">
      <w:pPr>
        <w:ind w:left="284" w:hanging="284"/>
        <w:rPr>
          <w:i/>
        </w:rPr>
      </w:pPr>
    </w:p>
    <w:p w:rsidR="0093786B" w:rsidRDefault="0093786B" w:rsidP="00981934">
      <w:pPr>
        <w:pStyle w:val="ListParagraph"/>
        <w:numPr>
          <w:ilvl w:val="0"/>
          <w:numId w:val="7"/>
        </w:numPr>
        <w:ind w:left="284" w:hanging="284"/>
        <w:rPr>
          <w:i/>
        </w:rPr>
      </w:pPr>
      <w:r>
        <w:rPr>
          <w:i/>
        </w:rPr>
        <w:t>Lack of content and coverage of current code</w:t>
      </w:r>
    </w:p>
    <w:p w:rsidR="00E639F0" w:rsidRPr="00E639F0" w:rsidRDefault="00E639F0" w:rsidP="00E639F0">
      <w:pPr>
        <w:pStyle w:val="ListParagraph"/>
        <w:rPr>
          <w:i/>
        </w:rPr>
      </w:pPr>
    </w:p>
    <w:p w:rsidR="00E639F0" w:rsidRDefault="00E639F0" w:rsidP="00E639F0">
      <w:pPr>
        <w:pStyle w:val="ListParagraph"/>
        <w:numPr>
          <w:ilvl w:val="0"/>
          <w:numId w:val="7"/>
        </w:numPr>
        <w:ind w:left="284" w:hanging="284"/>
        <w:rPr>
          <w:i/>
        </w:rPr>
      </w:pPr>
      <w:r w:rsidRPr="00E639F0">
        <w:rPr>
          <w:i/>
        </w:rPr>
        <w:t>Salaries and charge out rates used for estimating time costs</w:t>
      </w:r>
    </w:p>
    <w:p w:rsidR="0093786B" w:rsidRPr="007046FB" w:rsidRDefault="0093786B" w:rsidP="007046FB">
      <w:pPr>
        <w:rPr>
          <w:i/>
        </w:rPr>
      </w:pPr>
    </w:p>
    <w:p w:rsidR="003D6D1D" w:rsidRDefault="00F86DB1" w:rsidP="00EE3E62">
      <w:pPr>
        <w:numPr>
          <w:ilvl w:val="0"/>
          <w:numId w:val="7"/>
        </w:numPr>
        <w:tabs>
          <w:tab w:val="num" w:pos="360"/>
        </w:tabs>
        <w:ind w:left="284" w:hanging="284"/>
        <w:rPr>
          <w:i/>
        </w:rPr>
      </w:pPr>
      <w:r w:rsidRPr="00F86DB1">
        <w:rPr>
          <w:i/>
        </w:rPr>
        <w:t xml:space="preserve">Estimation of quantifiable costs </w:t>
      </w:r>
      <w:r w:rsidR="00CF728E">
        <w:rPr>
          <w:i/>
        </w:rPr>
        <w:t xml:space="preserve">and dogs affected </w:t>
      </w:r>
      <w:r w:rsidRPr="00F86DB1">
        <w:rPr>
          <w:i/>
        </w:rPr>
        <w:t xml:space="preserve">under </w:t>
      </w:r>
      <w:r>
        <w:rPr>
          <w:i/>
        </w:rPr>
        <w:t>Options 1</w:t>
      </w:r>
      <w:r w:rsidR="00E639F0">
        <w:rPr>
          <w:i/>
        </w:rPr>
        <w:t xml:space="preserve"> to 6</w:t>
      </w:r>
      <w:r w:rsidRPr="00F86DB1">
        <w:rPr>
          <w:i/>
        </w:rPr>
        <w:t xml:space="preserve"> </w:t>
      </w:r>
    </w:p>
    <w:p w:rsidR="003D6D1D" w:rsidRDefault="003D6D1D" w:rsidP="003D6D1D">
      <w:pPr>
        <w:pStyle w:val="ListParagraph"/>
        <w:rPr>
          <w:i/>
        </w:rPr>
      </w:pPr>
    </w:p>
    <w:p w:rsidR="00EE3E62" w:rsidRDefault="003D6D1D" w:rsidP="00EE3E62">
      <w:pPr>
        <w:numPr>
          <w:ilvl w:val="0"/>
          <w:numId w:val="7"/>
        </w:numPr>
        <w:tabs>
          <w:tab w:val="num" w:pos="360"/>
        </w:tabs>
        <w:ind w:left="284" w:hanging="284"/>
        <w:rPr>
          <w:i/>
        </w:rPr>
      </w:pPr>
      <w:r w:rsidRPr="003D6D1D">
        <w:rPr>
          <w:i/>
        </w:rPr>
        <w:t>Comparative legislation/industry codes relating to greyhound welfare – Victoria and other jurisdictions</w:t>
      </w:r>
    </w:p>
    <w:p w:rsidR="00447CE9" w:rsidRDefault="00447CE9" w:rsidP="00447CE9">
      <w:pPr>
        <w:rPr>
          <w:i/>
        </w:rPr>
      </w:pPr>
    </w:p>
    <w:p w:rsidR="00447CE9" w:rsidRDefault="00447CE9" w:rsidP="00447CE9">
      <w:pPr>
        <w:numPr>
          <w:ilvl w:val="0"/>
          <w:numId w:val="7"/>
        </w:numPr>
        <w:tabs>
          <w:tab w:val="left" w:pos="284"/>
        </w:tabs>
        <w:ind w:left="0" w:firstLine="0"/>
        <w:rPr>
          <w:i/>
        </w:rPr>
      </w:pPr>
      <w:r w:rsidRPr="00447CE9">
        <w:rPr>
          <w:i/>
        </w:rPr>
        <w:t>Proposed standards costed and not costed</w:t>
      </w:r>
    </w:p>
    <w:p w:rsidR="00D13678" w:rsidRDefault="00D13678" w:rsidP="00CD18E5">
      <w:pPr>
        <w:autoSpaceDE w:val="0"/>
        <w:autoSpaceDN w:val="0"/>
        <w:adjustRightInd w:val="0"/>
      </w:pPr>
    </w:p>
    <w:p w:rsidR="00BF0EB8" w:rsidRDefault="00BF0EB8">
      <w:r>
        <w:br w:type="page"/>
      </w:r>
    </w:p>
    <w:p w:rsidR="00313CBE" w:rsidRDefault="00D13678" w:rsidP="005F3125">
      <w:pPr>
        <w:pStyle w:val="Heading1"/>
      </w:pPr>
      <w:bookmarkStart w:id="179" w:name="_Toc456126074"/>
      <w:bookmarkStart w:id="180" w:name="_Toc469529192"/>
      <w:bookmarkStart w:id="181" w:name="_Toc477190216"/>
      <w:r w:rsidRPr="00BF0EB8">
        <w:lastRenderedPageBreak/>
        <w:t>Appendix 1</w:t>
      </w:r>
      <w:r w:rsidR="00BF0EB8" w:rsidRPr="00BF0EB8">
        <w:t xml:space="preserve">: </w:t>
      </w:r>
      <w:r w:rsidR="00313CBE" w:rsidRPr="00BF0EB8">
        <w:t>Legislative framework</w:t>
      </w:r>
      <w:bookmarkEnd w:id="179"/>
      <w:bookmarkEnd w:id="180"/>
      <w:bookmarkEnd w:id="181"/>
    </w:p>
    <w:p w:rsidR="00313CBE" w:rsidRPr="005F3BA9" w:rsidRDefault="00BF0EB8" w:rsidP="00987B18">
      <w:pPr>
        <w:pStyle w:val="Heading2"/>
      </w:pPr>
      <w:bookmarkStart w:id="182" w:name="_Toc456126075"/>
      <w:bookmarkStart w:id="183" w:name="_Toc469529193"/>
      <w:bookmarkStart w:id="184" w:name="_Toc477190217"/>
      <w:r w:rsidRPr="005F3BA9">
        <w:t xml:space="preserve">A1.1 </w:t>
      </w:r>
      <w:r w:rsidR="00313CBE" w:rsidRPr="005F3BA9">
        <w:t>Prevention of Cruelty to Animals Act 1986 (POCTAA)</w:t>
      </w:r>
      <w:bookmarkEnd w:id="182"/>
      <w:bookmarkEnd w:id="183"/>
      <w:bookmarkEnd w:id="184"/>
    </w:p>
    <w:p w:rsidR="00313CBE" w:rsidRDefault="00313CBE" w:rsidP="00313CBE">
      <w:pPr>
        <w:jc w:val="both"/>
      </w:pPr>
      <w:r>
        <w:t>The purpose of the POCTAA</w:t>
      </w:r>
      <w:r w:rsidR="00FB57A1" w:rsidRPr="004D060C">
        <w:rPr>
          <w:rStyle w:val="FootnoteReference"/>
          <w:color w:val="000000" w:themeColor="text1"/>
        </w:rPr>
        <w:footnoteReference w:id="154"/>
      </w:r>
      <w:r>
        <w:t xml:space="preserve"> is to prevent cruelty to animals, encourage considerate treatment of animals and improve the level of community awareness about the prevention of cruelty. It has provisions for none mandatory codes of practice. However, the Code of Practice for the Private Keeping of Dogs is not mandatory under the POCTAA.</w:t>
      </w:r>
    </w:p>
    <w:p w:rsidR="00313CBE" w:rsidRDefault="00313CBE" w:rsidP="00313CBE">
      <w:pPr>
        <w:jc w:val="both"/>
      </w:pPr>
    </w:p>
    <w:p w:rsidR="00313CBE" w:rsidRDefault="00313CBE" w:rsidP="00313CBE">
      <w:pPr>
        <w:jc w:val="both"/>
      </w:pPr>
      <w:r>
        <w:t>Part 2 of the Act relates specifically to the protection of animals and defines animal cruelty, aggravated cruelty and sets out offences for deliberate cruelty, ill-treatment, causing unnecessary or unreasonable pain or suffering and abandonment. It also creates specific offences for people involved or permitting baiting and luring, or a person intentionally or recklessly allowing an animal to breed an animal with a heritable defect and limiting the sale or disposal without full disclosure.</w:t>
      </w:r>
    </w:p>
    <w:p w:rsidR="00313CBE" w:rsidRPr="00F73C99" w:rsidRDefault="00313CBE" w:rsidP="00BD28C4"/>
    <w:p w:rsidR="00313CBE" w:rsidRPr="005F3BA9" w:rsidRDefault="00BF0EB8" w:rsidP="00987B18">
      <w:pPr>
        <w:pStyle w:val="Heading2"/>
      </w:pPr>
      <w:bookmarkStart w:id="185" w:name="_Toc456126076"/>
      <w:bookmarkStart w:id="186" w:name="_Toc469529194"/>
      <w:bookmarkStart w:id="187" w:name="_Toc477190218"/>
      <w:r w:rsidRPr="005F3BA9">
        <w:t xml:space="preserve">A1.2 </w:t>
      </w:r>
      <w:r w:rsidR="00313CBE" w:rsidRPr="005F3BA9">
        <w:t>Domestic Animals Act 1994 (DAA)</w:t>
      </w:r>
      <w:bookmarkEnd w:id="185"/>
      <w:bookmarkEnd w:id="186"/>
      <w:bookmarkEnd w:id="187"/>
    </w:p>
    <w:p w:rsidR="00313CBE" w:rsidRDefault="00313CBE" w:rsidP="00313CBE">
      <w:pPr>
        <w:jc w:val="both"/>
        <w:rPr>
          <w:rFonts w:cs="HelveticaNeueLT Std Lt"/>
        </w:rPr>
      </w:pPr>
      <w:r>
        <w:rPr>
          <w:rFonts w:cs="HelveticaNeueLT Std Lt"/>
        </w:rPr>
        <w:t>T</w:t>
      </w:r>
      <w:r w:rsidRPr="00070EEF">
        <w:rPr>
          <w:rFonts w:cs="HelveticaNeueLT Std Lt"/>
        </w:rPr>
        <w:t xml:space="preserve">he </w:t>
      </w:r>
      <w:r>
        <w:rPr>
          <w:rFonts w:cs="HelveticaNeueLT Std Lt"/>
        </w:rPr>
        <w:t>DAA</w:t>
      </w:r>
      <w:r w:rsidR="00FB57A1" w:rsidRPr="004D060C">
        <w:rPr>
          <w:rStyle w:val="FootnoteReference"/>
          <w:color w:val="000000" w:themeColor="text1"/>
        </w:rPr>
        <w:footnoteReference w:id="155"/>
      </w:r>
      <w:r>
        <w:rPr>
          <w:rFonts w:cs="HelveticaNeueLT Std Lt"/>
        </w:rPr>
        <w:t xml:space="preserve"> is the </w:t>
      </w:r>
      <w:r w:rsidRPr="00070EEF">
        <w:rPr>
          <w:rFonts w:cs="HelveticaNeueLT Std Lt"/>
        </w:rPr>
        <w:t xml:space="preserve">main piece of legislation that relates to dog ownership in Victoria. It provides for the general care, registration, and identification requirements of dogs; the registration and minimum standards of ‘Domestic Animal Businesses’ (DABs); and authorises enforcement of the Act. </w:t>
      </w:r>
    </w:p>
    <w:p w:rsidR="00313CBE" w:rsidRDefault="00313CBE" w:rsidP="00313CBE">
      <w:pPr>
        <w:jc w:val="both"/>
        <w:rPr>
          <w:rFonts w:cs="HelveticaNeueLT Std Lt"/>
        </w:rPr>
      </w:pPr>
    </w:p>
    <w:p w:rsidR="00313CBE" w:rsidRDefault="00313CBE" w:rsidP="00313CBE">
      <w:pPr>
        <w:jc w:val="both"/>
        <w:rPr>
          <w:rFonts w:cs="HelveticaNeueLT Std Lt"/>
        </w:rPr>
      </w:pPr>
      <w:r>
        <w:rPr>
          <w:rFonts w:cs="HelveticaNeueLT Std Lt"/>
        </w:rPr>
        <w:t xml:space="preserve">Under </w:t>
      </w:r>
      <w:r w:rsidRPr="00BD0969">
        <w:rPr>
          <w:rFonts w:cs="HelveticaNeueLT Std Lt"/>
          <w:i/>
        </w:rPr>
        <w:t>section 5</w:t>
      </w:r>
      <w:r>
        <w:rPr>
          <w:rFonts w:cs="HelveticaNeueLT Std Lt"/>
        </w:rPr>
        <w:t xml:space="preserve"> of the DAA the Governor in Council may exempt a class of animal from provisions within the Act. An order, dated 17 March 2011, exempts greyhounds registered with GRV from the operation of Division 1 or Part 2 of the DAA; the requirements for registration with local council</w:t>
      </w:r>
      <w:r w:rsidRPr="004D060C">
        <w:rPr>
          <w:rFonts w:cs="HelveticaNeueLT Std Lt"/>
          <w:color w:val="000000" w:themeColor="text1"/>
        </w:rPr>
        <w:t>.</w:t>
      </w:r>
      <w:r w:rsidRPr="004D060C">
        <w:rPr>
          <w:rStyle w:val="FootnoteReference"/>
          <w:rFonts w:cs="HelveticaNeueLT Std Lt"/>
          <w:color w:val="000000" w:themeColor="text1"/>
        </w:rPr>
        <w:footnoteReference w:id="156"/>
      </w:r>
      <w:r w:rsidRPr="004D060C">
        <w:rPr>
          <w:rFonts w:cs="HelveticaNeueLT Std Lt"/>
          <w:color w:val="000000" w:themeColor="text1"/>
        </w:rPr>
        <w:t xml:space="preserve"> </w:t>
      </w:r>
    </w:p>
    <w:p w:rsidR="00313CBE" w:rsidRDefault="00313CBE" w:rsidP="00313CBE">
      <w:pPr>
        <w:jc w:val="both"/>
        <w:rPr>
          <w:rFonts w:cs="HelveticaNeueLT Std Lt"/>
        </w:rPr>
      </w:pPr>
    </w:p>
    <w:p w:rsidR="00313CBE" w:rsidRPr="00CE6530" w:rsidRDefault="00313CBE" w:rsidP="00313CBE">
      <w:pPr>
        <w:jc w:val="both"/>
        <w:rPr>
          <w:rFonts w:cs="HelveticaNeueLT Std Lt"/>
        </w:rPr>
      </w:pPr>
      <w:r w:rsidRPr="00BD0969">
        <w:rPr>
          <w:rFonts w:cs="HelveticaNeueLT Std Lt"/>
          <w:i/>
        </w:rPr>
        <w:t>Section 3</w:t>
      </w:r>
      <w:r>
        <w:rPr>
          <w:rFonts w:cs="HelveticaNeueLT Std Lt"/>
        </w:rPr>
        <w:t xml:space="preserve"> of the DAA defines ‘greyhound keeping’, in relation to GRV greyhounds. Greyhound keeping includes breeding, rearing, training, breaking, racing, boarding or any other activity that involves the care of a GRV greyhound; ensuring that every stage of the lifestyle and every operator type are covered by the mandatory ‘</w:t>
      </w:r>
      <w:r>
        <w:rPr>
          <w:rFonts w:cs="HelveticaNeueLT Std Lt"/>
          <w:i/>
        </w:rPr>
        <w:t>C</w:t>
      </w:r>
      <w:r w:rsidRPr="00BD0969">
        <w:rPr>
          <w:rFonts w:cs="HelveticaNeueLT Std Lt"/>
          <w:i/>
        </w:rPr>
        <w:t>ode of practice</w:t>
      </w:r>
      <w:r>
        <w:rPr>
          <w:rFonts w:cs="HelveticaNeueLT Std Lt"/>
          <w:i/>
        </w:rPr>
        <w:t xml:space="preserve"> for the keeping of racing greyhounds</w:t>
      </w:r>
      <w:r w:rsidRPr="00BD0969">
        <w:rPr>
          <w:rFonts w:cs="HelveticaNeueLT Std Lt"/>
          <w:i/>
        </w:rPr>
        <w:t>’.</w:t>
      </w:r>
      <w:r>
        <w:rPr>
          <w:rFonts w:cs="HelveticaNeueLT Std Lt"/>
        </w:rPr>
        <w:t xml:space="preserve"> Note: this code of practice is still under development and is the subject of this Regulatory Impact Assessment.</w:t>
      </w:r>
    </w:p>
    <w:p w:rsidR="00313CBE" w:rsidRDefault="00313CBE" w:rsidP="00313CBE">
      <w:pPr>
        <w:jc w:val="both"/>
        <w:rPr>
          <w:rFonts w:cs="HelveticaNeueLT Std Lt"/>
          <w:i/>
        </w:rPr>
      </w:pPr>
    </w:p>
    <w:p w:rsidR="00313CBE" w:rsidRPr="00BD0969" w:rsidRDefault="00313CBE" w:rsidP="00313CBE">
      <w:pPr>
        <w:jc w:val="both"/>
        <w:rPr>
          <w:rFonts w:cs="HelveticaNeueLT Std Lt"/>
        </w:rPr>
      </w:pPr>
      <w:r>
        <w:rPr>
          <w:rFonts w:cs="HelveticaNeueLT Std Lt"/>
          <w:i/>
        </w:rPr>
        <w:t>Section 27</w:t>
      </w:r>
      <w:r>
        <w:rPr>
          <w:rFonts w:cs="HelveticaNeueLT Std Lt"/>
        </w:rPr>
        <w:t xml:space="preserve"> creates a duty for the restraint of greyhounds outside the owner’s premises when not participating in a race fixture.</w:t>
      </w:r>
    </w:p>
    <w:p w:rsidR="00313CBE" w:rsidRDefault="00313CBE" w:rsidP="00313CBE">
      <w:pPr>
        <w:jc w:val="both"/>
        <w:rPr>
          <w:rFonts w:cs="HelveticaNeueLT Std Lt"/>
          <w:i/>
        </w:rPr>
      </w:pPr>
    </w:p>
    <w:p w:rsidR="00313CBE" w:rsidRDefault="00313CBE" w:rsidP="00313CBE">
      <w:pPr>
        <w:jc w:val="both"/>
        <w:rPr>
          <w:rFonts w:cs="HelveticaNeueLT Std Lt"/>
          <w:i/>
        </w:rPr>
      </w:pPr>
      <w:r>
        <w:rPr>
          <w:rFonts w:cs="HelveticaNeueLT Std Lt"/>
          <w:i/>
        </w:rPr>
        <w:t xml:space="preserve">Part 4AAA </w:t>
      </w:r>
      <w:r w:rsidRPr="00BD0969">
        <w:rPr>
          <w:rFonts w:cs="HelveticaNeueLT Std Lt"/>
        </w:rPr>
        <w:t>specifically addresses</w:t>
      </w:r>
      <w:r>
        <w:rPr>
          <w:rFonts w:cs="HelveticaNeueLT Std Lt"/>
        </w:rPr>
        <w:t xml:space="preserve"> the Keeping of GRV greyhounds, including the provision to make a greyhound code of practice. </w:t>
      </w:r>
      <w:r w:rsidRPr="00BD0969">
        <w:rPr>
          <w:rFonts w:cs="HelveticaNeueLT Std Lt"/>
          <w:i/>
        </w:rPr>
        <w:t>Section 63AC(2)&amp;(3)</w:t>
      </w:r>
      <w:r>
        <w:rPr>
          <w:rFonts w:cs="HelveticaNeueLT Std Lt"/>
        </w:rPr>
        <w:t xml:space="preserve"> allows the code to set standards for the keeping, treatment, handling and care of GRV greyhounds; standards for facilities, equipment and conditions at premises where GRV greyhounds are being kept; and, standards for procedures and practices to be adopted in relation to the keeping of GRV greyhounds. It also permits the code to incorporate other standards or rules. This section also controls the operation of the code and provides penalties for non-compliance. This proposed </w:t>
      </w:r>
      <w:r w:rsidRPr="00B1166A">
        <w:rPr>
          <w:rFonts w:cs="HelveticaNeueLT Std Lt"/>
          <w:i/>
        </w:rPr>
        <w:t>Code of Practice for the Keeping of Racing Greyhounds</w:t>
      </w:r>
      <w:r>
        <w:rPr>
          <w:rFonts w:cs="HelveticaNeueLT Std Lt"/>
        </w:rPr>
        <w:t xml:space="preserve"> is made under the provisions of Part 4AAA.</w:t>
      </w:r>
    </w:p>
    <w:p w:rsidR="00313CBE" w:rsidRPr="005F3BA9" w:rsidRDefault="00BF0EB8" w:rsidP="00BD28C4">
      <w:pPr>
        <w:pStyle w:val="H13pt"/>
      </w:pPr>
      <w:bookmarkStart w:id="188" w:name="_Toc456126077"/>
      <w:bookmarkStart w:id="189" w:name="_Toc469529195"/>
      <w:bookmarkStart w:id="190" w:name="_Toc477190219"/>
      <w:r w:rsidRPr="005F3BA9">
        <w:lastRenderedPageBreak/>
        <w:t>A1.3</w:t>
      </w:r>
      <w:r w:rsidR="00313CBE" w:rsidRPr="005F3BA9">
        <w:t xml:space="preserve"> Racing Act 1958</w:t>
      </w:r>
      <w:bookmarkEnd w:id="188"/>
      <w:bookmarkEnd w:id="189"/>
      <w:bookmarkEnd w:id="190"/>
    </w:p>
    <w:p w:rsidR="00313CBE" w:rsidRDefault="00313CBE" w:rsidP="00313CBE">
      <w:pPr>
        <w:jc w:val="both"/>
      </w:pPr>
      <w:r w:rsidRPr="00A073EA">
        <w:t>The Racing Act</w:t>
      </w:r>
      <w:r w:rsidR="00FB57A1" w:rsidRPr="004D060C">
        <w:rPr>
          <w:rStyle w:val="FootnoteReference"/>
          <w:color w:val="000000" w:themeColor="text1"/>
        </w:rPr>
        <w:footnoteReference w:id="157"/>
      </w:r>
      <w:r w:rsidRPr="00A073EA">
        <w:t xml:space="preserve"> governs</w:t>
      </w:r>
      <w:r>
        <w:t xml:space="preserve"> the three racing codes in Victoria (horse, harness and greyhounds) and regulates the conduct of race meetings, legality of betting, as well as providing for the licensing of clubs and courses. It establishes GRV as the controlling body responsible for greyhound racing and does not focus on animal welfare nor require GRV to specifically address greyhound welfare.</w:t>
      </w:r>
    </w:p>
    <w:p w:rsidR="00313CBE" w:rsidRDefault="00313CBE" w:rsidP="00313CBE">
      <w:pPr>
        <w:jc w:val="both"/>
      </w:pPr>
    </w:p>
    <w:p w:rsidR="00313CBE" w:rsidRDefault="00313CBE" w:rsidP="00313CBE">
      <w:pPr>
        <w:jc w:val="both"/>
      </w:pPr>
      <w:r w:rsidRPr="00D61BF1">
        <w:rPr>
          <w:i/>
        </w:rPr>
        <w:t>Part IA</w:t>
      </w:r>
      <w:r>
        <w:t xml:space="preserve"> of the Racing Act puts in place a Racing Integrity Commissioner with </w:t>
      </w:r>
      <w:r w:rsidRPr="00D61BF1">
        <w:rPr>
          <w:i/>
        </w:rPr>
        <w:t>section 37B</w:t>
      </w:r>
      <w:r>
        <w:t xml:space="preserve"> giving powers to the commissioner to conduct audits of animal welfare processes and systems of each controlling body, investigate complaints and refer complaints, if appropriate, to the relevant agency.</w:t>
      </w:r>
    </w:p>
    <w:p w:rsidR="00313CBE" w:rsidRDefault="00313CBE" w:rsidP="00313CBE"/>
    <w:p w:rsidR="00313CBE" w:rsidRDefault="00313CBE" w:rsidP="00313CBE">
      <w:pPr>
        <w:jc w:val="both"/>
      </w:pPr>
      <w:r w:rsidRPr="00D61BF1">
        <w:rPr>
          <w:i/>
        </w:rPr>
        <w:t>Part III</w:t>
      </w:r>
      <w:r>
        <w:t xml:space="preserve"> specifically governs greyhound racing, it places restrictions on and licences for greyhound racing and provides offences relating to greyhound races that involve the use of an animal as a lure. </w:t>
      </w:r>
      <w:r>
        <w:rPr>
          <w:i/>
        </w:rPr>
        <w:t xml:space="preserve">Section 69 </w:t>
      </w:r>
      <w:r>
        <w:t xml:space="preserve">creates the Greyhound Racing Victoria Board to be constituted under the Act, while </w:t>
      </w:r>
      <w:r w:rsidRPr="00521692">
        <w:rPr>
          <w:i/>
        </w:rPr>
        <w:t>section 75</w:t>
      </w:r>
      <w:r>
        <w:t xml:space="preserve"> provides the functions of the board – including </w:t>
      </w:r>
      <w:r w:rsidR="00E53059">
        <w:t>s75 (</w:t>
      </w:r>
      <w:r>
        <w:t>aba) and (abb) to promote and improve animal welfare and promote and monitor compliance with the rules within the sport of greyhound racing.</w:t>
      </w:r>
    </w:p>
    <w:p w:rsidR="00313CBE" w:rsidRDefault="00313CBE" w:rsidP="00313CBE">
      <w:pPr>
        <w:jc w:val="both"/>
      </w:pPr>
    </w:p>
    <w:p w:rsidR="00313CBE" w:rsidRDefault="00313CBE" w:rsidP="00313CBE">
      <w:pPr>
        <w:jc w:val="both"/>
      </w:pPr>
      <w:r w:rsidRPr="00521692">
        <w:rPr>
          <w:i/>
        </w:rPr>
        <w:t>Division 3 of Part III</w:t>
      </w:r>
      <w:r>
        <w:t xml:space="preserve"> relates to the general control of greyhound racing, with </w:t>
      </w:r>
      <w:r w:rsidRPr="00521692">
        <w:rPr>
          <w:i/>
        </w:rPr>
        <w:t>section 77</w:t>
      </w:r>
      <w:r>
        <w:t xml:space="preserve"> providing the Board with powers to regulate the registration, breeding, kennelling and verification of lineage of greyhounds for greyhound racing or for stud purposes and fine or punish any club or person offending against the rules. </w:t>
      </w:r>
      <w:r w:rsidRPr="00647946">
        <w:rPr>
          <w:i/>
        </w:rPr>
        <w:t>Section 77A</w:t>
      </w:r>
      <w:r>
        <w:t xml:space="preserve"> provides powers for a board person, or person authorised, to enter premises used for the purpose of kennelling or breeding greyhounds and inspect to determine compliance with the Racing Act and rules. While </w:t>
      </w:r>
      <w:r w:rsidRPr="00647946">
        <w:rPr>
          <w:i/>
        </w:rPr>
        <w:t>section 78</w:t>
      </w:r>
      <w:r>
        <w:t xml:space="preserve"> permits the authorised person to use any information for in the register for the purposes of enforcing </w:t>
      </w:r>
      <w:r w:rsidRPr="00647946">
        <w:rPr>
          <w:i/>
        </w:rPr>
        <w:t>Part 4AA</w:t>
      </w:r>
      <w:r>
        <w:t xml:space="preserve"> of the </w:t>
      </w:r>
      <w:r w:rsidRPr="00647946">
        <w:rPr>
          <w:i/>
        </w:rPr>
        <w:t>Domestic Animals Act 1994</w:t>
      </w:r>
      <w:r>
        <w:t xml:space="preserve">, or disclose the information to an officer authorised under the </w:t>
      </w:r>
      <w:r w:rsidRPr="00647946">
        <w:rPr>
          <w:i/>
        </w:rPr>
        <w:t>Domestic Animals Act 1994</w:t>
      </w:r>
      <w:r>
        <w:t>.</w:t>
      </w:r>
    </w:p>
    <w:p w:rsidR="00313CBE" w:rsidRDefault="00313CBE" w:rsidP="00313CBE">
      <w:pPr>
        <w:jc w:val="both"/>
      </w:pPr>
    </w:p>
    <w:p w:rsidR="00313CBE" w:rsidRPr="00521692" w:rsidRDefault="00313CBE" w:rsidP="00313CBE">
      <w:pPr>
        <w:jc w:val="both"/>
      </w:pPr>
      <w:r w:rsidRPr="00647946">
        <w:rPr>
          <w:i/>
        </w:rPr>
        <w:t>Section 82</w:t>
      </w:r>
      <w:r>
        <w:t xml:space="preserve"> permits the Board to make rules for, or with respect to, the control of greyhound racing in Victoria and regulation of the registration, welfare, kennelling and breeding of greyhounds.</w:t>
      </w:r>
    </w:p>
    <w:p w:rsidR="00313CBE" w:rsidRDefault="00313CBE" w:rsidP="00313CBE"/>
    <w:p w:rsidR="00313CBE" w:rsidRPr="005F3BA9" w:rsidRDefault="00BF0EB8" w:rsidP="00987B18">
      <w:pPr>
        <w:pStyle w:val="Heading2"/>
      </w:pPr>
      <w:bookmarkStart w:id="191" w:name="_Toc456126078"/>
      <w:bookmarkStart w:id="192" w:name="_Toc469529196"/>
      <w:bookmarkStart w:id="193" w:name="_Toc477190220"/>
      <w:r w:rsidRPr="005F3BA9">
        <w:t>A1.</w:t>
      </w:r>
      <w:r w:rsidR="00313CBE" w:rsidRPr="005F3BA9">
        <w:t>4 Greyhound Racing Victoria (GRV) - Local Rules</w:t>
      </w:r>
      <w:bookmarkEnd w:id="191"/>
      <w:bookmarkEnd w:id="192"/>
      <w:bookmarkEnd w:id="193"/>
    </w:p>
    <w:p w:rsidR="00BD45EE" w:rsidRDefault="00313CBE" w:rsidP="00313CBE">
      <w:pPr>
        <w:jc w:val="both"/>
      </w:pPr>
      <w:r w:rsidRPr="004917DB">
        <w:rPr>
          <w:i/>
        </w:rPr>
        <w:t>Local Rules</w:t>
      </w:r>
      <w:r w:rsidR="00FB57A1" w:rsidRPr="004B0055">
        <w:rPr>
          <w:rStyle w:val="FootnoteReference"/>
        </w:rPr>
        <w:footnoteReference w:id="158"/>
      </w:r>
      <w:r>
        <w:t xml:space="preserve"> are </w:t>
      </w:r>
      <w:r w:rsidRPr="003D362B">
        <w:t xml:space="preserve">made under section 82 of the </w:t>
      </w:r>
      <w:r w:rsidRPr="003D362B">
        <w:rPr>
          <w:i/>
        </w:rPr>
        <w:t>Racing Act 1958</w:t>
      </w:r>
      <w:r w:rsidRPr="004917DB">
        <w:t xml:space="preserve">) and mandatory for </w:t>
      </w:r>
      <w:r>
        <w:t>any person, owning or in charge of a greyhound, registered through GRV.</w:t>
      </w:r>
      <w:r w:rsidR="007B521C">
        <w:t xml:space="preserve"> </w:t>
      </w:r>
      <w:r w:rsidR="00BD45EE">
        <w:t>Local Rules are actually rules local to the whole of Victoria and a requirement of all members of GRV and enforced by GRV authorised officers.</w:t>
      </w:r>
    </w:p>
    <w:p w:rsidR="00BD45EE" w:rsidRDefault="00BD45EE" w:rsidP="00313CBE">
      <w:pPr>
        <w:jc w:val="both"/>
      </w:pPr>
    </w:p>
    <w:p w:rsidR="00313CBE" w:rsidRDefault="00313CBE" w:rsidP="00313CBE">
      <w:pPr>
        <w:jc w:val="both"/>
      </w:pPr>
      <w:r>
        <w:t xml:space="preserve">The </w:t>
      </w:r>
      <w:r>
        <w:rPr>
          <w:i/>
        </w:rPr>
        <w:t>Local R</w:t>
      </w:r>
      <w:r w:rsidRPr="003E0280">
        <w:rPr>
          <w:i/>
        </w:rPr>
        <w:t>ules</w:t>
      </w:r>
      <w:r>
        <w:t xml:space="preserve"> make provisions the breadth of the industry including; the Board’s powers, registration, operation of greyhound trial tracks, eligibility of greyhounds to compete, welfare of greyhounds and other matters.</w:t>
      </w:r>
    </w:p>
    <w:p w:rsidR="00313CBE" w:rsidRDefault="00313CBE" w:rsidP="00313CBE">
      <w:pPr>
        <w:jc w:val="both"/>
      </w:pPr>
    </w:p>
    <w:p w:rsidR="00313CBE" w:rsidRDefault="00313CBE" w:rsidP="00313CBE">
      <w:pPr>
        <w:jc w:val="both"/>
        <w:rPr>
          <w:i/>
        </w:rPr>
      </w:pPr>
      <w:r>
        <w:t xml:space="preserve">Rule 3 allows for the application of Greyhounds Australasia Rules to be adopted and incorporated into the </w:t>
      </w:r>
      <w:r w:rsidRPr="004917DB">
        <w:rPr>
          <w:i/>
        </w:rPr>
        <w:t>Local Rules</w:t>
      </w:r>
      <w:r>
        <w:rPr>
          <w:i/>
        </w:rPr>
        <w:t>.</w:t>
      </w:r>
    </w:p>
    <w:p w:rsidR="00313CBE" w:rsidRDefault="00313CBE" w:rsidP="00313CBE">
      <w:pPr>
        <w:jc w:val="both"/>
        <w:rPr>
          <w:i/>
        </w:rPr>
      </w:pPr>
    </w:p>
    <w:p w:rsidR="00313CBE" w:rsidRDefault="00313CBE" w:rsidP="00313CBE">
      <w:pPr>
        <w:jc w:val="both"/>
      </w:pPr>
      <w:r>
        <w:lastRenderedPageBreak/>
        <w:t xml:space="preserve">Rule 11, and the various subsections, provide the requirements for ‘Registered Persons’, including requiring a person wishing to engage in the whelping, rearing, breaking in or education of greyhounds to be registered with the GRV Board (R11.17), and allows the board to prescribe educational and qualifications required for registration (R11.22). </w:t>
      </w:r>
    </w:p>
    <w:p w:rsidR="00313CBE" w:rsidRDefault="00313CBE" w:rsidP="00313CBE">
      <w:pPr>
        <w:jc w:val="both"/>
      </w:pPr>
    </w:p>
    <w:p w:rsidR="00313CBE" w:rsidRPr="003E0280" w:rsidRDefault="00313CBE" w:rsidP="00313CBE">
      <w:pPr>
        <w:jc w:val="both"/>
        <w:rPr>
          <w:b/>
        </w:rPr>
      </w:pPr>
      <w:r>
        <w:t xml:space="preserve">Part 12 of the </w:t>
      </w:r>
      <w:r w:rsidRPr="004917DB">
        <w:rPr>
          <w:i/>
        </w:rPr>
        <w:t>Local Rules</w:t>
      </w:r>
      <w:r>
        <w:rPr>
          <w:i/>
        </w:rPr>
        <w:t xml:space="preserve"> </w:t>
      </w:r>
      <w:r>
        <w:t>specifically relates to the welfare of greyhounds, creating offences for keeping greyhounds in conditions that are dangerous or detrimental to their health and safety, or permitting a greyhound to suffer. The provisions also provide requirements for the retirement, death and euthanasia of a greyhound.</w:t>
      </w:r>
    </w:p>
    <w:p w:rsidR="00313CBE" w:rsidRDefault="00313CBE" w:rsidP="00313CBE"/>
    <w:p w:rsidR="00313CBE" w:rsidRPr="005F3BA9" w:rsidRDefault="00BF0EB8" w:rsidP="00987B18">
      <w:pPr>
        <w:pStyle w:val="Heading2"/>
      </w:pPr>
      <w:bookmarkStart w:id="194" w:name="_Toc456126079"/>
      <w:bookmarkStart w:id="195" w:name="_Toc469529197"/>
      <w:bookmarkStart w:id="196" w:name="_Toc477190221"/>
      <w:r w:rsidRPr="005F3BA9">
        <w:t>A1.</w:t>
      </w:r>
      <w:r w:rsidR="00313CBE" w:rsidRPr="005F3BA9">
        <w:t>5 Greyhounds Australasia, Greyhound Australasia Rules</w:t>
      </w:r>
      <w:bookmarkEnd w:id="194"/>
      <w:bookmarkEnd w:id="195"/>
      <w:bookmarkEnd w:id="196"/>
    </w:p>
    <w:p w:rsidR="00313CBE" w:rsidRDefault="00654F95" w:rsidP="00313CBE">
      <w:pPr>
        <w:jc w:val="both"/>
      </w:pPr>
      <w:r>
        <w:t xml:space="preserve">Rule 3 of the GRV </w:t>
      </w:r>
      <w:r w:rsidRPr="00BE3365">
        <w:rPr>
          <w:i/>
        </w:rPr>
        <w:t>Local Rules</w:t>
      </w:r>
      <w:r>
        <w:t xml:space="preserve"> allows for the application of Greyhounds Australasia Rules</w:t>
      </w:r>
      <w:r w:rsidRPr="004D060C">
        <w:rPr>
          <w:rStyle w:val="FootnoteReference"/>
          <w:color w:val="000000" w:themeColor="text1"/>
        </w:rPr>
        <w:footnoteReference w:id="159"/>
      </w:r>
      <w:r>
        <w:t xml:space="preserve"> (GARs) to be adopted and incorporated into the </w:t>
      </w:r>
      <w:r w:rsidRPr="004917DB">
        <w:rPr>
          <w:i/>
        </w:rPr>
        <w:t>Local Rules</w:t>
      </w:r>
      <w:r w:rsidRPr="0069718F">
        <w:rPr>
          <w:i/>
        </w:rPr>
        <w:t xml:space="preserve">, </w:t>
      </w:r>
      <w:r w:rsidRPr="00C357B6">
        <w:t xml:space="preserve">therefore GARs are also rules </w:t>
      </w:r>
      <w:r>
        <w:t xml:space="preserve">that are </w:t>
      </w:r>
      <w:r w:rsidRPr="00C357B6">
        <w:t>local to the whole of Victoria and a requirement of all members of GRV and enforced by GRV authorised officers.</w:t>
      </w:r>
      <w:r>
        <w:t xml:space="preserve"> </w:t>
      </w:r>
      <w:r w:rsidR="00313CBE">
        <w:t>The GARs provide extensive provisions in relation to a raft of matters including: powers of controlling body, stewards, race meetings, box draws, testing, and the duties of a person keeping greyhounds, veterinary surgeons, ownership and breeding.</w:t>
      </w:r>
    </w:p>
    <w:p w:rsidR="00313CBE" w:rsidRDefault="00313CBE" w:rsidP="00313CBE">
      <w:pPr>
        <w:jc w:val="both"/>
      </w:pPr>
    </w:p>
    <w:p w:rsidR="00313CBE" w:rsidRDefault="00313CBE" w:rsidP="00313CBE">
      <w:pPr>
        <w:jc w:val="both"/>
      </w:pPr>
      <w:r>
        <w:t xml:space="preserve">GAR84A creates a requirement for records to be kept by a person in charge of a greyhound. GAR86 lists offences under the GAR including </w:t>
      </w:r>
      <w:r w:rsidR="00E53059">
        <w:t>GAR86 (</w:t>
      </w:r>
      <w:r>
        <w:t>ag) that creates an offence for a person who fails to comply with a policy adopted by a Controlling Body.</w:t>
      </w:r>
    </w:p>
    <w:p w:rsidR="00313CBE" w:rsidRDefault="00313CBE" w:rsidP="00313CBE">
      <w:pPr>
        <w:jc w:val="both"/>
      </w:pPr>
    </w:p>
    <w:p w:rsidR="00313CBE" w:rsidRDefault="00313CBE" w:rsidP="00313CBE">
      <w:pPr>
        <w:jc w:val="both"/>
      </w:pPr>
      <w:r>
        <w:t>GAR105 -109 make provisions for duties of a person keeping a greyhound, in relation to care, welfare, notification and control. GAR111A place requirements for all greyhounds to be microchipped and ear branded and GAR112-124 provide requirements for the registration and ownership and ‘passport’ of a greyhound.</w:t>
      </w:r>
    </w:p>
    <w:p w:rsidR="00313CBE" w:rsidRDefault="00313CBE" w:rsidP="00313CBE">
      <w:pPr>
        <w:jc w:val="both"/>
      </w:pPr>
    </w:p>
    <w:p w:rsidR="00313CBE" w:rsidRDefault="00313CBE" w:rsidP="00313CBE">
      <w:pPr>
        <w:jc w:val="both"/>
      </w:pPr>
      <w:r>
        <w:t>The breeding section of the GAR makes requirements for authority approval for breeding as well as the registration of a sire and breeding bitch, the ‘service’, litters and the stud book. As artificial insemination is used for more than 90% of conceptions in the industry there are also provisions relation to artificial insemination, and storage.</w:t>
      </w:r>
    </w:p>
    <w:p w:rsidR="00313CBE" w:rsidRDefault="00313CBE" w:rsidP="00313CBE"/>
    <w:p w:rsidR="00313CBE" w:rsidRPr="005F3BA9" w:rsidRDefault="00BF0EB8" w:rsidP="00987B18">
      <w:pPr>
        <w:pStyle w:val="Heading2"/>
      </w:pPr>
      <w:bookmarkStart w:id="197" w:name="_Toc456126080"/>
      <w:bookmarkStart w:id="198" w:name="_Toc469529198"/>
      <w:bookmarkStart w:id="199" w:name="_Toc477190222"/>
      <w:r w:rsidRPr="005F3BA9">
        <w:t>A1</w:t>
      </w:r>
      <w:r w:rsidR="00313CBE" w:rsidRPr="005F3BA9">
        <w:t>.6 Code of Practice for the Operation of Greyhound Establishments</w:t>
      </w:r>
      <w:bookmarkEnd w:id="197"/>
      <w:bookmarkEnd w:id="198"/>
      <w:bookmarkEnd w:id="199"/>
    </w:p>
    <w:p w:rsidR="00313CBE" w:rsidRDefault="00313CBE" w:rsidP="00313CBE">
      <w:pPr>
        <w:jc w:val="both"/>
        <w:rPr>
          <w:rFonts w:cs="Arial-BoldMT"/>
          <w:bCs/>
        </w:rPr>
      </w:pPr>
      <w:r>
        <w:t xml:space="preserve">The </w:t>
      </w:r>
      <w:r w:rsidRPr="001B1E2D">
        <w:rPr>
          <w:rFonts w:cs="Arial-BoldMT"/>
          <w:bCs/>
          <w:i/>
        </w:rPr>
        <w:t>Code of Practice for the Operation of Greyhound Establishments</w:t>
      </w:r>
      <w:r>
        <w:rPr>
          <w:rFonts w:cs="Arial-BoldMT"/>
          <w:bCs/>
        </w:rPr>
        <w:t xml:space="preserve"> (the current code)</w:t>
      </w:r>
      <w:r w:rsidR="00FB57A1" w:rsidRPr="00FB57A1">
        <w:rPr>
          <w:rStyle w:val="FootnoteReference"/>
          <w:color w:val="000000" w:themeColor="text1"/>
        </w:rPr>
        <w:t xml:space="preserve"> </w:t>
      </w:r>
      <w:r w:rsidR="00FB57A1" w:rsidRPr="004D060C">
        <w:rPr>
          <w:rStyle w:val="FootnoteReference"/>
          <w:color w:val="000000" w:themeColor="text1"/>
        </w:rPr>
        <w:footnoteReference w:id="160"/>
      </w:r>
      <w:r>
        <w:rPr>
          <w:rFonts w:cs="Arial-BoldMT"/>
          <w:bCs/>
        </w:rPr>
        <w:t xml:space="preserve"> was originally made under the DAA (now repealed sections) and was mandatory for greyhound domestic animal businesses (DAB).</w:t>
      </w:r>
      <w:r w:rsidR="007B521C">
        <w:rPr>
          <w:rFonts w:cs="Arial-BoldMT"/>
          <w:bCs/>
        </w:rPr>
        <w:t xml:space="preserve"> </w:t>
      </w:r>
      <w:r>
        <w:rPr>
          <w:rFonts w:cs="Arial-BoldMT"/>
          <w:bCs/>
        </w:rPr>
        <w:t>However, under the definition of a DAB under the (then) DAA, it was found that only a very small percent of owners met the classification of being a DAB, and therefore only a small number of facilities had a requirement to comply with the code.</w:t>
      </w:r>
    </w:p>
    <w:p w:rsidR="00313CBE" w:rsidRDefault="00313CBE" w:rsidP="00313CBE">
      <w:pPr>
        <w:jc w:val="both"/>
        <w:rPr>
          <w:rFonts w:cs="Arial-BoldMT"/>
          <w:bCs/>
        </w:rPr>
      </w:pPr>
    </w:p>
    <w:p w:rsidR="00313CBE" w:rsidRDefault="00313CBE" w:rsidP="00313CBE">
      <w:pPr>
        <w:jc w:val="both"/>
        <w:rPr>
          <w:rFonts w:cs="Arial-BoldMT"/>
          <w:bCs/>
        </w:rPr>
      </w:pPr>
      <w:r>
        <w:rPr>
          <w:rFonts w:cs="Arial-BoldMT"/>
          <w:bCs/>
        </w:rPr>
        <w:t xml:space="preserve">In November 2014 GRV incorporated the current code into the </w:t>
      </w:r>
      <w:r w:rsidRPr="00B71A6D">
        <w:rPr>
          <w:rFonts w:cs="Arial-BoldMT"/>
          <w:bCs/>
          <w:i/>
        </w:rPr>
        <w:t>Local Rules</w:t>
      </w:r>
      <w:r>
        <w:rPr>
          <w:rFonts w:cs="Arial-BoldMT"/>
          <w:bCs/>
        </w:rPr>
        <w:t xml:space="preserve"> effectively making the current code mandatory for any person registered with GRV. </w:t>
      </w:r>
    </w:p>
    <w:p w:rsidR="00313CBE" w:rsidRDefault="00313CBE" w:rsidP="00313CBE">
      <w:pPr>
        <w:jc w:val="both"/>
        <w:rPr>
          <w:rFonts w:cs="Arial-BoldMT"/>
          <w:bCs/>
        </w:rPr>
      </w:pPr>
    </w:p>
    <w:p w:rsidR="00313CBE" w:rsidRDefault="00313CBE" w:rsidP="00313CBE">
      <w:pPr>
        <w:jc w:val="both"/>
      </w:pPr>
      <w:r>
        <w:rPr>
          <w:rFonts w:cs="Arial-BoldMT"/>
          <w:bCs/>
        </w:rPr>
        <w:lastRenderedPageBreak/>
        <w:t xml:space="preserve">In </w:t>
      </w:r>
      <w:r w:rsidRPr="001B1E2D">
        <w:rPr>
          <w:rFonts w:cs="Arial-BoldMT"/>
          <w:bCs/>
        </w:rPr>
        <w:t xml:space="preserve">April 2016, GRV </w:t>
      </w:r>
      <w:r>
        <w:rPr>
          <w:rFonts w:cs="Arial-BoldMT"/>
          <w:bCs/>
        </w:rPr>
        <w:t xml:space="preserve">amended the </w:t>
      </w:r>
      <w:r w:rsidRPr="00B71A6D">
        <w:rPr>
          <w:rFonts w:cs="Arial-BoldMT"/>
          <w:bCs/>
          <w:i/>
        </w:rPr>
        <w:t>Local Rules</w:t>
      </w:r>
      <w:r>
        <w:rPr>
          <w:rFonts w:cs="Arial-BoldMT"/>
          <w:bCs/>
        </w:rPr>
        <w:t xml:space="preserve"> and made the current code a new policy along with other specific policies in relation to: hot weather, race fields, privacy, transportation, gambling, stewards, swabbing, trialling, compression suits, social media, feeding and improper or corrupt conduct. </w:t>
      </w:r>
      <w:r>
        <w:t>GAR86(ag) creates an offence for a person who fails to comply with a policy adopted by a Controlling Body and GRV authorised officers audit and enforce the code under the powers of the Racing Act.</w:t>
      </w:r>
    </w:p>
    <w:p w:rsidR="00313CBE" w:rsidRDefault="00313CBE" w:rsidP="00CD18E5">
      <w:pPr>
        <w:autoSpaceDE w:val="0"/>
        <w:autoSpaceDN w:val="0"/>
        <w:adjustRightInd w:val="0"/>
      </w:pPr>
    </w:p>
    <w:p w:rsidR="00BF0EB8" w:rsidRDefault="00BF0EB8">
      <w:r>
        <w:br w:type="page"/>
      </w:r>
    </w:p>
    <w:p w:rsidR="00313CBE" w:rsidRDefault="00313CBE" w:rsidP="005F3125">
      <w:pPr>
        <w:pStyle w:val="Heading1"/>
      </w:pPr>
      <w:bookmarkStart w:id="200" w:name="_Toc456126081"/>
      <w:bookmarkStart w:id="201" w:name="_Toc469529199"/>
      <w:bookmarkStart w:id="202" w:name="_Toc477190223"/>
      <w:r>
        <w:lastRenderedPageBreak/>
        <w:t>Appendix 2:</w:t>
      </w:r>
      <w:r w:rsidR="00BF0EB8">
        <w:t xml:space="preserve"> Lack of content and coverage of current </w:t>
      </w:r>
      <w:r w:rsidR="00236F54">
        <w:t>C</w:t>
      </w:r>
      <w:r w:rsidR="00BF0EB8">
        <w:t>ode</w:t>
      </w:r>
      <w:bookmarkEnd w:id="200"/>
      <w:bookmarkEnd w:id="201"/>
      <w:bookmarkEnd w:id="202"/>
    </w:p>
    <w:p w:rsidR="00D13678" w:rsidRDefault="00236F54" w:rsidP="005F3125">
      <w:pPr>
        <w:autoSpaceDE w:val="0"/>
        <w:autoSpaceDN w:val="0"/>
        <w:adjustRightInd w:val="0"/>
        <w:jc w:val="both"/>
      </w:pPr>
      <w:r>
        <w:t>Appendix 2 highlights the l</w:t>
      </w:r>
      <w:r w:rsidR="00D13678">
        <w:t>ack of content and coverage</w:t>
      </w:r>
      <w:r w:rsidR="0040503A">
        <w:t xml:space="preserve"> of the current </w:t>
      </w:r>
      <w:r>
        <w:t>C</w:t>
      </w:r>
      <w:r w:rsidR="0040503A">
        <w:t>ode</w:t>
      </w:r>
      <w:r w:rsidR="00702694">
        <w:t>.</w:t>
      </w:r>
      <w:r w:rsidR="00702694" w:rsidRPr="00702694">
        <w:rPr>
          <w:szCs w:val="20"/>
        </w:rPr>
        <w:t xml:space="preserve"> </w:t>
      </w:r>
      <w:r w:rsidR="00702694">
        <w:rPr>
          <w:szCs w:val="20"/>
        </w:rPr>
        <w:t>Whilst each of the specific issues individually may not directly result in poor welfare for an individual animal, cumulatively they are management practices that prevent poor welfare.</w:t>
      </w:r>
      <w:r w:rsidR="0040503A">
        <w:t xml:space="preserve"> </w:t>
      </w:r>
    </w:p>
    <w:p w:rsidR="00D13678" w:rsidRDefault="00D13678" w:rsidP="00CD18E5">
      <w:pPr>
        <w:autoSpaceDE w:val="0"/>
        <w:autoSpaceDN w:val="0"/>
        <w:adjustRightInd w:val="0"/>
        <w:rPr>
          <w:rFonts w:cs="Arial-BoldMT"/>
          <w:bCs/>
        </w:rPr>
      </w:pPr>
    </w:p>
    <w:p w:rsidR="00D13678" w:rsidRPr="00CB27F0" w:rsidRDefault="00D13678" w:rsidP="004B0055">
      <w:pPr>
        <w:pStyle w:val="NoSpacing"/>
        <w:jc w:val="center"/>
        <w:rPr>
          <w:rFonts w:asciiTheme="majorHAnsi" w:hAnsiTheme="majorHAnsi"/>
          <w:b/>
          <w:sz w:val="20"/>
          <w:szCs w:val="20"/>
          <w:lang w:val="en-US"/>
        </w:rPr>
      </w:pPr>
      <w:r w:rsidRPr="00CB27F0">
        <w:rPr>
          <w:rFonts w:asciiTheme="majorHAnsi" w:hAnsiTheme="majorHAnsi"/>
          <w:b/>
          <w:sz w:val="20"/>
          <w:szCs w:val="20"/>
          <w:lang w:val="en-US"/>
        </w:rPr>
        <w:t xml:space="preserve">Table </w:t>
      </w:r>
      <w:r>
        <w:rPr>
          <w:rFonts w:asciiTheme="majorHAnsi" w:hAnsiTheme="majorHAnsi"/>
          <w:b/>
          <w:sz w:val="20"/>
          <w:szCs w:val="20"/>
          <w:lang w:val="en-US"/>
        </w:rPr>
        <w:t>A</w:t>
      </w:r>
      <w:r w:rsidR="00BF0EB8">
        <w:rPr>
          <w:rFonts w:asciiTheme="majorHAnsi" w:hAnsiTheme="majorHAnsi"/>
          <w:b/>
          <w:sz w:val="20"/>
          <w:szCs w:val="20"/>
          <w:lang w:val="en-US"/>
        </w:rPr>
        <w:t>2.1</w:t>
      </w:r>
      <w:r w:rsidRPr="00CB27F0">
        <w:rPr>
          <w:rFonts w:asciiTheme="majorHAnsi" w:hAnsiTheme="majorHAnsi"/>
          <w:b/>
          <w:sz w:val="20"/>
          <w:szCs w:val="20"/>
          <w:lang w:val="en-US"/>
        </w:rPr>
        <w:t xml:space="preserve">: Lack of </w:t>
      </w:r>
      <w:r w:rsidR="00DE3F35">
        <w:rPr>
          <w:rFonts w:asciiTheme="majorHAnsi" w:hAnsiTheme="majorHAnsi"/>
          <w:b/>
          <w:sz w:val="20"/>
          <w:szCs w:val="20"/>
          <w:lang w:val="en-US"/>
        </w:rPr>
        <w:t xml:space="preserve">current </w:t>
      </w:r>
      <w:r w:rsidRPr="00CB27F0">
        <w:rPr>
          <w:rFonts w:asciiTheme="majorHAnsi" w:hAnsiTheme="majorHAnsi"/>
          <w:b/>
          <w:sz w:val="20"/>
          <w:szCs w:val="20"/>
          <w:lang w:val="en-US"/>
        </w:rPr>
        <w:t>content and coverage with respect to greyhound welfare</w:t>
      </w:r>
    </w:p>
    <w:p w:rsidR="00D13678" w:rsidRDefault="00D13678" w:rsidP="00CD18E5">
      <w:pPr>
        <w:autoSpaceDE w:val="0"/>
        <w:autoSpaceDN w:val="0"/>
        <w:adjustRightInd w:val="0"/>
        <w:rPr>
          <w:rFonts w:cs="Arial-BoldMT"/>
          <w:bCs/>
        </w:rPr>
      </w:pPr>
    </w:p>
    <w:tbl>
      <w:tblPr>
        <w:tblW w:w="9957" w:type="dxa"/>
        <w:tblInd w:w="-418" w:type="dxa"/>
        <w:tblLayout w:type="fixed"/>
        <w:tblLook w:val="04A0" w:firstRow="1" w:lastRow="0" w:firstColumn="1" w:lastColumn="0" w:noHBand="0" w:noVBand="1"/>
      </w:tblPr>
      <w:tblGrid>
        <w:gridCol w:w="1350"/>
        <w:gridCol w:w="918"/>
        <w:gridCol w:w="709"/>
        <w:gridCol w:w="925"/>
        <w:gridCol w:w="918"/>
        <w:gridCol w:w="709"/>
        <w:gridCol w:w="992"/>
        <w:gridCol w:w="851"/>
        <w:gridCol w:w="742"/>
        <w:gridCol w:w="1843"/>
      </w:tblGrid>
      <w:tr w:rsidR="00DE3F35" w:rsidRPr="009D72A7" w:rsidTr="00C357B6">
        <w:trPr>
          <w:trHeight w:val="62"/>
          <w:tblHeader/>
        </w:trPr>
        <w:tc>
          <w:tcPr>
            <w:tcW w:w="1350" w:type="dxa"/>
            <w:tcBorders>
              <w:bottom w:val="single" w:sz="4" w:space="0" w:color="4F81BD" w:themeColor="accent1"/>
            </w:tcBorders>
          </w:tcPr>
          <w:p w:rsidR="00DE3F35" w:rsidRDefault="00DE3F35" w:rsidP="00D13678">
            <w:pPr>
              <w:rPr>
                <w:rFonts w:asciiTheme="majorHAnsi" w:hAnsiTheme="majorHAnsi"/>
                <w:b/>
                <w:sz w:val="20"/>
                <w:szCs w:val="20"/>
                <w:lang w:val="en-US"/>
              </w:rPr>
            </w:pPr>
          </w:p>
        </w:tc>
        <w:tc>
          <w:tcPr>
            <w:tcW w:w="6764" w:type="dxa"/>
            <w:gridSpan w:val="8"/>
            <w:tcBorders>
              <w:top w:val="single" w:sz="4" w:space="0" w:color="4F81BD" w:themeColor="accent1"/>
            </w:tcBorders>
          </w:tcPr>
          <w:p w:rsidR="00DE3F35" w:rsidRPr="0081488D" w:rsidRDefault="00DE3F35" w:rsidP="00D13678">
            <w:pPr>
              <w:tabs>
                <w:tab w:val="left" w:pos="561"/>
              </w:tabs>
              <w:jc w:val="center"/>
              <w:rPr>
                <w:rFonts w:asciiTheme="majorHAnsi" w:hAnsiTheme="majorHAnsi"/>
                <w:b/>
                <w:sz w:val="20"/>
                <w:szCs w:val="20"/>
                <w:lang w:val="en-US"/>
              </w:rPr>
            </w:pPr>
            <w:r>
              <w:rPr>
                <w:rFonts w:asciiTheme="majorHAnsi" w:hAnsiTheme="majorHAnsi"/>
                <w:b/>
                <w:sz w:val="20"/>
                <w:szCs w:val="20"/>
                <w:lang w:val="en-US"/>
              </w:rPr>
              <w:t>Coverage</w:t>
            </w:r>
          </w:p>
        </w:tc>
        <w:tc>
          <w:tcPr>
            <w:tcW w:w="1843" w:type="dxa"/>
            <w:tcBorders>
              <w:top w:val="single" w:sz="4" w:space="0" w:color="4F81BD" w:themeColor="accent1"/>
            </w:tcBorders>
          </w:tcPr>
          <w:p w:rsidR="00DE3F35" w:rsidRDefault="00DE3F35" w:rsidP="00D13678">
            <w:pPr>
              <w:tabs>
                <w:tab w:val="left" w:pos="561"/>
              </w:tabs>
              <w:jc w:val="center"/>
              <w:rPr>
                <w:rFonts w:asciiTheme="majorHAnsi" w:hAnsiTheme="majorHAnsi"/>
                <w:b/>
                <w:sz w:val="20"/>
                <w:szCs w:val="20"/>
                <w:lang w:val="en-US"/>
              </w:rPr>
            </w:pPr>
          </w:p>
        </w:tc>
      </w:tr>
      <w:tr w:rsidR="00DE3F35" w:rsidRPr="009D72A7" w:rsidTr="00C357B6">
        <w:trPr>
          <w:trHeight w:val="62"/>
          <w:tblHeader/>
        </w:trPr>
        <w:tc>
          <w:tcPr>
            <w:tcW w:w="1350" w:type="dxa"/>
            <w:tcBorders>
              <w:top w:val="single" w:sz="4" w:space="0" w:color="4F81BD" w:themeColor="accent1"/>
              <w:bottom w:val="double" w:sz="4" w:space="0" w:color="4F81BD" w:themeColor="accent1"/>
            </w:tcBorders>
          </w:tcPr>
          <w:p w:rsidR="00DE3F35" w:rsidRPr="00C357B6" w:rsidRDefault="00DE3F35" w:rsidP="00D13678">
            <w:pPr>
              <w:rPr>
                <w:rFonts w:asciiTheme="majorHAnsi" w:hAnsiTheme="majorHAnsi"/>
                <w:b/>
                <w:sz w:val="18"/>
                <w:szCs w:val="18"/>
                <w:lang w:val="en-US"/>
              </w:rPr>
            </w:pPr>
            <w:r w:rsidRPr="00C357B6">
              <w:rPr>
                <w:rFonts w:asciiTheme="majorHAnsi" w:hAnsiTheme="majorHAnsi"/>
                <w:b/>
                <w:sz w:val="18"/>
                <w:szCs w:val="18"/>
                <w:lang w:val="en-US"/>
              </w:rPr>
              <w:t>Content</w:t>
            </w:r>
          </w:p>
        </w:tc>
        <w:tc>
          <w:tcPr>
            <w:tcW w:w="918"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ind w:right="-100"/>
              <w:jc w:val="center"/>
              <w:rPr>
                <w:rFonts w:asciiTheme="majorHAnsi" w:hAnsiTheme="majorHAnsi"/>
                <w:b/>
                <w:sz w:val="18"/>
                <w:szCs w:val="18"/>
                <w:lang w:val="en-US"/>
              </w:rPr>
            </w:pPr>
            <w:r w:rsidRPr="00C357B6">
              <w:rPr>
                <w:rFonts w:asciiTheme="majorHAnsi" w:hAnsiTheme="majorHAnsi"/>
                <w:b/>
                <w:sz w:val="18"/>
                <w:szCs w:val="18"/>
                <w:lang w:val="en-US"/>
              </w:rPr>
              <w:t>Concep-</w:t>
            </w:r>
          </w:p>
          <w:p w:rsidR="00DE3F35" w:rsidRPr="00C357B6" w:rsidRDefault="00DE3F35" w:rsidP="00D13678">
            <w:pPr>
              <w:tabs>
                <w:tab w:val="left" w:pos="561"/>
              </w:tabs>
              <w:ind w:right="-100"/>
              <w:jc w:val="center"/>
              <w:rPr>
                <w:rFonts w:asciiTheme="majorHAnsi" w:hAnsiTheme="majorHAnsi"/>
                <w:b/>
                <w:sz w:val="18"/>
                <w:szCs w:val="18"/>
                <w:lang w:val="en-US"/>
              </w:rPr>
            </w:pPr>
            <w:r w:rsidRPr="00C357B6">
              <w:rPr>
                <w:rFonts w:asciiTheme="majorHAnsi" w:hAnsiTheme="majorHAnsi"/>
                <w:b/>
                <w:sz w:val="18"/>
                <w:szCs w:val="18"/>
                <w:lang w:val="en-US"/>
              </w:rPr>
              <w:t>tion</w:t>
            </w:r>
          </w:p>
        </w:tc>
        <w:tc>
          <w:tcPr>
            <w:tcW w:w="709"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ind w:right="34"/>
              <w:jc w:val="center"/>
              <w:rPr>
                <w:rFonts w:asciiTheme="majorHAnsi" w:hAnsiTheme="majorHAnsi"/>
                <w:b/>
                <w:sz w:val="18"/>
                <w:szCs w:val="18"/>
                <w:lang w:val="en-US"/>
              </w:rPr>
            </w:pPr>
            <w:r w:rsidRPr="00C357B6">
              <w:rPr>
                <w:rFonts w:asciiTheme="majorHAnsi" w:hAnsiTheme="majorHAnsi"/>
                <w:b/>
                <w:sz w:val="18"/>
                <w:szCs w:val="18"/>
                <w:lang w:val="en-US"/>
              </w:rPr>
              <w:t>Birth</w:t>
            </w:r>
          </w:p>
          <w:p w:rsidR="00DE3F35" w:rsidRPr="00C357B6" w:rsidRDefault="00DE3F35" w:rsidP="00D13678">
            <w:pPr>
              <w:tabs>
                <w:tab w:val="left" w:pos="561"/>
              </w:tabs>
              <w:ind w:right="34"/>
              <w:jc w:val="center"/>
              <w:rPr>
                <w:rFonts w:asciiTheme="majorHAnsi" w:hAnsiTheme="majorHAnsi"/>
                <w:b/>
                <w:sz w:val="18"/>
                <w:szCs w:val="18"/>
                <w:lang w:val="en-US"/>
              </w:rPr>
            </w:pPr>
          </w:p>
        </w:tc>
        <w:tc>
          <w:tcPr>
            <w:tcW w:w="925"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Rearing</w:t>
            </w:r>
          </w:p>
          <w:p w:rsidR="00DE3F35" w:rsidRPr="00C357B6" w:rsidRDefault="00DE3F35" w:rsidP="00D13678">
            <w:pPr>
              <w:tabs>
                <w:tab w:val="left" w:pos="561"/>
              </w:tabs>
              <w:jc w:val="center"/>
              <w:rPr>
                <w:rFonts w:asciiTheme="majorHAnsi" w:hAnsiTheme="majorHAnsi"/>
                <w:b/>
                <w:sz w:val="18"/>
                <w:szCs w:val="18"/>
                <w:lang w:val="en-US"/>
              </w:rPr>
            </w:pPr>
          </w:p>
        </w:tc>
        <w:tc>
          <w:tcPr>
            <w:tcW w:w="918"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Breaking-in</w:t>
            </w:r>
          </w:p>
        </w:tc>
        <w:tc>
          <w:tcPr>
            <w:tcW w:w="709"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Spell-</w:t>
            </w:r>
          </w:p>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ing</w:t>
            </w:r>
          </w:p>
        </w:tc>
        <w:tc>
          <w:tcPr>
            <w:tcW w:w="992"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Pre-training</w:t>
            </w:r>
          </w:p>
        </w:tc>
        <w:tc>
          <w:tcPr>
            <w:tcW w:w="851"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Racing</w:t>
            </w:r>
          </w:p>
          <w:p w:rsidR="00DE3F35" w:rsidRPr="00C357B6" w:rsidRDefault="00DE3F35" w:rsidP="00D13678">
            <w:pPr>
              <w:tabs>
                <w:tab w:val="left" w:pos="561"/>
              </w:tabs>
              <w:jc w:val="center"/>
              <w:rPr>
                <w:rFonts w:asciiTheme="majorHAnsi" w:hAnsiTheme="majorHAnsi"/>
                <w:b/>
                <w:sz w:val="18"/>
                <w:szCs w:val="18"/>
                <w:lang w:val="en-US"/>
              </w:rPr>
            </w:pPr>
          </w:p>
        </w:tc>
        <w:tc>
          <w:tcPr>
            <w:tcW w:w="742" w:type="dxa"/>
            <w:tcBorders>
              <w:top w:val="single" w:sz="4" w:space="0" w:color="4F81BD" w:themeColor="accent1"/>
              <w:bottom w:val="double" w:sz="4" w:space="0" w:color="4F81BD" w:themeColor="accent1"/>
            </w:tcBorders>
            <w:vAlign w:val="center"/>
          </w:tcPr>
          <w:p w:rsidR="00DE3F35" w:rsidRPr="00C357B6" w:rsidRDefault="00DE3F35" w:rsidP="00D13678">
            <w:pPr>
              <w:tabs>
                <w:tab w:val="left" w:pos="561"/>
              </w:tabs>
              <w:jc w:val="center"/>
              <w:rPr>
                <w:rFonts w:asciiTheme="majorHAnsi" w:hAnsiTheme="majorHAnsi"/>
                <w:b/>
                <w:sz w:val="18"/>
                <w:szCs w:val="18"/>
                <w:lang w:val="en-US"/>
              </w:rPr>
            </w:pPr>
            <w:r w:rsidRPr="00C357B6">
              <w:rPr>
                <w:rFonts w:asciiTheme="majorHAnsi" w:hAnsiTheme="majorHAnsi"/>
                <w:b/>
                <w:sz w:val="18"/>
                <w:szCs w:val="18"/>
                <w:lang w:val="en-US"/>
              </w:rPr>
              <w:t>Retire-ment</w:t>
            </w:r>
          </w:p>
        </w:tc>
        <w:tc>
          <w:tcPr>
            <w:tcW w:w="1843" w:type="dxa"/>
            <w:tcBorders>
              <w:top w:val="single" w:sz="4" w:space="0" w:color="4F81BD" w:themeColor="accent1"/>
              <w:bottom w:val="double" w:sz="4" w:space="0" w:color="4F81BD" w:themeColor="accent1"/>
            </w:tcBorders>
          </w:tcPr>
          <w:p w:rsidR="00DE3F35" w:rsidRPr="00C357B6" w:rsidRDefault="008536B1" w:rsidP="00D13678">
            <w:pPr>
              <w:tabs>
                <w:tab w:val="left" w:pos="561"/>
              </w:tabs>
              <w:jc w:val="center"/>
              <w:rPr>
                <w:rFonts w:asciiTheme="majorHAnsi" w:hAnsiTheme="majorHAnsi"/>
                <w:b/>
                <w:sz w:val="18"/>
                <w:szCs w:val="18"/>
                <w:lang w:val="en-US"/>
              </w:rPr>
            </w:pPr>
            <w:r>
              <w:rPr>
                <w:rFonts w:asciiTheme="majorHAnsi" w:hAnsiTheme="majorHAnsi"/>
                <w:b/>
                <w:sz w:val="18"/>
                <w:szCs w:val="18"/>
                <w:lang w:val="en-US"/>
              </w:rPr>
              <w:t>Comment on e</w:t>
            </w:r>
            <w:r w:rsidRPr="008536B1">
              <w:rPr>
                <w:rFonts w:asciiTheme="majorHAnsi" w:hAnsiTheme="majorHAnsi"/>
                <w:b/>
                <w:sz w:val="18"/>
                <w:szCs w:val="18"/>
                <w:lang w:val="en-US"/>
              </w:rPr>
              <w:t>ffect of proposed change and affected</w:t>
            </w:r>
          </w:p>
        </w:tc>
      </w:tr>
      <w:tr w:rsidR="00DE3F35" w:rsidRPr="009D72A7" w:rsidTr="00C357B6">
        <w:trPr>
          <w:trHeight w:val="59"/>
        </w:trPr>
        <w:tc>
          <w:tcPr>
            <w:tcW w:w="1350" w:type="dxa"/>
            <w:tcBorders>
              <w:top w:val="double" w:sz="4" w:space="0" w:color="4F81BD" w:themeColor="accent1"/>
            </w:tcBorders>
            <w:shd w:val="clear" w:color="auto" w:fill="DBE5F1" w:themeFill="accent1" w:themeFillTint="33"/>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Staff ratio</w:t>
            </w:r>
          </w:p>
        </w:tc>
        <w:tc>
          <w:tcPr>
            <w:tcW w:w="918"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25"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18"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92"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 w:val="left" w:pos="456"/>
              </w:tabs>
              <w:contextualSpacing w:val="0"/>
              <w:jc w:val="center"/>
              <w:rPr>
                <w:rFonts w:asciiTheme="majorHAnsi" w:hAnsiTheme="majorHAnsi"/>
                <w:sz w:val="18"/>
                <w:szCs w:val="18"/>
                <w:lang w:val="en-US"/>
              </w:rPr>
            </w:pPr>
          </w:p>
        </w:tc>
        <w:tc>
          <w:tcPr>
            <w:tcW w:w="851"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42" w:type="dxa"/>
            <w:tcBorders>
              <w:top w:val="double" w:sz="4" w:space="0" w:color="4F81BD" w:themeColor="accent1"/>
            </w:tcBorders>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1843" w:type="dxa"/>
            <w:tcBorders>
              <w:top w:val="double" w:sz="4" w:space="0" w:color="4F81BD" w:themeColor="accent1"/>
            </w:tcBorders>
            <w:shd w:val="clear" w:color="auto" w:fill="DBE5F1" w:themeFill="accent1" w:themeFillTint="33"/>
            <w:vAlign w:val="center"/>
          </w:tcPr>
          <w:p w:rsidR="00DE3F35" w:rsidRPr="00C357B6" w:rsidRDefault="00DE3F35" w:rsidP="00C357B6">
            <w:pPr>
              <w:tabs>
                <w:tab w:val="left" w:pos="0"/>
              </w:tabs>
              <w:rPr>
                <w:rFonts w:cs="Calibri"/>
                <w:sz w:val="18"/>
                <w:szCs w:val="18"/>
                <w:lang w:val="en-US"/>
              </w:rPr>
            </w:pPr>
            <w:r w:rsidRPr="00C357B6">
              <w:rPr>
                <w:rFonts w:cs="Calibri"/>
                <w:sz w:val="18"/>
                <w:szCs w:val="18"/>
                <w:lang w:val="en-US"/>
              </w:rPr>
              <w:t>large breeders and large trainers require minimum staff to ensure care for animals</w:t>
            </w:r>
          </w:p>
        </w:tc>
      </w:tr>
      <w:tr w:rsidR="00DE3F35" w:rsidRPr="009D72A7" w:rsidTr="00C357B6">
        <w:trPr>
          <w:trHeight w:val="505"/>
        </w:trPr>
        <w:tc>
          <w:tcPr>
            <w:tcW w:w="1350" w:type="dxa"/>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Health management plan</w:t>
            </w:r>
          </w:p>
        </w:tc>
        <w:tc>
          <w:tcPr>
            <w:tcW w:w="918"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25"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18"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92" w:type="dxa"/>
            <w:vAlign w:val="center"/>
          </w:tcPr>
          <w:p w:rsidR="00DE3F35" w:rsidRPr="00C357B6" w:rsidRDefault="00DE3F35" w:rsidP="00981934">
            <w:pPr>
              <w:pStyle w:val="ListParagraph"/>
              <w:numPr>
                <w:ilvl w:val="0"/>
                <w:numId w:val="1"/>
              </w:numPr>
              <w:tabs>
                <w:tab w:val="left" w:pos="314"/>
                <w:tab w:val="left" w:pos="386"/>
              </w:tabs>
              <w:contextualSpacing w:val="0"/>
              <w:jc w:val="center"/>
              <w:rPr>
                <w:rFonts w:asciiTheme="majorHAnsi" w:hAnsiTheme="majorHAnsi"/>
                <w:sz w:val="18"/>
                <w:szCs w:val="18"/>
                <w:lang w:val="en-US"/>
              </w:rPr>
            </w:pPr>
          </w:p>
        </w:tc>
        <w:tc>
          <w:tcPr>
            <w:tcW w:w="851"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42" w:type="dxa"/>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1843" w:type="dxa"/>
            <w:vAlign w:val="center"/>
          </w:tcPr>
          <w:p w:rsidR="00DE3F35" w:rsidRPr="00C357B6" w:rsidRDefault="00DE3F35" w:rsidP="00C357B6">
            <w:pPr>
              <w:tabs>
                <w:tab w:val="left" w:pos="0"/>
              </w:tabs>
              <w:rPr>
                <w:rFonts w:cs="Calibri"/>
                <w:sz w:val="18"/>
                <w:szCs w:val="18"/>
                <w:lang w:val="en-US"/>
              </w:rPr>
            </w:pPr>
            <w:r w:rsidRPr="00C357B6">
              <w:rPr>
                <w:rFonts w:cs="Calibri"/>
                <w:sz w:val="18"/>
                <w:szCs w:val="18"/>
                <w:lang w:val="en-US"/>
              </w:rPr>
              <w:t>Every establishment will have a pan reviewed by an independent veterinarian</w:t>
            </w:r>
          </w:p>
        </w:tc>
      </w:tr>
      <w:tr w:rsidR="00DE3F35" w:rsidRPr="009D72A7" w:rsidTr="00C357B6">
        <w:tc>
          <w:tcPr>
            <w:tcW w:w="1350" w:type="dxa"/>
            <w:shd w:val="clear" w:color="auto" w:fill="DBE5F1" w:themeFill="accent1" w:themeFillTint="33"/>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Greyhound records</w:t>
            </w:r>
          </w:p>
        </w:tc>
        <w:tc>
          <w:tcPr>
            <w:tcW w:w="918" w:type="dxa"/>
            <w:shd w:val="clear" w:color="auto" w:fill="DBE5F1" w:themeFill="accent1" w:themeFillTint="33"/>
            <w:vAlign w:val="center"/>
          </w:tcPr>
          <w:p w:rsidR="00DE3F35" w:rsidRPr="00C357B6" w:rsidRDefault="00DE3F35" w:rsidP="00D13678">
            <w:pPr>
              <w:pStyle w:val="ListParagraph"/>
              <w:tabs>
                <w:tab w:val="left" w:pos="386"/>
              </w:tabs>
              <w:jc w:val="center"/>
              <w:rPr>
                <w:rFonts w:asciiTheme="majorHAnsi" w:hAnsiTheme="majorHAnsi"/>
                <w:sz w:val="18"/>
                <w:szCs w:val="18"/>
                <w:lang w:val="en-US"/>
              </w:rPr>
            </w:pPr>
          </w:p>
        </w:tc>
        <w:tc>
          <w:tcPr>
            <w:tcW w:w="709" w:type="dxa"/>
            <w:shd w:val="clear" w:color="auto" w:fill="DBE5F1" w:themeFill="accent1" w:themeFillTint="33"/>
            <w:vAlign w:val="center"/>
          </w:tcPr>
          <w:p w:rsidR="00DE3F35" w:rsidRPr="00C357B6" w:rsidRDefault="00DE3F35" w:rsidP="00D13678">
            <w:pPr>
              <w:pStyle w:val="ListParagraph"/>
              <w:tabs>
                <w:tab w:val="left" w:pos="386"/>
              </w:tabs>
              <w:contextualSpacing w:val="0"/>
              <w:jc w:val="center"/>
              <w:rPr>
                <w:rFonts w:asciiTheme="majorHAnsi" w:hAnsiTheme="majorHAnsi"/>
                <w:sz w:val="18"/>
                <w:szCs w:val="18"/>
                <w:lang w:val="en-US"/>
              </w:rPr>
            </w:pPr>
          </w:p>
        </w:tc>
        <w:tc>
          <w:tcPr>
            <w:tcW w:w="925"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918"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ind w:left="-45" w:right="-405" w:firstLine="405"/>
              <w:rPr>
                <w:sz w:val="18"/>
                <w:szCs w:val="18"/>
                <w:lang w:val="en-US"/>
              </w:rPr>
            </w:pPr>
          </w:p>
        </w:tc>
        <w:tc>
          <w:tcPr>
            <w:tcW w:w="709"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992"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851" w:type="dxa"/>
            <w:shd w:val="clear" w:color="auto" w:fill="DBE5F1" w:themeFill="accent1" w:themeFillTint="33"/>
            <w:vAlign w:val="center"/>
          </w:tcPr>
          <w:p w:rsidR="00DE3F35" w:rsidRPr="00C357B6" w:rsidRDefault="00DE3F35" w:rsidP="00D13678">
            <w:pPr>
              <w:tabs>
                <w:tab w:val="left" w:pos="386"/>
              </w:tabs>
              <w:jc w:val="center"/>
              <w:rPr>
                <w:sz w:val="18"/>
                <w:szCs w:val="18"/>
                <w:lang w:val="en-US"/>
              </w:rPr>
            </w:pPr>
          </w:p>
        </w:tc>
        <w:tc>
          <w:tcPr>
            <w:tcW w:w="742"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1843" w:type="dxa"/>
            <w:shd w:val="clear" w:color="auto" w:fill="DBE5F1" w:themeFill="accent1" w:themeFillTint="33"/>
            <w:vAlign w:val="center"/>
          </w:tcPr>
          <w:p w:rsidR="00DE3F35" w:rsidRPr="00C357B6" w:rsidRDefault="00DE3F35" w:rsidP="00C357B6">
            <w:pPr>
              <w:tabs>
                <w:tab w:val="left" w:pos="0"/>
              </w:tabs>
              <w:rPr>
                <w:sz w:val="18"/>
                <w:szCs w:val="18"/>
                <w:lang w:val="en-US"/>
              </w:rPr>
            </w:pPr>
            <w:r w:rsidRPr="00DE3F35">
              <w:rPr>
                <w:sz w:val="18"/>
                <w:szCs w:val="18"/>
                <w:lang w:val="en-US"/>
              </w:rPr>
              <w:t>Ensures all greyhounds have a record of whole of life</w:t>
            </w:r>
          </w:p>
        </w:tc>
      </w:tr>
      <w:tr w:rsidR="00DE3F35" w:rsidRPr="009D72A7" w:rsidTr="00C357B6">
        <w:tc>
          <w:tcPr>
            <w:tcW w:w="1350" w:type="dxa"/>
            <w:shd w:val="clear" w:color="auto" w:fill="FFFFFF" w:themeFill="background1"/>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Transfer/Sale dogs leaving Industry</w:t>
            </w:r>
          </w:p>
        </w:tc>
        <w:tc>
          <w:tcPr>
            <w:tcW w:w="918"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709" w:type="dxa"/>
            <w:shd w:val="clear" w:color="auto" w:fill="FFFFFF" w:themeFill="background1"/>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25" w:type="dxa"/>
            <w:shd w:val="clear" w:color="auto" w:fill="FFFFFF" w:themeFill="background1"/>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18"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709"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992"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851"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742"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sz w:val="18"/>
                <w:szCs w:val="18"/>
                <w:lang w:val="en-US"/>
              </w:rPr>
            </w:pPr>
          </w:p>
        </w:tc>
        <w:tc>
          <w:tcPr>
            <w:tcW w:w="1843" w:type="dxa"/>
            <w:shd w:val="clear" w:color="auto" w:fill="FFFFFF" w:themeFill="background1"/>
            <w:vAlign w:val="center"/>
          </w:tcPr>
          <w:p w:rsidR="00DE3F35" w:rsidRPr="00C357B6" w:rsidRDefault="00DE3F35" w:rsidP="00C357B6">
            <w:pPr>
              <w:tabs>
                <w:tab w:val="left" w:pos="0"/>
              </w:tabs>
              <w:rPr>
                <w:sz w:val="18"/>
                <w:szCs w:val="18"/>
                <w:lang w:val="en-US"/>
              </w:rPr>
            </w:pPr>
            <w:r w:rsidRPr="00DE3F35">
              <w:rPr>
                <w:sz w:val="18"/>
                <w:szCs w:val="18"/>
                <w:lang w:val="en-US"/>
              </w:rPr>
              <w:t>Ensures a record of every animal leaving the industry is to a known whereabouts</w:t>
            </w:r>
          </w:p>
        </w:tc>
      </w:tr>
      <w:tr w:rsidR="00DE3F35" w:rsidRPr="009D72A7" w:rsidTr="00C357B6">
        <w:tc>
          <w:tcPr>
            <w:tcW w:w="1350" w:type="dxa"/>
            <w:shd w:val="clear" w:color="auto" w:fill="DBE5F1" w:themeFill="accent1" w:themeFillTint="33"/>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Food receptacle for all dogs</w:t>
            </w:r>
          </w:p>
        </w:tc>
        <w:tc>
          <w:tcPr>
            <w:tcW w:w="918" w:type="dxa"/>
            <w:shd w:val="clear" w:color="auto" w:fill="DBE5F1" w:themeFill="accent1" w:themeFillTint="33"/>
            <w:vAlign w:val="center"/>
          </w:tcPr>
          <w:p w:rsidR="00DE3F35" w:rsidRPr="00C357B6" w:rsidRDefault="00DE3F35" w:rsidP="00D13678">
            <w:pPr>
              <w:pStyle w:val="ListParagraph"/>
              <w:tabs>
                <w:tab w:val="left" w:pos="386"/>
              </w:tabs>
              <w:jc w:val="center"/>
              <w:rPr>
                <w:rFonts w:asciiTheme="majorHAnsi" w:hAnsiTheme="majorHAnsi"/>
                <w:sz w:val="18"/>
                <w:szCs w:val="18"/>
                <w:lang w:val="en-US"/>
              </w:rPr>
            </w:pPr>
          </w:p>
        </w:tc>
        <w:tc>
          <w:tcPr>
            <w:tcW w:w="709"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25"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18"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09"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992"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851"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42"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1843" w:type="dxa"/>
            <w:shd w:val="clear" w:color="auto" w:fill="DBE5F1" w:themeFill="accent1" w:themeFillTint="33"/>
            <w:vAlign w:val="center"/>
          </w:tcPr>
          <w:p w:rsidR="00DE3F35" w:rsidRPr="00C357B6" w:rsidRDefault="00506F0C" w:rsidP="00C357B6">
            <w:pPr>
              <w:tabs>
                <w:tab w:val="left" w:pos="386"/>
              </w:tabs>
              <w:rPr>
                <w:rFonts w:asciiTheme="majorHAnsi" w:hAnsiTheme="majorHAnsi"/>
                <w:sz w:val="18"/>
                <w:szCs w:val="18"/>
                <w:lang w:val="en-US"/>
              </w:rPr>
            </w:pPr>
            <w:r w:rsidRPr="00506F0C">
              <w:rPr>
                <w:rFonts w:asciiTheme="majorHAnsi" w:hAnsiTheme="majorHAnsi"/>
                <w:sz w:val="18"/>
                <w:szCs w:val="18"/>
                <w:lang w:val="en-US"/>
              </w:rPr>
              <w:t>Ensures all dogs over 16 weeks have access to a food and in a clean and hygienic container</w:t>
            </w:r>
          </w:p>
        </w:tc>
      </w:tr>
      <w:tr w:rsidR="00DE3F35" w:rsidRPr="009D72A7" w:rsidTr="00C357B6">
        <w:tc>
          <w:tcPr>
            <w:tcW w:w="1350" w:type="dxa"/>
            <w:shd w:val="clear" w:color="auto" w:fill="FFFFFF" w:themeFill="background1"/>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Health -Veterinary checks</w:t>
            </w:r>
          </w:p>
        </w:tc>
        <w:tc>
          <w:tcPr>
            <w:tcW w:w="918" w:type="dxa"/>
            <w:shd w:val="clear" w:color="auto" w:fill="FFFFFF" w:themeFill="background1"/>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09" w:type="dxa"/>
            <w:shd w:val="clear" w:color="auto" w:fill="FFFFFF" w:themeFill="background1"/>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925"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918"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709"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992" w:type="dxa"/>
            <w:shd w:val="clear" w:color="auto" w:fill="FFFFFF" w:themeFill="background1"/>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851" w:type="dxa"/>
            <w:shd w:val="clear" w:color="auto" w:fill="FFFFFF" w:themeFill="background1"/>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42" w:type="dxa"/>
            <w:shd w:val="clear" w:color="auto" w:fill="FFFFFF" w:themeFill="background1"/>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1843" w:type="dxa"/>
            <w:shd w:val="clear" w:color="auto" w:fill="FFFFFF" w:themeFill="background1"/>
            <w:vAlign w:val="center"/>
          </w:tcPr>
          <w:p w:rsidR="00DE3F35" w:rsidRPr="00C357B6" w:rsidRDefault="00506F0C" w:rsidP="00C357B6">
            <w:pPr>
              <w:tabs>
                <w:tab w:val="left" w:pos="0"/>
              </w:tabs>
              <w:rPr>
                <w:rFonts w:asciiTheme="majorHAnsi" w:hAnsiTheme="majorHAnsi"/>
                <w:sz w:val="18"/>
                <w:szCs w:val="18"/>
                <w:lang w:val="en-US"/>
              </w:rPr>
            </w:pPr>
            <w:r w:rsidRPr="00506F0C">
              <w:rPr>
                <w:rFonts w:asciiTheme="majorHAnsi" w:hAnsiTheme="majorHAnsi"/>
                <w:sz w:val="18"/>
                <w:szCs w:val="18"/>
                <w:lang w:val="en-US"/>
              </w:rPr>
              <w:t>Ensures all dogs in all stages of life receive at least one vet check per year.</w:t>
            </w:r>
          </w:p>
        </w:tc>
      </w:tr>
      <w:tr w:rsidR="00DE3F35" w:rsidRPr="009D72A7" w:rsidTr="00C357B6">
        <w:tc>
          <w:tcPr>
            <w:tcW w:w="1350" w:type="dxa"/>
            <w:shd w:val="clear" w:color="auto" w:fill="DBE5F1" w:themeFill="accent1" w:themeFillTint="33"/>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Exercise/</w:t>
            </w:r>
          </w:p>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training/</w:t>
            </w:r>
          </w:p>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enrichment/</w:t>
            </w:r>
          </w:p>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socialisation</w:t>
            </w:r>
          </w:p>
        </w:tc>
        <w:tc>
          <w:tcPr>
            <w:tcW w:w="918"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09" w:type="dxa"/>
            <w:shd w:val="clear" w:color="auto" w:fill="DBE5F1" w:themeFill="accent1" w:themeFillTint="33"/>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925"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918"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92" w:type="dxa"/>
            <w:shd w:val="clear" w:color="auto" w:fill="DBE5F1" w:themeFill="accent1" w:themeFillTint="33"/>
            <w:vAlign w:val="center"/>
          </w:tcPr>
          <w:p w:rsidR="00DE3F35" w:rsidRPr="00C357B6" w:rsidRDefault="00DE3F35" w:rsidP="00D13678">
            <w:pPr>
              <w:pStyle w:val="ListParagraph"/>
              <w:tabs>
                <w:tab w:val="left" w:pos="386"/>
              </w:tabs>
              <w:jc w:val="center"/>
              <w:rPr>
                <w:rFonts w:asciiTheme="majorHAnsi" w:hAnsiTheme="majorHAnsi"/>
                <w:sz w:val="18"/>
                <w:szCs w:val="18"/>
                <w:lang w:val="en-US"/>
              </w:rPr>
            </w:pPr>
          </w:p>
        </w:tc>
        <w:tc>
          <w:tcPr>
            <w:tcW w:w="851" w:type="dxa"/>
            <w:shd w:val="clear" w:color="auto" w:fill="DBE5F1" w:themeFill="accent1" w:themeFillTint="33"/>
            <w:vAlign w:val="center"/>
          </w:tcPr>
          <w:p w:rsidR="00DE3F35" w:rsidRPr="00C357B6" w:rsidRDefault="00DE3F35" w:rsidP="00D13678">
            <w:pPr>
              <w:pStyle w:val="ListParagraph"/>
              <w:tabs>
                <w:tab w:val="left" w:pos="386"/>
              </w:tabs>
              <w:jc w:val="center"/>
              <w:rPr>
                <w:rFonts w:asciiTheme="majorHAnsi" w:hAnsiTheme="majorHAnsi"/>
                <w:sz w:val="18"/>
                <w:szCs w:val="18"/>
                <w:lang w:val="en-US"/>
              </w:rPr>
            </w:pPr>
          </w:p>
        </w:tc>
        <w:tc>
          <w:tcPr>
            <w:tcW w:w="742" w:type="dxa"/>
            <w:shd w:val="clear" w:color="auto" w:fill="DBE5F1" w:themeFill="accent1" w:themeFillTint="33"/>
            <w:vAlign w:val="center"/>
          </w:tcPr>
          <w:p w:rsidR="00DE3F35" w:rsidRPr="00C357B6" w:rsidRDefault="00DE3F35" w:rsidP="00981934">
            <w:pPr>
              <w:pStyle w:val="ListParagraph"/>
              <w:numPr>
                <w:ilvl w:val="0"/>
                <w:numId w:val="1"/>
              </w:numPr>
              <w:tabs>
                <w:tab w:val="left" w:pos="386"/>
              </w:tabs>
              <w:jc w:val="center"/>
              <w:rPr>
                <w:rFonts w:asciiTheme="majorHAnsi" w:hAnsiTheme="majorHAnsi"/>
                <w:sz w:val="18"/>
                <w:szCs w:val="18"/>
                <w:lang w:val="en-US"/>
              </w:rPr>
            </w:pPr>
          </w:p>
        </w:tc>
        <w:tc>
          <w:tcPr>
            <w:tcW w:w="1843" w:type="dxa"/>
            <w:shd w:val="clear" w:color="auto" w:fill="DBE5F1" w:themeFill="accent1" w:themeFillTint="33"/>
            <w:vAlign w:val="center"/>
          </w:tcPr>
          <w:p w:rsidR="00DE3F35" w:rsidRPr="00C357B6" w:rsidRDefault="001702E4" w:rsidP="00C357B6">
            <w:pPr>
              <w:tabs>
                <w:tab w:val="left" w:pos="0"/>
              </w:tabs>
              <w:ind w:left="-4" w:firstLine="4"/>
              <w:rPr>
                <w:rFonts w:asciiTheme="majorHAnsi" w:hAnsiTheme="majorHAnsi"/>
                <w:sz w:val="18"/>
                <w:szCs w:val="18"/>
                <w:lang w:val="en-US"/>
              </w:rPr>
            </w:pPr>
            <w:r w:rsidRPr="001702E4">
              <w:rPr>
                <w:rFonts w:asciiTheme="majorHAnsi" w:hAnsiTheme="majorHAnsi"/>
                <w:sz w:val="18"/>
                <w:szCs w:val="18"/>
                <w:lang w:val="en-US"/>
              </w:rPr>
              <w:t xml:space="preserve">Ensures all dogs in all stages of life have adequate and suitable exercise, enrichment and </w:t>
            </w:r>
            <w:r>
              <w:rPr>
                <w:rFonts w:asciiTheme="majorHAnsi" w:hAnsiTheme="majorHAnsi"/>
                <w:sz w:val="18"/>
                <w:szCs w:val="18"/>
                <w:lang w:val="en-US"/>
              </w:rPr>
              <w:t>socialization.</w:t>
            </w:r>
          </w:p>
        </w:tc>
      </w:tr>
      <w:tr w:rsidR="00DE3F35" w:rsidRPr="009D72A7" w:rsidTr="00C357B6">
        <w:tc>
          <w:tcPr>
            <w:tcW w:w="1350" w:type="dxa"/>
            <w:tcBorders>
              <w:bottom w:val="single" w:sz="4" w:space="0" w:color="auto"/>
            </w:tcBorders>
            <w:shd w:val="clear" w:color="auto" w:fill="auto"/>
          </w:tcPr>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Retirement/</w:t>
            </w:r>
          </w:p>
          <w:p w:rsidR="00DE3F35" w:rsidRPr="00C357B6" w:rsidRDefault="00DE3F35" w:rsidP="00D13678">
            <w:pPr>
              <w:rPr>
                <w:rFonts w:asciiTheme="majorHAnsi" w:hAnsiTheme="majorHAnsi"/>
                <w:sz w:val="18"/>
                <w:szCs w:val="18"/>
                <w:lang w:val="en-US"/>
              </w:rPr>
            </w:pPr>
            <w:r w:rsidRPr="00C357B6">
              <w:rPr>
                <w:rFonts w:asciiTheme="majorHAnsi" w:hAnsiTheme="majorHAnsi"/>
                <w:sz w:val="18"/>
                <w:szCs w:val="18"/>
                <w:lang w:val="en-US"/>
              </w:rPr>
              <w:t>rehoming</w:t>
            </w:r>
          </w:p>
        </w:tc>
        <w:tc>
          <w:tcPr>
            <w:tcW w:w="918" w:type="dxa"/>
            <w:tcBorders>
              <w:bottom w:val="single" w:sz="4" w:space="0" w:color="auto"/>
            </w:tcBorders>
            <w:shd w:val="clear" w:color="auto" w:fill="auto"/>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709" w:type="dxa"/>
            <w:tcBorders>
              <w:bottom w:val="single" w:sz="4" w:space="0" w:color="auto"/>
            </w:tcBorders>
            <w:shd w:val="clear" w:color="auto" w:fill="auto"/>
            <w:vAlign w:val="center"/>
          </w:tcPr>
          <w:p w:rsidR="00DE3F35" w:rsidRPr="00C357B6" w:rsidRDefault="00DE3F35" w:rsidP="00D13678">
            <w:pPr>
              <w:tabs>
                <w:tab w:val="left" w:pos="386"/>
              </w:tabs>
              <w:jc w:val="center"/>
              <w:rPr>
                <w:rFonts w:asciiTheme="majorHAnsi" w:hAnsiTheme="majorHAnsi"/>
                <w:sz w:val="18"/>
                <w:szCs w:val="18"/>
                <w:lang w:val="en-US"/>
              </w:rPr>
            </w:pPr>
          </w:p>
        </w:tc>
        <w:tc>
          <w:tcPr>
            <w:tcW w:w="925"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18"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09"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992"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851"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742" w:type="dxa"/>
            <w:tcBorders>
              <w:bottom w:val="single" w:sz="4" w:space="0" w:color="auto"/>
            </w:tcBorders>
            <w:shd w:val="clear" w:color="auto" w:fill="auto"/>
            <w:vAlign w:val="center"/>
          </w:tcPr>
          <w:p w:rsidR="00DE3F35" w:rsidRPr="00C357B6" w:rsidRDefault="00DE3F35" w:rsidP="00981934">
            <w:pPr>
              <w:pStyle w:val="ListParagraph"/>
              <w:numPr>
                <w:ilvl w:val="0"/>
                <w:numId w:val="1"/>
              </w:numPr>
              <w:tabs>
                <w:tab w:val="left" w:pos="386"/>
              </w:tabs>
              <w:contextualSpacing w:val="0"/>
              <w:jc w:val="center"/>
              <w:rPr>
                <w:rFonts w:asciiTheme="majorHAnsi" w:hAnsiTheme="majorHAnsi"/>
                <w:sz w:val="18"/>
                <w:szCs w:val="18"/>
                <w:lang w:val="en-US"/>
              </w:rPr>
            </w:pPr>
          </w:p>
        </w:tc>
        <w:tc>
          <w:tcPr>
            <w:tcW w:w="1843" w:type="dxa"/>
            <w:tcBorders>
              <w:bottom w:val="single" w:sz="4" w:space="0" w:color="auto"/>
            </w:tcBorders>
            <w:shd w:val="clear" w:color="auto" w:fill="auto"/>
            <w:vAlign w:val="center"/>
          </w:tcPr>
          <w:p w:rsidR="00DE3F35" w:rsidRPr="00C357B6" w:rsidRDefault="008536B1" w:rsidP="00C357B6">
            <w:pPr>
              <w:tabs>
                <w:tab w:val="left" w:pos="0"/>
              </w:tabs>
              <w:rPr>
                <w:rFonts w:cs="Calibri"/>
                <w:sz w:val="18"/>
                <w:szCs w:val="18"/>
                <w:lang w:val="en-US"/>
              </w:rPr>
            </w:pPr>
            <w:r w:rsidRPr="00C357B6">
              <w:rPr>
                <w:rFonts w:cs="Calibri"/>
                <w:sz w:val="18"/>
                <w:szCs w:val="20"/>
                <w:lang w:val="en-US"/>
              </w:rPr>
              <w:t>Requires any dog at any stage, leaving the industry, the maximum chance to be rehomed.</w:t>
            </w:r>
          </w:p>
        </w:tc>
      </w:tr>
    </w:tbl>
    <w:p w:rsidR="009A301A" w:rsidRDefault="009A301A" w:rsidP="00CD18E5">
      <w:pPr>
        <w:autoSpaceDE w:val="0"/>
        <w:autoSpaceDN w:val="0"/>
        <w:adjustRightInd w:val="0"/>
        <w:rPr>
          <w:rFonts w:cs="Arial-BoldMT"/>
          <w:bCs/>
        </w:rPr>
      </w:pPr>
    </w:p>
    <w:p w:rsidR="009A301A" w:rsidRDefault="009A301A">
      <w:pPr>
        <w:rPr>
          <w:rFonts w:cs="Arial-BoldMT"/>
          <w:bCs/>
        </w:rPr>
      </w:pPr>
      <w:r>
        <w:rPr>
          <w:rFonts w:cs="Arial-BoldMT"/>
          <w:bCs/>
        </w:rPr>
        <w:br w:type="page"/>
      </w:r>
    </w:p>
    <w:p w:rsidR="00F460F0" w:rsidRPr="00F460F0" w:rsidRDefault="00F460F0" w:rsidP="00F460F0">
      <w:pPr>
        <w:pStyle w:val="Heading1"/>
      </w:pPr>
      <w:bookmarkStart w:id="203" w:name="_Toc469529200"/>
      <w:bookmarkStart w:id="204" w:name="_Toc477190224"/>
      <w:r>
        <w:lastRenderedPageBreak/>
        <w:t>Appendix 3:</w:t>
      </w:r>
      <w:r w:rsidR="007B521C">
        <w:t xml:space="preserve"> </w:t>
      </w:r>
      <w:r>
        <w:t xml:space="preserve">Salaries and charge out rates used for estimating </w:t>
      </w:r>
      <w:r w:rsidR="00FA3299">
        <w:t>time costs</w:t>
      </w:r>
      <w:bookmarkEnd w:id="203"/>
      <w:bookmarkEnd w:id="204"/>
    </w:p>
    <w:p w:rsidR="008D71FB" w:rsidRDefault="00F460F0">
      <w:r>
        <w:t>Table A3.1 illustrates the range of salaries and charge out rates</w:t>
      </w:r>
      <w:r w:rsidR="008239A8">
        <w:rPr>
          <w:rStyle w:val="FootnoteReference"/>
        </w:rPr>
        <w:footnoteReference w:id="161"/>
      </w:r>
      <w:r>
        <w:t xml:space="preserve"> used for estimating compliance costs of options in Appendix 4, involving an individual’s time.</w:t>
      </w:r>
    </w:p>
    <w:p w:rsidR="008D71FB" w:rsidRDefault="008D71FB"/>
    <w:p w:rsidR="008D71FB" w:rsidRDefault="008D71FB" w:rsidP="004B0055">
      <w:pPr>
        <w:jc w:val="center"/>
        <w:rPr>
          <w:b/>
        </w:rPr>
      </w:pPr>
      <w:r w:rsidRPr="004B0055">
        <w:rPr>
          <w:b/>
        </w:rPr>
        <w:t>Table A3.1: Summary of salaries and charge out rates</w:t>
      </w:r>
    </w:p>
    <w:p w:rsidR="008D71FB" w:rsidRPr="004B0055" w:rsidRDefault="008D71FB" w:rsidP="004B0055">
      <w:pPr>
        <w:jc w:val="center"/>
        <w:rPr>
          <w:b/>
        </w:rPr>
      </w:pPr>
    </w:p>
    <w:tbl>
      <w:tblPr>
        <w:tblW w:w="7378" w:type="dxa"/>
        <w:jc w:val="center"/>
        <w:tblLook w:val="04A0" w:firstRow="1" w:lastRow="0" w:firstColumn="1" w:lastColumn="0" w:noHBand="0" w:noVBand="1"/>
      </w:tblPr>
      <w:tblGrid>
        <w:gridCol w:w="5954"/>
        <w:gridCol w:w="1424"/>
      </w:tblGrid>
      <w:tr w:rsidR="008D71FB" w:rsidRPr="00BD28C4" w:rsidTr="00E2479C">
        <w:trPr>
          <w:trHeight w:val="540"/>
          <w:jc w:val="center"/>
        </w:trPr>
        <w:tc>
          <w:tcPr>
            <w:tcW w:w="5954" w:type="dxa"/>
            <w:tcBorders>
              <w:top w:val="single" w:sz="4" w:space="0" w:color="1F4E78"/>
              <w:left w:val="nil"/>
              <w:bottom w:val="double" w:sz="6" w:space="0" w:color="1F4E78"/>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Staff/business category</w:t>
            </w:r>
          </w:p>
        </w:tc>
        <w:tc>
          <w:tcPr>
            <w:tcW w:w="1424" w:type="dxa"/>
            <w:tcBorders>
              <w:top w:val="single" w:sz="4" w:space="0" w:color="1F4E78"/>
              <w:left w:val="nil"/>
              <w:bottom w:val="double" w:sz="6" w:space="0" w:color="1F4E78"/>
              <w:right w:val="nil"/>
            </w:tcBorders>
            <w:shd w:val="clear" w:color="000000" w:fill="FFFFFF"/>
            <w:vAlign w:val="bottom"/>
            <w:hideMark/>
          </w:tcPr>
          <w:p w:rsidR="008D71FB" w:rsidRPr="00BD28C4" w:rsidRDefault="008D71FB" w:rsidP="008D71F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Salaries and rates</w:t>
            </w:r>
          </w:p>
        </w:tc>
      </w:tr>
      <w:tr w:rsidR="008D71FB" w:rsidRPr="00BD28C4" w:rsidTr="00E2479C">
        <w:trPr>
          <w:trHeight w:val="315"/>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Volunteer annual salary June 2012</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$35,000</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Volunteer annual salary indexed 2016</w:t>
            </w:r>
            <w:r>
              <w:rPr>
                <w:rFonts w:eastAsia="Times New Roman" w:cs="Calibri"/>
                <w:sz w:val="20"/>
                <w:szCs w:val="20"/>
                <w:lang w:eastAsia="en-AU"/>
              </w:rPr>
              <w:t>*</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$38,139</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$66,647</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$38.15</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Operations manager annual salary June 2012</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$62,500</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Operations manager annual salary indexed 2016</w:t>
            </w:r>
            <w:r>
              <w:rPr>
                <w:rFonts w:eastAsia="Times New Roman" w:cs="Calibri"/>
                <w:sz w:val="20"/>
                <w:szCs w:val="20"/>
                <w:lang w:eastAsia="en-AU"/>
              </w:rPr>
              <w:t>*</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$68,105</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$119,013</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$68.13</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VPS3 annual salary (GRV)</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$69,223</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$120,967</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$69.25</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Veterinarian</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color w:val="53565A"/>
                <w:sz w:val="20"/>
                <w:szCs w:val="20"/>
                <w:lang w:eastAsia="en-AU"/>
              </w:rPr>
            </w:pPr>
            <w:r w:rsidRPr="00BD28C4">
              <w:rPr>
                <w:rFonts w:eastAsia="Times New Roman" w:cs="Calibri"/>
                <w:color w:val="53565A"/>
                <w:sz w:val="20"/>
                <w:szCs w:val="20"/>
                <w:lang w:eastAsia="en-AU"/>
              </w:rPr>
              <w:t> </w:t>
            </w:r>
          </w:p>
        </w:tc>
      </w:tr>
      <w:tr w:rsidR="008D71FB" w:rsidRPr="008D71FB" w:rsidTr="00E2479C">
        <w:trPr>
          <w:trHeight w:val="300"/>
          <w:jc w:val="center"/>
        </w:trPr>
        <w:tc>
          <w:tcPr>
            <w:tcW w:w="5954" w:type="dxa"/>
            <w:tcBorders>
              <w:top w:val="single" w:sz="4" w:space="0" w:color="1F4E78"/>
              <w:left w:val="nil"/>
              <w:bottom w:val="nil"/>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rate for first hour</w:t>
            </w:r>
          </w:p>
        </w:tc>
        <w:tc>
          <w:tcPr>
            <w:tcW w:w="1424" w:type="dxa"/>
            <w:tcBorders>
              <w:top w:val="single" w:sz="4" w:space="0" w:color="1F4E78"/>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$125</w:t>
            </w:r>
          </w:p>
        </w:tc>
      </w:tr>
      <w:tr w:rsidR="008D71FB" w:rsidRPr="008D71FB" w:rsidTr="00E2479C">
        <w:trPr>
          <w:trHeight w:val="300"/>
          <w:jc w:val="center"/>
        </w:trPr>
        <w:tc>
          <w:tcPr>
            <w:tcW w:w="5954" w:type="dxa"/>
            <w:tcBorders>
              <w:top w:val="nil"/>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15-minute rate after the first hour</w:t>
            </w:r>
          </w:p>
        </w:tc>
        <w:tc>
          <w:tcPr>
            <w:tcW w:w="1424" w:type="dxa"/>
            <w:tcBorders>
              <w:top w:val="nil"/>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$120</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Animal welfare inspector annual salary (GRV)</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$67,000</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$117,083</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$67.03</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Investigations unit officer annual salary (GRV)</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$82,500</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$144,169</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$82.53</w:t>
            </w:r>
          </w:p>
        </w:tc>
      </w:tr>
      <w:tr w:rsidR="008D71FB" w:rsidRPr="00BD28C4"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BD28C4" w:rsidRDefault="008D71FB" w:rsidP="008D71F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Council inspector annual salary**</w:t>
            </w:r>
          </w:p>
        </w:tc>
        <w:tc>
          <w:tcPr>
            <w:tcW w:w="1424" w:type="dxa"/>
            <w:tcBorders>
              <w:top w:val="nil"/>
              <w:left w:val="nil"/>
              <w:bottom w:val="nil"/>
              <w:right w:val="nil"/>
            </w:tcBorders>
            <w:shd w:val="clear" w:color="000000" w:fill="FFFFFF"/>
            <w:noWrap/>
            <w:vAlign w:val="bottom"/>
            <w:hideMark/>
          </w:tcPr>
          <w:p w:rsidR="008D71FB" w:rsidRPr="00BD28C4" w:rsidRDefault="008D71FB" w:rsidP="008D71FB">
            <w:pPr>
              <w:jc w:val="right"/>
              <w:rPr>
                <w:rFonts w:eastAsia="Times New Roman" w:cs="Calibri"/>
                <w:b/>
                <w:bCs/>
                <w:color w:val="53565A"/>
                <w:sz w:val="20"/>
                <w:szCs w:val="20"/>
                <w:lang w:eastAsia="en-AU"/>
              </w:rPr>
            </w:pPr>
            <w:r w:rsidRPr="00BD28C4">
              <w:rPr>
                <w:rFonts w:eastAsia="Times New Roman" w:cs="Calibri"/>
                <w:b/>
                <w:bCs/>
                <w:color w:val="53565A"/>
                <w:sz w:val="20"/>
                <w:szCs w:val="20"/>
                <w:lang w:eastAsia="en-AU"/>
              </w:rPr>
              <w:t>$75,000</w:t>
            </w:r>
          </w:p>
        </w:tc>
      </w:tr>
      <w:tr w:rsidR="008D71FB" w:rsidRPr="008D71FB" w:rsidTr="00E2479C">
        <w:trPr>
          <w:trHeight w:val="300"/>
          <w:jc w:val="center"/>
        </w:trPr>
        <w:tc>
          <w:tcPr>
            <w:tcW w:w="5954" w:type="dxa"/>
            <w:tcBorders>
              <w:top w:val="nil"/>
              <w:left w:val="nil"/>
              <w:bottom w:val="nil"/>
              <w:right w:val="nil"/>
            </w:tcBorders>
            <w:shd w:val="clear" w:color="000000" w:fill="FFFFFF"/>
            <w:noWrap/>
            <w:vAlign w:val="bottom"/>
            <w:hideMark/>
          </w:tcPr>
          <w:p w:rsidR="008D71FB" w:rsidRPr="008D71FB" w:rsidRDefault="008D71FB" w:rsidP="008D71FB">
            <w:pPr>
              <w:rPr>
                <w:rFonts w:eastAsia="Times New Roman" w:cs="Calibri"/>
                <w:sz w:val="20"/>
                <w:szCs w:val="20"/>
                <w:lang w:eastAsia="en-AU"/>
              </w:rPr>
            </w:pPr>
            <w:r w:rsidRPr="008D71FB">
              <w:rPr>
                <w:rFonts w:eastAsia="Times New Roman" w:cs="Calibri"/>
                <w:sz w:val="20"/>
                <w:szCs w:val="20"/>
                <w:lang w:eastAsia="en-AU"/>
              </w:rPr>
              <w:t>Total annual salary including on-costs and overheads</w:t>
            </w:r>
          </w:p>
        </w:tc>
        <w:tc>
          <w:tcPr>
            <w:tcW w:w="1424" w:type="dxa"/>
            <w:tcBorders>
              <w:top w:val="nil"/>
              <w:left w:val="nil"/>
              <w:bottom w:val="nil"/>
              <w:right w:val="nil"/>
            </w:tcBorders>
            <w:shd w:val="clear" w:color="000000" w:fill="FFFFFF"/>
            <w:noWrap/>
            <w:vAlign w:val="bottom"/>
            <w:hideMark/>
          </w:tcPr>
          <w:p w:rsidR="008D71FB" w:rsidRPr="008D71FB" w:rsidRDefault="008D71FB" w:rsidP="008D71FB">
            <w:pPr>
              <w:jc w:val="right"/>
              <w:rPr>
                <w:rFonts w:eastAsia="Times New Roman" w:cs="Calibri"/>
                <w:sz w:val="20"/>
                <w:szCs w:val="20"/>
                <w:lang w:eastAsia="en-AU"/>
              </w:rPr>
            </w:pPr>
            <w:r w:rsidRPr="008D71FB">
              <w:rPr>
                <w:rFonts w:eastAsia="Times New Roman" w:cs="Calibri"/>
                <w:sz w:val="20"/>
                <w:szCs w:val="20"/>
                <w:lang w:eastAsia="en-AU"/>
              </w:rPr>
              <w:t>$131,063</w:t>
            </w:r>
          </w:p>
        </w:tc>
      </w:tr>
      <w:tr w:rsidR="008D71FB" w:rsidRPr="008D71FB" w:rsidTr="00E2479C">
        <w:trPr>
          <w:trHeight w:val="300"/>
          <w:jc w:val="center"/>
        </w:trPr>
        <w:tc>
          <w:tcPr>
            <w:tcW w:w="595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rPr>
                <w:rFonts w:eastAsia="Times New Roman" w:cs="Calibri"/>
                <w:b/>
                <w:bCs/>
                <w:i/>
                <w:iCs/>
                <w:sz w:val="20"/>
                <w:szCs w:val="20"/>
                <w:lang w:eastAsia="en-AU"/>
              </w:rPr>
            </w:pPr>
            <w:r w:rsidRPr="008D71FB">
              <w:rPr>
                <w:rFonts w:eastAsia="Times New Roman" w:cs="Calibri"/>
                <w:b/>
                <w:bCs/>
                <w:i/>
                <w:iCs/>
                <w:sz w:val="20"/>
                <w:szCs w:val="20"/>
                <w:lang w:eastAsia="en-AU"/>
              </w:rPr>
              <w:t>Hourly charge out rate</w:t>
            </w:r>
          </w:p>
        </w:tc>
        <w:tc>
          <w:tcPr>
            <w:tcW w:w="1424" w:type="dxa"/>
            <w:tcBorders>
              <w:top w:val="single" w:sz="4" w:space="0" w:color="1F4E78"/>
              <w:left w:val="nil"/>
              <w:bottom w:val="single" w:sz="4" w:space="0" w:color="1F4E78"/>
              <w:right w:val="nil"/>
            </w:tcBorders>
            <w:shd w:val="clear" w:color="000000" w:fill="FFFFFF"/>
            <w:noWrap/>
            <w:vAlign w:val="bottom"/>
            <w:hideMark/>
          </w:tcPr>
          <w:p w:rsidR="008D71FB" w:rsidRPr="008D71FB" w:rsidRDefault="008D71FB" w:rsidP="008D71FB">
            <w:pPr>
              <w:jc w:val="right"/>
              <w:rPr>
                <w:rFonts w:eastAsia="Times New Roman" w:cs="Calibri"/>
                <w:b/>
                <w:bCs/>
                <w:i/>
                <w:iCs/>
                <w:sz w:val="20"/>
                <w:szCs w:val="20"/>
                <w:lang w:eastAsia="en-AU"/>
              </w:rPr>
            </w:pPr>
            <w:r w:rsidRPr="008D71FB">
              <w:rPr>
                <w:rFonts w:eastAsia="Times New Roman" w:cs="Calibri"/>
                <w:b/>
                <w:bCs/>
                <w:i/>
                <w:iCs/>
                <w:sz w:val="20"/>
                <w:szCs w:val="20"/>
                <w:lang w:eastAsia="en-AU"/>
              </w:rPr>
              <w:t>$75.03</w:t>
            </w:r>
          </w:p>
        </w:tc>
      </w:tr>
    </w:tbl>
    <w:p w:rsidR="008239A8" w:rsidRDefault="008D71FB" w:rsidP="00E2479C">
      <w:pPr>
        <w:ind w:left="426" w:right="425"/>
        <w:rPr>
          <w:sz w:val="18"/>
        </w:rPr>
      </w:pPr>
      <w:r w:rsidRPr="004B0055">
        <w:rPr>
          <w:sz w:val="18"/>
        </w:rPr>
        <w:t>*Indexed using ABS wage price index catalogue 6345.0 (a June 2012 index of 110.4 and a June 2016 index of 120.3 = indexing factor of 1.1) **Includes average of midpoint band 5 and band 6</w:t>
      </w:r>
    </w:p>
    <w:p w:rsidR="008239A8" w:rsidRDefault="008239A8" w:rsidP="004B0055">
      <w:pPr>
        <w:jc w:val="both"/>
      </w:pPr>
    </w:p>
    <w:p w:rsidR="008239A8" w:rsidRDefault="008239A8" w:rsidP="004B0055">
      <w:pPr>
        <w:jc w:val="both"/>
      </w:pPr>
      <w:r>
        <w:t>The formula used to calculate hourly charge out rates from annual salaries is given by:</w:t>
      </w:r>
    </w:p>
    <w:p w:rsidR="008239A8" w:rsidRDefault="008239A8" w:rsidP="004B0055">
      <w:pPr>
        <w:jc w:val="both"/>
      </w:pPr>
    </w:p>
    <w:p w:rsidR="008239A8" w:rsidRDefault="008239A8" w:rsidP="004B0055">
      <w:pPr>
        <w:jc w:val="center"/>
        <w:rPr>
          <w:b/>
          <w:sz w:val="20"/>
          <w:shd w:val="clear" w:color="auto" w:fill="FFFFFF" w:themeFill="background1"/>
        </w:rPr>
      </w:pPr>
      <w:r w:rsidRPr="004B0055">
        <w:rPr>
          <w:b/>
          <w:sz w:val="20"/>
          <w:shd w:val="clear" w:color="auto" w:fill="FFFFFF" w:themeFill="background1"/>
        </w:rPr>
        <w:t xml:space="preserve">Hourly charge out rate = annual earnings/(working weeks x hours per week) </w:t>
      </w:r>
    </w:p>
    <w:p w:rsidR="008239A8" w:rsidRPr="004B0055" w:rsidRDefault="008239A8" w:rsidP="004B0055">
      <w:pPr>
        <w:jc w:val="center"/>
        <w:rPr>
          <w:b/>
          <w:sz w:val="20"/>
        </w:rPr>
      </w:pPr>
      <w:r w:rsidRPr="004B0055">
        <w:rPr>
          <w:b/>
          <w:sz w:val="20"/>
          <w:shd w:val="clear" w:color="auto" w:fill="FFFFFF" w:themeFill="background1"/>
        </w:rPr>
        <w:t>x on-cost multiplier x overhead cost multiplier</w:t>
      </w:r>
      <w:r w:rsidRPr="004B0055">
        <w:rPr>
          <w:b/>
          <w:sz w:val="20"/>
        </w:rPr>
        <w:t xml:space="preserve"> </w:t>
      </w:r>
    </w:p>
    <w:p w:rsidR="008239A8" w:rsidRDefault="008239A8" w:rsidP="004B0055">
      <w:pPr>
        <w:jc w:val="center"/>
      </w:pPr>
    </w:p>
    <w:p w:rsidR="008239A8" w:rsidRDefault="008239A8" w:rsidP="004B0055">
      <w:r>
        <w:t xml:space="preserve">Where working weeks = 44 and </w:t>
      </w:r>
    </w:p>
    <w:p w:rsidR="00F460F0" w:rsidRDefault="008239A8" w:rsidP="004B0055">
      <w:pPr>
        <w:rPr>
          <w:rFonts w:asciiTheme="majorHAnsi" w:eastAsiaTheme="majorEastAsia" w:hAnsiTheme="majorHAnsi" w:cstheme="majorBidi"/>
          <w:color w:val="1F497D" w:themeColor="text2"/>
          <w:sz w:val="32"/>
          <w:szCs w:val="32"/>
        </w:rPr>
      </w:pPr>
      <w:r>
        <w:t>Hours per week = 39.7.</w:t>
      </w:r>
      <w:r w:rsidR="00F460F0">
        <w:br w:type="page"/>
      </w:r>
    </w:p>
    <w:p w:rsidR="009A301A" w:rsidRDefault="009A301A" w:rsidP="009A301A">
      <w:pPr>
        <w:pStyle w:val="Heading1"/>
      </w:pPr>
      <w:bookmarkStart w:id="205" w:name="_Toc469529201"/>
      <w:bookmarkStart w:id="206" w:name="_Toc477190225"/>
      <w:r>
        <w:lastRenderedPageBreak/>
        <w:t xml:space="preserve">Appendix </w:t>
      </w:r>
      <w:r w:rsidR="00437400">
        <w:t>4</w:t>
      </w:r>
      <w:r>
        <w:t>:</w:t>
      </w:r>
      <w:r w:rsidR="007B521C">
        <w:t xml:space="preserve"> </w:t>
      </w:r>
      <w:r w:rsidR="00E37780" w:rsidRPr="004B0055">
        <w:t>Estimation of quantifiable costs</w:t>
      </w:r>
      <w:r w:rsidR="00CF728E">
        <w:t xml:space="preserve"> and dogs affected</w:t>
      </w:r>
      <w:r w:rsidR="00E37780" w:rsidRPr="004B0055">
        <w:t xml:space="preserve"> under Option</w:t>
      </w:r>
      <w:r w:rsidR="001913C0">
        <w:t>s 1 to 6</w:t>
      </w:r>
      <w:bookmarkEnd w:id="205"/>
      <w:bookmarkEnd w:id="206"/>
    </w:p>
    <w:p w:rsidR="00271E7E" w:rsidRPr="005F3BA9" w:rsidRDefault="00E42484" w:rsidP="00271E7E">
      <w:pPr>
        <w:pStyle w:val="Heading2"/>
      </w:pPr>
      <w:bookmarkStart w:id="207" w:name="_Toc469529202"/>
      <w:bookmarkStart w:id="208" w:name="_Toc477190226"/>
      <w:r w:rsidRPr="005F3BA9">
        <w:t>A4.1 Introduction</w:t>
      </w:r>
      <w:bookmarkEnd w:id="207"/>
      <w:bookmarkEnd w:id="208"/>
    </w:p>
    <w:p w:rsidR="00271E7E" w:rsidRDefault="00271E7E" w:rsidP="00E42484">
      <w:pPr>
        <w:jc w:val="both"/>
      </w:pPr>
      <w:r>
        <w:t>Sections A4.2 to A4</w:t>
      </w:r>
      <w:r w:rsidRPr="003E59B7">
        <w:t>.</w:t>
      </w:r>
      <w:r w:rsidR="003E59B7" w:rsidRPr="003E59B7">
        <w:t>12</w:t>
      </w:r>
      <w:r w:rsidRPr="003E59B7">
        <w:t xml:space="preserve"> provide</w:t>
      </w:r>
      <w:r>
        <w:t xml:space="preserve"> detail</w:t>
      </w:r>
      <w:r w:rsidR="00E42484">
        <w:t>s</w:t>
      </w:r>
      <w:r>
        <w:t xml:space="preserve"> behind </w:t>
      </w:r>
      <w:r w:rsidR="00E42484">
        <w:t>quantifiable costings and estimation of dogs affected under each of the options (1 to 6) –</w:t>
      </w:r>
      <w:r w:rsidR="007B521C">
        <w:t xml:space="preserve"> </w:t>
      </w:r>
      <w:r w:rsidR="00E42484">
        <w:t xml:space="preserve">determined </w:t>
      </w:r>
      <w:r w:rsidR="00E42484" w:rsidRPr="00E42484">
        <w:rPr>
          <w:i/>
        </w:rPr>
        <w:t>incrementally</w:t>
      </w:r>
      <w:r w:rsidR="00E42484">
        <w:t xml:space="preserve"> from the base case.</w:t>
      </w:r>
      <w:r w:rsidR="007B521C">
        <w:t xml:space="preserve"> </w:t>
      </w:r>
      <w:r w:rsidR="00E42484">
        <w:t>Sections A4.3</w:t>
      </w:r>
      <w:r w:rsidR="00364C49">
        <w:t xml:space="preserve"> (media/information costs)</w:t>
      </w:r>
      <w:r w:rsidR="00E42484">
        <w:t xml:space="preserve"> and A4.4</w:t>
      </w:r>
      <w:r w:rsidR="00364C49">
        <w:t xml:space="preserve"> (enforcement training for councils)</w:t>
      </w:r>
      <w:r w:rsidR="00E42484">
        <w:t xml:space="preserve"> describe unique incremental costs under Options 1 and 4, respectively.</w:t>
      </w:r>
      <w:r w:rsidR="007B521C">
        <w:t xml:space="preserve"> </w:t>
      </w:r>
      <w:r w:rsidR="00E42484">
        <w:t>The remaining</w:t>
      </w:r>
      <w:r w:rsidR="003E59B7">
        <w:t xml:space="preserve"> cost items under Options 1 to 6</w:t>
      </w:r>
      <w:r w:rsidR="00E42484">
        <w:t xml:space="preserve"> are grouped under each of the headings A4.5 to A4</w:t>
      </w:r>
      <w:r w:rsidR="00E42484" w:rsidRPr="003E59B7">
        <w:t>.</w:t>
      </w:r>
      <w:r w:rsidR="003E59B7" w:rsidRPr="003E59B7">
        <w:t>12</w:t>
      </w:r>
      <w:r w:rsidR="00E42484">
        <w:t xml:space="preserve"> for ease of presentation.</w:t>
      </w:r>
      <w:r w:rsidR="007B521C">
        <w:t xml:space="preserve"> </w:t>
      </w:r>
    </w:p>
    <w:p w:rsidR="00E42484" w:rsidRDefault="00E42484" w:rsidP="00271E7E"/>
    <w:p w:rsidR="00271E7E" w:rsidRPr="005F3BA9" w:rsidRDefault="00271E7E" w:rsidP="00271E7E">
      <w:pPr>
        <w:pStyle w:val="Heading2"/>
      </w:pPr>
      <w:bookmarkStart w:id="209" w:name="_Toc469529203"/>
      <w:bookmarkStart w:id="210" w:name="_Toc477190227"/>
      <w:r w:rsidRPr="005F3BA9">
        <w:t>A4.1 Description of options and compliance rates</w:t>
      </w:r>
      <w:r w:rsidR="00DC0C35" w:rsidRPr="005F3BA9">
        <w:t xml:space="preserve"> and expected changes in behaviour under each option</w:t>
      </w:r>
      <w:bookmarkEnd w:id="209"/>
      <w:bookmarkEnd w:id="210"/>
    </w:p>
    <w:p w:rsidR="001913C0" w:rsidRDefault="00DC0C35" w:rsidP="001913C0">
      <w:pPr>
        <w:jc w:val="both"/>
      </w:pPr>
      <w:r>
        <w:t xml:space="preserve">A description of the </w:t>
      </w:r>
      <w:r w:rsidR="001913C0">
        <w:t>base case and Options 1 to 6 are summarised as follows in Table A4.1.</w:t>
      </w:r>
      <w:r w:rsidR="007B521C">
        <w:t xml:space="preserve"> </w:t>
      </w:r>
    </w:p>
    <w:p w:rsidR="001913C0" w:rsidRDefault="001913C0" w:rsidP="001913C0"/>
    <w:p w:rsidR="001913C0" w:rsidRPr="00363A35" w:rsidRDefault="001913C0" w:rsidP="001913C0">
      <w:pPr>
        <w:jc w:val="center"/>
        <w:rPr>
          <w:b/>
          <w:sz w:val="20"/>
        </w:rPr>
      </w:pPr>
      <w:r w:rsidRPr="00363A35">
        <w:rPr>
          <w:b/>
          <w:sz w:val="20"/>
        </w:rPr>
        <w:t>Table A4.1: Description of base case and options</w:t>
      </w:r>
      <w:r w:rsidR="00364C49" w:rsidRPr="00363A35">
        <w:rPr>
          <w:b/>
          <w:sz w:val="20"/>
        </w:rPr>
        <w:t xml:space="preserve"> plus anticipated compliance rates</w:t>
      </w:r>
    </w:p>
    <w:p w:rsidR="001913C0" w:rsidRDefault="001913C0" w:rsidP="001913C0"/>
    <w:tbl>
      <w:tblPr>
        <w:tblW w:w="8221" w:type="dxa"/>
        <w:tblLayout w:type="fixed"/>
        <w:tblLook w:val="04A0" w:firstRow="1" w:lastRow="0" w:firstColumn="1" w:lastColumn="0" w:noHBand="0" w:noVBand="1"/>
      </w:tblPr>
      <w:tblGrid>
        <w:gridCol w:w="817"/>
        <w:gridCol w:w="1843"/>
        <w:gridCol w:w="4144"/>
        <w:gridCol w:w="1417"/>
      </w:tblGrid>
      <w:tr w:rsidR="00BD28C4" w:rsidRPr="00BD28C4" w:rsidTr="00BD28C4">
        <w:tc>
          <w:tcPr>
            <w:tcW w:w="817" w:type="dxa"/>
            <w:tcBorders>
              <w:top w:val="single" w:sz="4" w:space="0" w:color="1F497D" w:themeColor="text2"/>
              <w:bottom w:val="double" w:sz="4" w:space="0" w:color="1F497D" w:themeColor="text2"/>
            </w:tcBorders>
          </w:tcPr>
          <w:p w:rsidR="0010486F" w:rsidRPr="00BD28C4" w:rsidRDefault="0010486F" w:rsidP="001913C0">
            <w:pPr>
              <w:rPr>
                <w:rFonts w:asciiTheme="majorHAnsi" w:hAnsiTheme="majorHAnsi" w:cstheme="majorHAnsi"/>
                <w:b/>
                <w:color w:val="53565A"/>
                <w:sz w:val="18"/>
                <w:szCs w:val="18"/>
              </w:rPr>
            </w:pPr>
            <w:r w:rsidRPr="00BD28C4">
              <w:rPr>
                <w:rFonts w:asciiTheme="majorHAnsi" w:hAnsiTheme="majorHAnsi" w:cstheme="majorHAnsi"/>
                <w:b/>
                <w:color w:val="53565A"/>
                <w:sz w:val="18"/>
                <w:szCs w:val="18"/>
              </w:rPr>
              <w:t>Base case/</w:t>
            </w:r>
            <w:r w:rsidR="00BD28C4">
              <w:rPr>
                <w:rFonts w:asciiTheme="majorHAnsi" w:hAnsiTheme="majorHAnsi" w:cstheme="majorHAnsi"/>
                <w:b/>
                <w:color w:val="53565A"/>
                <w:sz w:val="18"/>
                <w:szCs w:val="18"/>
              </w:rPr>
              <w:br/>
            </w:r>
            <w:r w:rsidRPr="00BD28C4">
              <w:rPr>
                <w:rFonts w:asciiTheme="majorHAnsi" w:hAnsiTheme="majorHAnsi" w:cstheme="majorHAnsi"/>
                <w:b/>
                <w:color w:val="53565A"/>
                <w:sz w:val="18"/>
                <w:szCs w:val="18"/>
              </w:rPr>
              <w:t>Option</w:t>
            </w:r>
          </w:p>
        </w:tc>
        <w:tc>
          <w:tcPr>
            <w:tcW w:w="1843" w:type="dxa"/>
            <w:tcBorders>
              <w:top w:val="single" w:sz="4" w:space="0" w:color="1F497D" w:themeColor="text2"/>
              <w:bottom w:val="double" w:sz="4" w:space="0" w:color="1F497D" w:themeColor="text2"/>
            </w:tcBorders>
          </w:tcPr>
          <w:p w:rsidR="0010486F" w:rsidRPr="00BD28C4" w:rsidRDefault="0010486F" w:rsidP="001913C0">
            <w:pPr>
              <w:rPr>
                <w:rFonts w:asciiTheme="majorHAnsi" w:hAnsiTheme="majorHAnsi" w:cstheme="majorHAnsi"/>
                <w:b/>
                <w:color w:val="53565A"/>
                <w:sz w:val="18"/>
                <w:szCs w:val="18"/>
              </w:rPr>
            </w:pPr>
            <w:r w:rsidRPr="00BD28C4">
              <w:rPr>
                <w:rFonts w:asciiTheme="majorHAnsi" w:hAnsiTheme="majorHAnsi" w:cstheme="majorHAnsi"/>
                <w:b/>
                <w:color w:val="53565A"/>
                <w:sz w:val="18"/>
                <w:szCs w:val="18"/>
              </w:rPr>
              <w:t>Short description</w:t>
            </w:r>
          </w:p>
        </w:tc>
        <w:tc>
          <w:tcPr>
            <w:tcW w:w="4144" w:type="dxa"/>
            <w:tcBorders>
              <w:top w:val="single" w:sz="4" w:space="0" w:color="1F497D" w:themeColor="text2"/>
              <w:bottom w:val="double" w:sz="4" w:space="0" w:color="1F497D" w:themeColor="text2"/>
            </w:tcBorders>
          </w:tcPr>
          <w:p w:rsidR="0010486F" w:rsidRPr="00BD28C4" w:rsidRDefault="0010486F" w:rsidP="001913C0">
            <w:pPr>
              <w:rPr>
                <w:rFonts w:asciiTheme="majorHAnsi" w:hAnsiTheme="majorHAnsi" w:cstheme="majorHAnsi"/>
                <w:b/>
                <w:color w:val="53565A"/>
                <w:sz w:val="18"/>
                <w:szCs w:val="18"/>
              </w:rPr>
            </w:pPr>
            <w:r w:rsidRPr="00BD28C4">
              <w:rPr>
                <w:rFonts w:asciiTheme="majorHAnsi" w:hAnsiTheme="majorHAnsi" w:cstheme="majorHAnsi"/>
                <w:b/>
                <w:color w:val="53565A"/>
                <w:sz w:val="18"/>
                <w:szCs w:val="18"/>
              </w:rPr>
              <w:t>Detailed Description</w:t>
            </w:r>
          </w:p>
        </w:tc>
        <w:tc>
          <w:tcPr>
            <w:tcW w:w="1417" w:type="dxa"/>
            <w:tcBorders>
              <w:top w:val="single" w:sz="4" w:space="0" w:color="1F497D" w:themeColor="text2"/>
              <w:bottom w:val="double" w:sz="4" w:space="0" w:color="1F497D" w:themeColor="text2"/>
            </w:tcBorders>
            <w:shd w:val="clear" w:color="auto" w:fill="DBE5F1" w:themeFill="accent1" w:themeFillTint="33"/>
          </w:tcPr>
          <w:p w:rsidR="0010486F" w:rsidRPr="00BD28C4" w:rsidRDefault="009336AF" w:rsidP="00530CA0">
            <w:pPr>
              <w:jc w:val="center"/>
              <w:rPr>
                <w:rFonts w:asciiTheme="majorHAnsi" w:hAnsiTheme="majorHAnsi" w:cstheme="majorHAnsi"/>
                <w:b/>
                <w:color w:val="53565A"/>
                <w:sz w:val="18"/>
                <w:szCs w:val="18"/>
              </w:rPr>
            </w:pPr>
            <w:r w:rsidRPr="00BD28C4">
              <w:rPr>
                <w:rFonts w:asciiTheme="majorHAnsi" w:hAnsiTheme="majorHAnsi" w:cstheme="majorHAnsi"/>
                <w:b/>
                <w:color w:val="53565A"/>
                <w:sz w:val="18"/>
                <w:szCs w:val="18"/>
              </w:rPr>
              <w:t>Anticipated compliance</w:t>
            </w:r>
            <w:r w:rsidR="00DD73C2" w:rsidRPr="00BD28C4">
              <w:rPr>
                <w:rFonts w:asciiTheme="majorHAnsi" w:hAnsiTheme="majorHAnsi" w:cstheme="majorHAnsi"/>
                <w:b/>
                <w:color w:val="53565A"/>
                <w:sz w:val="18"/>
                <w:szCs w:val="18"/>
              </w:rPr>
              <w:t xml:space="preserve"> rates with the proposed code</w:t>
            </w:r>
            <w:r w:rsidR="00530CA0" w:rsidRPr="00BD28C4">
              <w:rPr>
                <w:rFonts w:asciiTheme="majorHAnsi" w:hAnsiTheme="majorHAnsi" w:cstheme="majorHAnsi"/>
                <w:b/>
                <w:color w:val="53565A"/>
                <w:sz w:val="18"/>
                <w:szCs w:val="18"/>
              </w:rPr>
              <w:t>*</w:t>
            </w:r>
            <w:r w:rsidRPr="00BD28C4">
              <w:rPr>
                <w:rFonts w:asciiTheme="majorHAnsi" w:hAnsiTheme="majorHAnsi" w:cstheme="majorHAnsi"/>
                <w:b/>
                <w:color w:val="53565A"/>
                <w:sz w:val="18"/>
                <w:szCs w:val="18"/>
              </w:rPr>
              <w:t xml:space="preserve"> </w:t>
            </w:r>
          </w:p>
        </w:tc>
      </w:tr>
      <w:tr w:rsidR="009336AF" w:rsidRPr="009336AF" w:rsidTr="00BD28C4">
        <w:tc>
          <w:tcPr>
            <w:tcW w:w="817" w:type="dxa"/>
            <w:tcBorders>
              <w:top w:val="doub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b/>
                <w:sz w:val="18"/>
                <w:szCs w:val="18"/>
              </w:rPr>
            </w:pPr>
            <w:r w:rsidRPr="00BE4486">
              <w:rPr>
                <w:rFonts w:asciiTheme="majorHAnsi" w:hAnsiTheme="majorHAnsi" w:cstheme="majorHAnsi"/>
                <w:b/>
                <w:sz w:val="18"/>
                <w:szCs w:val="18"/>
              </w:rPr>
              <w:t>Base case</w:t>
            </w:r>
          </w:p>
        </w:tc>
        <w:tc>
          <w:tcPr>
            <w:tcW w:w="1843" w:type="dxa"/>
            <w:tcBorders>
              <w:top w:val="doub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sz w:val="18"/>
                <w:szCs w:val="18"/>
              </w:rPr>
            </w:pPr>
            <w:r w:rsidRPr="00BE4486">
              <w:rPr>
                <w:rFonts w:asciiTheme="majorHAnsi" w:hAnsiTheme="majorHAnsi" w:cstheme="majorHAnsi"/>
                <w:sz w:val="18"/>
                <w:szCs w:val="18"/>
              </w:rPr>
              <w:t>Status quo</w:t>
            </w:r>
          </w:p>
        </w:tc>
        <w:tc>
          <w:tcPr>
            <w:tcW w:w="4144" w:type="dxa"/>
            <w:tcBorders>
              <w:top w:val="doub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(including </w:t>
            </w:r>
            <w:r w:rsidRPr="00BE4486">
              <w:rPr>
                <w:rFonts w:asciiTheme="majorHAnsi" w:hAnsiTheme="majorHAnsi" w:cstheme="majorHAnsi"/>
                <w:color w:val="1F497D" w:themeColor="text2"/>
                <w:sz w:val="18"/>
                <w:szCs w:val="18"/>
                <w:u w:val="single"/>
              </w:rPr>
              <w:t>current code</w:t>
            </w:r>
            <w:r w:rsidRPr="00BE4486">
              <w:rPr>
                <w:rFonts w:asciiTheme="majorHAnsi" w:hAnsiTheme="majorHAnsi" w:cstheme="majorHAnsi"/>
                <w:sz w:val="18"/>
                <w:szCs w:val="18"/>
              </w:rPr>
              <w:t>) and Greyhound Australasia Rules with civil enforcement (fines and bans) by GRV + criminal enforcement under POCTA</w:t>
            </w:r>
            <w:r w:rsidR="00DD73C2" w:rsidRPr="00BE4486">
              <w:rPr>
                <w:rFonts w:asciiTheme="majorHAnsi" w:hAnsiTheme="majorHAnsi" w:cstheme="majorHAnsi"/>
                <w:sz w:val="18"/>
                <w:szCs w:val="18"/>
              </w:rPr>
              <w:t>.</w:t>
            </w:r>
          </w:p>
        </w:tc>
        <w:tc>
          <w:tcPr>
            <w:tcW w:w="1417" w:type="dxa"/>
            <w:tcBorders>
              <w:top w:val="double" w:sz="4" w:space="0" w:color="1F497D" w:themeColor="text2"/>
              <w:bottom w:val="single" w:sz="4" w:space="0" w:color="1F497D" w:themeColor="text2"/>
            </w:tcBorders>
            <w:shd w:val="clear" w:color="auto" w:fill="DBE5F1" w:themeFill="accent1" w:themeFillTint="33"/>
            <w:vAlign w:val="center"/>
          </w:tcPr>
          <w:p w:rsidR="0010486F" w:rsidRPr="00BE4486" w:rsidRDefault="0010486F" w:rsidP="00530CA0">
            <w:pPr>
              <w:jc w:val="center"/>
              <w:rPr>
                <w:rFonts w:asciiTheme="majorHAnsi" w:hAnsiTheme="majorHAnsi" w:cstheme="majorHAnsi"/>
                <w:sz w:val="18"/>
                <w:szCs w:val="18"/>
              </w:rPr>
            </w:pPr>
            <w:r w:rsidRPr="00BE4486">
              <w:rPr>
                <w:rFonts w:asciiTheme="majorHAnsi" w:hAnsiTheme="majorHAnsi" w:cstheme="majorHAnsi"/>
                <w:sz w:val="18"/>
                <w:szCs w:val="18"/>
              </w:rPr>
              <w:t>32.</w:t>
            </w:r>
            <w:r w:rsidR="00DD73C2" w:rsidRPr="00BE4486">
              <w:rPr>
                <w:rFonts w:asciiTheme="majorHAnsi" w:hAnsiTheme="majorHAnsi" w:cstheme="majorHAnsi"/>
                <w:sz w:val="18"/>
                <w:szCs w:val="18"/>
              </w:rPr>
              <w:t>31%**</w:t>
            </w:r>
          </w:p>
        </w:tc>
      </w:tr>
      <w:tr w:rsidR="009336AF" w:rsidRPr="009336AF" w:rsidTr="00BD28C4">
        <w:tc>
          <w:tcPr>
            <w:tcW w:w="817" w:type="dxa"/>
            <w:tcBorders>
              <w:top w:val="sing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b/>
                <w:sz w:val="18"/>
                <w:szCs w:val="18"/>
              </w:rPr>
            </w:pPr>
            <w:r w:rsidRPr="00BE4486">
              <w:rPr>
                <w:rFonts w:asciiTheme="majorHAnsi" w:hAnsiTheme="majorHAnsi" w:cstheme="majorHAnsi"/>
                <w:b/>
                <w:sz w:val="18"/>
                <w:szCs w:val="18"/>
              </w:rPr>
              <w:t>1</w:t>
            </w:r>
          </w:p>
        </w:tc>
        <w:tc>
          <w:tcPr>
            <w:tcW w:w="1843" w:type="dxa"/>
            <w:tcBorders>
              <w:top w:val="sing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sz w:val="18"/>
                <w:szCs w:val="18"/>
              </w:rPr>
            </w:pPr>
            <w:r w:rsidRPr="00BE4486">
              <w:rPr>
                <w:rFonts w:asciiTheme="majorHAnsi" w:hAnsiTheme="majorHAnsi" w:cstheme="majorHAnsi"/>
                <w:sz w:val="18"/>
                <w:szCs w:val="18"/>
              </w:rPr>
              <w:t xml:space="preserve">Media/information campaign </w:t>
            </w:r>
          </w:p>
        </w:tc>
        <w:tc>
          <w:tcPr>
            <w:tcW w:w="4144" w:type="dxa"/>
            <w:tcBorders>
              <w:top w:val="single" w:sz="4" w:space="0" w:color="1F497D" w:themeColor="text2"/>
              <w:bottom w:val="single" w:sz="4" w:space="0" w:color="1F497D" w:themeColor="text2"/>
            </w:tcBorders>
            <w:vAlign w:val="center"/>
          </w:tcPr>
          <w:p w:rsidR="009760AE" w:rsidRPr="00BE4486" w:rsidRDefault="0010486F" w:rsidP="00530CA0">
            <w:pPr>
              <w:rPr>
                <w:rFonts w:asciiTheme="majorHAnsi" w:hAnsiTheme="majorHAnsi" w:cstheme="majorHAnsi"/>
                <w:color w:val="1F497D" w:themeColor="text2"/>
                <w:sz w:val="18"/>
                <w:szCs w:val="18"/>
                <w:u w:val="single"/>
              </w:rPr>
            </w:pPr>
            <w:r w:rsidRPr="00BE4486">
              <w:rPr>
                <w:rFonts w:asciiTheme="majorHAnsi" w:hAnsiTheme="majorHAnsi" w:cstheme="majorHAnsi"/>
                <w:sz w:val="18"/>
                <w:szCs w:val="18"/>
              </w:rPr>
              <w:t xml:space="preserve">Local rules and Greyhound Australasia Rules with civil enforcement (fines and bans) by GRV + criminal enforcement under POCTA + Media/information campaign with respect to the </w:t>
            </w:r>
            <w:r w:rsidRPr="00BE4486">
              <w:rPr>
                <w:rFonts w:asciiTheme="majorHAnsi" w:hAnsiTheme="majorHAnsi" w:cstheme="majorHAnsi"/>
                <w:color w:val="1F497D" w:themeColor="text2"/>
                <w:sz w:val="18"/>
                <w:szCs w:val="18"/>
                <w:u w:val="single"/>
              </w:rPr>
              <w:t>proposed code</w:t>
            </w:r>
            <w:r w:rsidR="00DD73C2" w:rsidRPr="00BE4486">
              <w:rPr>
                <w:rFonts w:asciiTheme="majorHAnsi" w:hAnsiTheme="majorHAnsi" w:cstheme="majorHAnsi"/>
                <w:color w:val="1F497D" w:themeColor="text2"/>
                <w:sz w:val="18"/>
                <w:szCs w:val="18"/>
                <w:u w:val="single"/>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10486F" w:rsidRPr="00BE4486" w:rsidRDefault="0010486F" w:rsidP="00530CA0">
            <w:pPr>
              <w:jc w:val="center"/>
              <w:rPr>
                <w:rFonts w:asciiTheme="majorHAnsi" w:hAnsiTheme="majorHAnsi" w:cstheme="majorHAnsi"/>
                <w:sz w:val="18"/>
                <w:szCs w:val="18"/>
              </w:rPr>
            </w:pPr>
            <w:r w:rsidRPr="00BE4486">
              <w:rPr>
                <w:rFonts w:asciiTheme="majorHAnsi" w:hAnsiTheme="majorHAnsi" w:cstheme="majorHAnsi"/>
                <w:sz w:val="18"/>
                <w:szCs w:val="18"/>
              </w:rPr>
              <w:t>35%</w:t>
            </w:r>
            <w:r w:rsidR="00530CA0" w:rsidRPr="00BE4486">
              <w:rPr>
                <w:rFonts w:asciiTheme="majorHAnsi" w:hAnsiTheme="majorHAnsi" w:cstheme="majorHAnsi"/>
                <w:sz w:val="18"/>
                <w:szCs w:val="18"/>
                <w:vertAlign w:val="superscript"/>
              </w:rPr>
              <w:t>**</w:t>
            </w:r>
            <w:r w:rsidR="00DD73C2" w:rsidRPr="00BE4486">
              <w:rPr>
                <w:rFonts w:asciiTheme="majorHAnsi" w:hAnsiTheme="majorHAnsi" w:cstheme="majorHAnsi"/>
                <w:sz w:val="18"/>
                <w:szCs w:val="18"/>
                <w:vertAlign w:val="superscript"/>
              </w:rPr>
              <w:t>*</w:t>
            </w:r>
          </w:p>
        </w:tc>
      </w:tr>
      <w:tr w:rsidR="009336AF" w:rsidRPr="009336AF" w:rsidTr="00BD28C4">
        <w:tc>
          <w:tcPr>
            <w:tcW w:w="817" w:type="dxa"/>
            <w:tcBorders>
              <w:top w:val="sing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b/>
                <w:sz w:val="18"/>
                <w:szCs w:val="18"/>
              </w:rPr>
            </w:pPr>
            <w:r w:rsidRPr="00BE4486">
              <w:rPr>
                <w:rFonts w:asciiTheme="majorHAnsi" w:hAnsiTheme="majorHAnsi" w:cstheme="majorHAnsi"/>
                <w:b/>
                <w:sz w:val="18"/>
                <w:szCs w:val="18"/>
              </w:rPr>
              <w:t>2</w:t>
            </w:r>
          </w:p>
        </w:tc>
        <w:tc>
          <w:tcPr>
            <w:tcW w:w="1843" w:type="dxa"/>
            <w:tcBorders>
              <w:top w:val="single" w:sz="4" w:space="0" w:color="1F497D" w:themeColor="text2"/>
              <w:bottom w:val="single" w:sz="4" w:space="0" w:color="1F497D" w:themeColor="text2"/>
            </w:tcBorders>
            <w:vAlign w:val="center"/>
          </w:tcPr>
          <w:p w:rsidR="0010486F" w:rsidRPr="00BE4486" w:rsidRDefault="0010486F" w:rsidP="00530CA0">
            <w:pPr>
              <w:rPr>
                <w:rFonts w:asciiTheme="majorHAnsi" w:hAnsiTheme="majorHAnsi" w:cstheme="majorHAnsi"/>
                <w:sz w:val="18"/>
                <w:szCs w:val="18"/>
              </w:rPr>
            </w:pPr>
            <w:r w:rsidRPr="00BE4486">
              <w:rPr>
                <w:rFonts w:asciiTheme="majorHAnsi" w:hAnsiTheme="majorHAnsi" w:cstheme="majorHAnsi"/>
                <w:sz w:val="18"/>
                <w:szCs w:val="18"/>
              </w:rPr>
              <w:t xml:space="preserve">Adoption of the proposed code under the local rules </w:t>
            </w:r>
          </w:p>
        </w:tc>
        <w:tc>
          <w:tcPr>
            <w:tcW w:w="4144" w:type="dxa"/>
            <w:tcBorders>
              <w:top w:val="single" w:sz="4" w:space="0" w:color="1F497D" w:themeColor="text2"/>
              <w:bottom w:val="single" w:sz="4" w:space="0" w:color="1F497D" w:themeColor="text2"/>
            </w:tcBorders>
            <w:vAlign w:val="center"/>
          </w:tcPr>
          <w:p w:rsidR="0010486F" w:rsidRPr="00BE4486" w:rsidRDefault="009336AF"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(including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sz w:val="18"/>
                <w:szCs w:val="18"/>
              </w:rPr>
              <w:t>) and Greyhound Australasia Rules with civil enforcement (fines and bans) by GRV + criminal enforcement under POCTA</w:t>
            </w:r>
            <w:r w:rsidR="00DD73C2" w:rsidRPr="00BE4486">
              <w:rPr>
                <w:rFonts w:asciiTheme="majorHAnsi" w:hAnsiTheme="majorHAnsi" w:cstheme="majorHAnsi"/>
                <w:sz w:val="18"/>
                <w:szCs w:val="18"/>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10486F" w:rsidRPr="00BE4486" w:rsidRDefault="0010486F" w:rsidP="00530CA0">
            <w:pPr>
              <w:jc w:val="center"/>
              <w:rPr>
                <w:rFonts w:asciiTheme="majorHAnsi" w:hAnsiTheme="majorHAnsi" w:cstheme="majorHAnsi"/>
                <w:sz w:val="18"/>
                <w:szCs w:val="18"/>
              </w:rPr>
            </w:pPr>
            <w:r w:rsidRPr="00BE4486">
              <w:rPr>
                <w:rFonts w:asciiTheme="majorHAnsi" w:hAnsiTheme="majorHAnsi" w:cstheme="majorHAnsi"/>
                <w:sz w:val="18"/>
                <w:szCs w:val="18"/>
              </w:rPr>
              <w:t>50%</w:t>
            </w:r>
          </w:p>
        </w:tc>
      </w:tr>
      <w:tr w:rsidR="009336AF" w:rsidRPr="009336AF" w:rsidTr="00BD28C4">
        <w:tc>
          <w:tcPr>
            <w:tcW w:w="817" w:type="dxa"/>
            <w:tcBorders>
              <w:top w:val="single" w:sz="4" w:space="0" w:color="1F497D" w:themeColor="text2"/>
              <w:bottom w:val="single" w:sz="4" w:space="0" w:color="1F497D" w:themeColor="text2"/>
            </w:tcBorders>
            <w:vAlign w:val="center"/>
          </w:tcPr>
          <w:p w:rsidR="009336AF" w:rsidRPr="00BE4486" w:rsidRDefault="009336AF" w:rsidP="00530CA0">
            <w:pPr>
              <w:rPr>
                <w:rFonts w:asciiTheme="majorHAnsi" w:hAnsiTheme="majorHAnsi" w:cstheme="majorHAnsi"/>
                <w:b/>
                <w:sz w:val="18"/>
                <w:szCs w:val="18"/>
              </w:rPr>
            </w:pPr>
            <w:r w:rsidRPr="00BE4486">
              <w:rPr>
                <w:rFonts w:asciiTheme="majorHAnsi" w:hAnsiTheme="majorHAnsi" w:cstheme="majorHAnsi"/>
                <w:b/>
                <w:sz w:val="18"/>
                <w:szCs w:val="18"/>
              </w:rPr>
              <w:t>3</w:t>
            </w:r>
          </w:p>
        </w:tc>
        <w:tc>
          <w:tcPr>
            <w:tcW w:w="1843" w:type="dxa"/>
            <w:tcBorders>
              <w:top w:val="single" w:sz="4" w:space="0" w:color="1F497D" w:themeColor="text2"/>
              <w:bottom w:val="single" w:sz="4" w:space="0" w:color="1F497D" w:themeColor="text2"/>
            </w:tcBorders>
            <w:vAlign w:val="center"/>
          </w:tcPr>
          <w:p w:rsidR="009336AF" w:rsidRPr="00BE4486" w:rsidRDefault="009336AF" w:rsidP="00530CA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w:t>
            </w:r>
          </w:p>
        </w:tc>
        <w:tc>
          <w:tcPr>
            <w:tcW w:w="4144" w:type="dxa"/>
            <w:tcBorders>
              <w:top w:val="single" w:sz="4" w:space="0" w:color="1F497D" w:themeColor="text2"/>
              <w:bottom w:val="single" w:sz="4" w:space="0" w:color="1F497D" w:themeColor="text2"/>
            </w:tcBorders>
            <w:vAlign w:val="center"/>
          </w:tcPr>
          <w:p w:rsidR="009336AF" w:rsidRPr="00BE4486" w:rsidRDefault="009336AF"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w:t>
            </w:r>
            <w:r w:rsidR="00DD73C2" w:rsidRPr="00BE4486">
              <w:rPr>
                <w:rFonts w:asciiTheme="majorHAnsi" w:hAnsiTheme="majorHAnsi" w:cstheme="majorHAnsi"/>
                <w:sz w:val="18"/>
                <w:szCs w:val="18"/>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336AF" w:rsidRPr="00BE4486" w:rsidRDefault="009336AF" w:rsidP="00530CA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r w:rsidR="009336AF" w:rsidRPr="009336AF" w:rsidTr="00BD28C4">
        <w:tc>
          <w:tcPr>
            <w:tcW w:w="817" w:type="dxa"/>
            <w:tcBorders>
              <w:top w:val="single" w:sz="4" w:space="0" w:color="1F497D" w:themeColor="text2"/>
              <w:bottom w:val="single" w:sz="4" w:space="0" w:color="1F497D" w:themeColor="text2"/>
            </w:tcBorders>
            <w:vAlign w:val="center"/>
          </w:tcPr>
          <w:p w:rsidR="009336AF" w:rsidRPr="00BE4486" w:rsidRDefault="009336AF" w:rsidP="00530CA0">
            <w:pPr>
              <w:rPr>
                <w:rFonts w:asciiTheme="majorHAnsi" w:hAnsiTheme="majorHAnsi" w:cstheme="majorHAnsi"/>
                <w:b/>
                <w:sz w:val="18"/>
                <w:szCs w:val="18"/>
              </w:rPr>
            </w:pPr>
            <w:r w:rsidRPr="00BE4486">
              <w:rPr>
                <w:rFonts w:asciiTheme="majorHAnsi" w:hAnsiTheme="majorHAnsi" w:cstheme="majorHAnsi"/>
                <w:b/>
                <w:sz w:val="18"/>
                <w:szCs w:val="18"/>
              </w:rPr>
              <w:t>4</w:t>
            </w:r>
          </w:p>
        </w:tc>
        <w:tc>
          <w:tcPr>
            <w:tcW w:w="1843" w:type="dxa"/>
            <w:tcBorders>
              <w:top w:val="single" w:sz="4" w:space="0" w:color="1F497D" w:themeColor="text2"/>
              <w:bottom w:val="single" w:sz="4" w:space="0" w:color="1F497D" w:themeColor="text2"/>
            </w:tcBorders>
            <w:vAlign w:val="center"/>
          </w:tcPr>
          <w:p w:rsidR="009336AF"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The proposed code with local government enforcement</w:t>
            </w:r>
          </w:p>
        </w:tc>
        <w:tc>
          <w:tcPr>
            <w:tcW w:w="4144" w:type="dxa"/>
            <w:tcBorders>
              <w:top w:val="single" w:sz="4" w:space="0" w:color="1F497D" w:themeColor="text2"/>
              <w:bottom w:val="single" w:sz="4" w:space="0" w:color="1F497D" w:themeColor="text2"/>
            </w:tcBorders>
            <w:vAlign w:val="center"/>
          </w:tcPr>
          <w:p w:rsidR="009336AF"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councils</w:t>
            </w:r>
            <w:r w:rsidR="00DD73C2" w:rsidRPr="00BE4486">
              <w:rPr>
                <w:rFonts w:asciiTheme="majorHAnsi" w:hAnsiTheme="majorHAnsi" w:cstheme="majorHAnsi"/>
                <w:sz w:val="18"/>
                <w:szCs w:val="18"/>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9336AF" w:rsidRPr="00BE4486" w:rsidRDefault="009336AF" w:rsidP="00530CA0">
            <w:pPr>
              <w:jc w:val="center"/>
              <w:rPr>
                <w:rFonts w:asciiTheme="majorHAnsi" w:hAnsiTheme="majorHAnsi" w:cstheme="majorHAnsi"/>
                <w:sz w:val="18"/>
                <w:szCs w:val="18"/>
              </w:rPr>
            </w:pPr>
            <w:r w:rsidRPr="00BE4486">
              <w:rPr>
                <w:rFonts w:asciiTheme="majorHAnsi" w:hAnsiTheme="majorHAnsi" w:cstheme="majorHAnsi"/>
                <w:sz w:val="18"/>
                <w:szCs w:val="18"/>
              </w:rPr>
              <w:t>75%</w:t>
            </w:r>
          </w:p>
        </w:tc>
      </w:tr>
      <w:tr w:rsidR="001433FA" w:rsidRPr="009336AF" w:rsidTr="00BD28C4">
        <w:tc>
          <w:tcPr>
            <w:tcW w:w="817"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b/>
                <w:sz w:val="18"/>
                <w:szCs w:val="18"/>
              </w:rPr>
            </w:pPr>
            <w:r w:rsidRPr="00BE4486">
              <w:rPr>
                <w:rFonts w:asciiTheme="majorHAnsi" w:hAnsiTheme="majorHAnsi" w:cstheme="majorHAnsi"/>
                <w:b/>
                <w:sz w:val="18"/>
                <w:szCs w:val="18"/>
              </w:rPr>
              <w:t>5</w:t>
            </w:r>
          </w:p>
        </w:tc>
        <w:tc>
          <w:tcPr>
            <w:tcW w:w="1843"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no additional health checks</w:t>
            </w:r>
          </w:p>
        </w:tc>
        <w:tc>
          <w:tcPr>
            <w:tcW w:w="4144"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no additional health checks</w:t>
            </w:r>
            <w:r w:rsidR="00DD73C2" w:rsidRPr="00BE4486">
              <w:rPr>
                <w:rFonts w:asciiTheme="majorHAnsi" w:hAnsiTheme="majorHAnsi" w:cstheme="majorHAnsi"/>
                <w:sz w:val="18"/>
                <w:szCs w:val="18"/>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1433FA" w:rsidRPr="00BE4486" w:rsidRDefault="001433FA" w:rsidP="00530CA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r w:rsidR="001433FA" w:rsidRPr="009336AF" w:rsidTr="00BD28C4">
        <w:tc>
          <w:tcPr>
            <w:tcW w:w="817"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b/>
                <w:sz w:val="18"/>
                <w:szCs w:val="18"/>
              </w:rPr>
            </w:pPr>
            <w:r w:rsidRPr="00BE4486">
              <w:rPr>
                <w:rFonts w:asciiTheme="majorHAnsi" w:hAnsiTheme="majorHAnsi" w:cstheme="majorHAnsi"/>
                <w:b/>
                <w:sz w:val="18"/>
                <w:szCs w:val="18"/>
              </w:rPr>
              <w:t>6</w:t>
            </w:r>
          </w:p>
        </w:tc>
        <w:tc>
          <w:tcPr>
            <w:tcW w:w="1843"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The proposed code with industry enforcement and reduced rearing requirements</w:t>
            </w:r>
          </w:p>
        </w:tc>
        <w:tc>
          <w:tcPr>
            <w:tcW w:w="4144" w:type="dxa"/>
            <w:tcBorders>
              <w:top w:val="single" w:sz="4" w:space="0" w:color="1F497D" w:themeColor="text2"/>
              <w:bottom w:val="single" w:sz="4" w:space="0" w:color="1F497D" w:themeColor="text2"/>
            </w:tcBorders>
            <w:vAlign w:val="center"/>
          </w:tcPr>
          <w:p w:rsidR="001433FA" w:rsidRPr="00BE4486" w:rsidRDefault="001433FA" w:rsidP="00530CA0">
            <w:pPr>
              <w:rPr>
                <w:rFonts w:asciiTheme="majorHAnsi" w:hAnsiTheme="majorHAnsi" w:cstheme="majorHAnsi"/>
                <w:sz w:val="18"/>
                <w:szCs w:val="18"/>
              </w:rPr>
            </w:pPr>
            <w:r w:rsidRPr="00BE4486">
              <w:rPr>
                <w:rFonts w:asciiTheme="majorHAnsi" w:hAnsiTheme="majorHAnsi" w:cstheme="majorHAnsi"/>
                <w:sz w:val="18"/>
                <w:szCs w:val="18"/>
              </w:rPr>
              <w:t xml:space="preserve">Local rules and Greyhound Australasia Rules with civil enforcement (fines and bans) by GRV + criminal enforcement under POCTA + </w:t>
            </w:r>
            <w:r w:rsidRPr="00BE4486">
              <w:rPr>
                <w:rFonts w:asciiTheme="majorHAnsi" w:hAnsiTheme="majorHAnsi" w:cstheme="majorHAnsi"/>
                <w:color w:val="1F497D" w:themeColor="text2"/>
                <w:sz w:val="18"/>
                <w:szCs w:val="18"/>
                <w:u w:val="single"/>
              </w:rPr>
              <w:t>proposed code</w:t>
            </w:r>
            <w:r w:rsidRPr="00BE4486">
              <w:rPr>
                <w:rFonts w:asciiTheme="majorHAnsi" w:hAnsiTheme="majorHAnsi" w:cstheme="majorHAnsi"/>
                <w:color w:val="1F497D" w:themeColor="text2"/>
                <w:sz w:val="18"/>
                <w:szCs w:val="18"/>
              </w:rPr>
              <w:t xml:space="preserve"> </w:t>
            </w:r>
            <w:r w:rsidRPr="00BE4486">
              <w:rPr>
                <w:rFonts w:asciiTheme="majorHAnsi" w:hAnsiTheme="majorHAnsi" w:cstheme="majorHAnsi"/>
                <w:sz w:val="18"/>
                <w:szCs w:val="18"/>
              </w:rPr>
              <w:t>under DAA with criminal enforcement by GRV and reduced rearing requirements for greyhounds 16 weeks to 18 months</w:t>
            </w:r>
            <w:r w:rsidR="00DD73C2" w:rsidRPr="00BE4486">
              <w:rPr>
                <w:rFonts w:asciiTheme="majorHAnsi" w:hAnsiTheme="majorHAnsi" w:cstheme="majorHAnsi"/>
                <w:sz w:val="18"/>
                <w:szCs w:val="18"/>
              </w:rPr>
              <w:t>.</w:t>
            </w:r>
          </w:p>
        </w:tc>
        <w:tc>
          <w:tcPr>
            <w:tcW w:w="1417" w:type="dxa"/>
            <w:tcBorders>
              <w:top w:val="single" w:sz="4" w:space="0" w:color="1F497D" w:themeColor="text2"/>
              <w:bottom w:val="single" w:sz="4" w:space="0" w:color="1F497D" w:themeColor="text2"/>
            </w:tcBorders>
            <w:shd w:val="clear" w:color="auto" w:fill="DBE5F1" w:themeFill="accent1" w:themeFillTint="33"/>
            <w:vAlign w:val="center"/>
          </w:tcPr>
          <w:p w:rsidR="001433FA" w:rsidRPr="00BE4486" w:rsidRDefault="001433FA" w:rsidP="00530CA0">
            <w:pPr>
              <w:jc w:val="center"/>
              <w:rPr>
                <w:rFonts w:asciiTheme="majorHAnsi" w:hAnsiTheme="majorHAnsi" w:cstheme="majorHAnsi"/>
                <w:sz w:val="18"/>
                <w:szCs w:val="18"/>
              </w:rPr>
            </w:pPr>
            <w:r w:rsidRPr="00BE4486">
              <w:rPr>
                <w:rFonts w:asciiTheme="majorHAnsi" w:hAnsiTheme="majorHAnsi" w:cstheme="majorHAnsi"/>
                <w:sz w:val="18"/>
                <w:szCs w:val="18"/>
              </w:rPr>
              <w:t>100%</w:t>
            </w:r>
          </w:p>
        </w:tc>
      </w:tr>
    </w:tbl>
    <w:p w:rsidR="001913C0" w:rsidRDefault="00530CA0" w:rsidP="00530CA0">
      <w:pPr>
        <w:rPr>
          <w:sz w:val="18"/>
        </w:rPr>
      </w:pPr>
      <w:r w:rsidRPr="00530CA0">
        <w:rPr>
          <w:sz w:val="18"/>
        </w:rPr>
        <w:t>*Compliance rates</w:t>
      </w:r>
      <w:r>
        <w:rPr>
          <w:sz w:val="18"/>
        </w:rPr>
        <w:t xml:space="preserve"> advised</w:t>
      </w:r>
      <w:r w:rsidRPr="00530CA0">
        <w:rPr>
          <w:sz w:val="18"/>
        </w:rPr>
        <w:t xml:space="preserve"> by DEDJTR</w:t>
      </w:r>
    </w:p>
    <w:p w:rsidR="00DD73C2" w:rsidRPr="00530CA0" w:rsidRDefault="00DD73C2" w:rsidP="00530CA0">
      <w:pPr>
        <w:rPr>
          <w:sz w:val="18"/>
        </w:rPr>
      </w:pPr>
      <w:r>
        <w:rPr>
          <w:sz w:val="18"/>
        </w:rPr>
        <w:t>** See Table 12 in Section 2 in this RIS for source of estimate (i.e. 100% - 67.69% = 32.31%)</w:t>
      </w:r>
    </w:p>
    <w:p w:rsidR="001913C0" w:rsidRPr="00530CA0" w:rsidRDefault="00530CA0" w:rsidP="001913C0">
      <w:pPr>
        <w:rPr>
          <w:sz w:val="18"/>
          <w:szCs w:val="18"/>
        </w:rPr>
      </w:pPr>
      <w:r w:rsidRPr="00530CA0">
        <w:rPr>
          <w:sz w:val="18"/>
          <w:szCs w:val="18"/>
        </w:rPr>
        <w:t>**</w:t>
      </w:r>
      <w:r w:rsidR="00DD73C2">
        <w:rPr>
          <w:sz w:val="18"/>
          <w:szCs w:val="18"/>
        </w:rPr>
        <w:t>*</w:t>
      </w:r>
      <w:r w:rsidRPr="00530CA0">
        <w:rPr>
          <w:sz w:val="18"/>
          <w:szCs w:val="18"/>
        </w:rPr>
        <w:t xml:space="preserve"> Voluntary adherence anticipated with regards to a media/information campaign and only for participants that currently wish to comply but lack sufficient knowledge/information</w:t>
      </w:r>
    </w:p>
    <w:p w:rsidR="00F52B90" w:rsidRDefault="00DD73C2" w:rsidP="00F52B90">
      <w:pPr>
        <w:jc w:val="both"/>
      </w:pPr>
      <w:r>
        <w:lastRenderedPageBreak/>
        <w:t xml:space="preserve">According to DEDJTR </w:t>
      </w:r>
      <w:r w:rsidR="00F52B90">
        <w:t>Option 1</w:t>
      </w:r>
      <w:r>
        <w:t xml:space="preserve"> </w:t>
      </w:r>
      <w:r w:rsidR="00F52B90">
        <w:t xml:space="preserve">would be </w:t>
      </w:r>
      <w:r>
        <w:t xml:space="preserve">likely to generate only 35% compliance with the proposed </w:t>
      </w:r>
      <w:r w:rsidR="00D608DC">
        <w:t>code (i.e. affect only up to 2.6</w:t>
      </w:r>
      <w:r>
        <w:t xml:space="preserve">9% additional </w:t>
      </w:r>
      <w:r w:rsidR="00614508">
        <w:t xml:space="preserve">compliance </w:t>
      </w:r>
      <w:r>
        <w:t xml:space="preserve">behaviour in the industry incrementally to the base case) by encouraging those smaller participants with insufficient information to voluntarily adhere to elements of </w:t>
      </w:r>
      <w:r w:rsidR="00F52B90">
        <w:t>the proposed code.</w:t>
      </w:r>
      <w:r w:rsidR="007B521C">
        <w:t xml:space="preserve"> </w:t>
      </w:r>
    </w:p>
    <w:p w:rsidR="00F52B90" w:rsidRDefault="00F52B90" w:rsidP="00F52B90">
      <w:pPr>
        <w:jc w:val="both"/>
      </w:pPr>
    </w:p>
    <w:p w:rsidR="00F52B90" w:rsidRDefault="00F52B90" w:rsidP="00F52B90">
      <w:pPr>
        <w:jc w:val="both"/>
      </w:pPr>
      <w:r>
        <w:t xml:space="preserve">DEDJTR notes that Option </w:t>
      </w:r>
      <w:r w:rsidR="007D7A02">
        <w:t>2</w:t>
      </w:r>
      <w:r>
        <w:t xml:space="preserve"> would only involve the adoption of the proposed code under the local rules and would be enforced by GRV inspectors as civil matters involving fines and bans.</w:t>
      </w:r>
      <w:r w:rsidR="007B521C">
        <w:t xml:space="preserve"> </w:t>
      </w:r>
      <w:r>
        <w:t>For this reason, DEDJTR recognises that Option 2 would be likely to generate 50% compliance with the proposed code (i.e. affect up to 17</w:t>
      </w:r>
      <w:r w:rsidRPr="00F52B90">
        <w:t>.69% additional</w:t>
      </w:r>
      <w:r w:rsidR="00614508">
        <w:t xml:space="preserve"> compliance</w:t>
      </w:r>
      <w:r w:rsidRPr="00F52B90">
        <w:t xml:space="preserve"> behaviour in the industry incrementally to the base case).</w:t>
      </w:r>
    </w:p>
    <w:p w:rsidR="00F52B90" w:rsidRDefault="00F52B90" w:rsidP="00F52B90">
      <w:pPr>
        <w:jc w:val="both"/>
      </w:pPr>
    </w:p>
    <w:p w:rsidR="00F52B90" w:rsidRDefault="00F52B90" w:rsidP="00F52B90">
      <w:pPr>
        <w:jc w:val="both"/>
      </w:pPr>
      <w:r>
        <w:t xml:space="preserve">Options 3, 5, and 6 involve enforcement of the proposed code by GRV inspectors and are expected to generate 100% compliance according to DEDJTR (i.e. affect up to 67.69% additional </w:t>
      </w:r>
      <w:r w:rsidR="00614508">
        <w:t xml:space="preserve">compliance </w:t>
      </w:r>
      <w:r>
        <w:t>behaviour in the industry incrementally to the base case).</w:t>
      </w:r>
    </w:p>
    <w:p w:rsidR="00F52B90" w:rsidRDefault="00F52B90" w:rsidP="00F52B90">
      <w:pPr>
        <w:jc w:val="both"/>
      </w:pPr>
    </w:p>
    <w:p w:rsidR="00DD73C2" w:rsidRDefault="00F52B90" w:rsidP="00F52B90">
      <w:pPr>
        <w:jc w:val="both"/>
      </w:pPr>
      <w:r>
        <w:t xml:space="preserve">Option 4 would be </w:t>
      </w:r>
      <w:r w:rsidR="00DD73C2">
        <w:t xml:space="preserve">likely to generate only 75% compliance with the proposed code </w:t>
      </w:r>
      <w:r>
        <w:t xml:space="preserve">according to DEDJTR </w:t>
      </w:r>
      <w:r w:rsidR="00DD73C2">
        <w:t xml:space="preserve">(i.e. affect only up to 42.69% additional </w:t>
      </w:r>
      <w:r w:rsidR="00614508">
        <w:t xml:space="preserve">compliance </w:t>
      </w:r>
      <w:r w:rsidR="00DD73C2">
        <w:t>behaviour in the industry incrementally to the base case)</w:t>
      </w:r>
      <w:r>
        <w:t>.</w:t>
      </w:r>
      <w:r w:rsidR="007B521C">
        <w:t xml:space="preserve"> </w:t>
      </w:r>
      <w:r>
        <w:t>This is because it is anticipated that under Option 4 there would be less effort around criminal enforcement provided by councils towards breaches of the greyhound code as compared to the industry, specifically due to both competing priorities in councils and reduced awareness of greyhound specific issues by council officers as compared to GRV.</w:t>
      </w:r>
    </w:p>
    <w:p w:rsidR="006363D2" w:rsidRDefault="006363D2" w:rsidP="00F52B90">
      <w:pPr>
        <w:jc w:val="both"/>
      </w:pPr>
    </w:p>
    <w:p w:rsidR="00363A35" w:rsidRDefault="00363A35" w:rsidP="00F52B90">
      <w:pPr>
        <w:jc w:val="both"/>
      </w:pPr>
      <w:r>
        <w:t xml:space="preserve">The ability of options to change participant behaviour with respect to greyhounds relies on the understanding of reasons for non-compliance as shown in </w:t>
      </w:r>
      <w:r w:rsidR="00CC5C16">
        <w:t xml:space="preserve">Table </w:t>
      </w:r>
      <w:r>
        <w:t>A</w:t>
      </w:r>
      <w:r w:rsidR="00CC5C16">
        <w:t>4.2</w:t>
      </w:r>
      <w:r>
        <w:t>.</w:t>
      </w:r>
      <w:r w:rsidR="007B521C">
        <w:t xml:space="preserve"> </w:t>
      </w:r>
      <w:r>
        <w:t>A third of those with around 6 to 30 greyhounds fail to comply because of attitudes, culture or age, a third fail to comply due to lack of financial means or capability and a third fail to comply because they are either ill-informed or lack knowledge.</w:t>
      </w:r>
    </w:p>
    <w:p w:rsidR="00363A35" w:rsidRDefault="00363A35" w:rsidP="00F52B90">
      <w:pPr>
        <w:jc w:val="both"/>
      </w:pPr>
    </w:p>
    <w:p w:rsidR="00363A35" w:rsidRDefault="00363A35" w:rsidP="00363A35">
      <w:pPr>
        <w:jc w:val="center"/>
        <w:rPr>
          <w:rFonts w:cs="Arial-BoldMT"/>
          <w:b/>
          <w:bCs/>
          <w:sz w:val="20"/>
          <w:szCs w:val="20"/>
        </w:rPr>
      </w:pPr>
      <w:r w:rsidRPr="00DD08EF">
        <w:rPr>
          <w:rFonts w:cs="Arial-BoldMT"/>
          <w:b/>
          <w:bCs/>
          <w:sz w:val="20"/>
          <w:szCs w:val="20"/>
        </w:rPr>
        <w:t xml:space="preserve">Table </w:t>
      </w:r>
      <w:r w:rsidR="00CC5C16">
        <w:rPr>
          <w:rFonts w:cs="Arial-BoldMT"/>
          <w:b/>
          <w:bCs/>
          <w:sz w:val="20"/>
          <w:szCs w:val="20"/>
        </w:rPr>
        <w:t>A4.2</w:t>
      </w:r>
      <w:r w:rsidRPr="00DD08EF">
        <w:rPr>
          <w:rFonts w:cs="Arial-BoldMT"/>
          <w:b/>
          <w:bCs/>
          <w:sz w:val="20"/>
          <w:szCs w:val="20"/>
        </w:rPr>
        <w:t xml:space="preserve">: </w:t>
      </w:r>
      <w:r>
        <w:rPr>
          <w:rFonts w:cs="Arial-BoldMT"/>
          <w:b/>
          <w:bCs/>
          <w:sz w:val="20"/>
          <w:szCs w:val="20"/>
        </w:rPr>
        <w:t xml:space="preserve">Distribution of </w:t>
      </w:r>
      <w:r w:rsidR="00C31200">
        <w:rPr>
          <w:rFonts w:cs="Arial-BoldMT"/>
          <w:b/>
          <w:bCs/>
          <w:sz w:val="20"/>
          <w:szCs w:val="20"/>
        </w:rPr>
        <w:t xml:space="preserve">reasons </w:t>
      </w:r>
      <w:r w:rsidR="00C83F0F">
        <w:rPr>
          <w:rFonts w:cs="Arial-BoldMT"/>
          <w:b/>
          <w:bCs/>
          <w:sz w:val="20"/>
          <w:szCs w:val="20"/>
        </w:rPr>
        <w:t>for non-compliance by</w:t>
      </w:r>
      <w:r>
        <w:rPr>
          <w:rFonts w:cs="Arial-BoldMT"/>
          <w:b/>
          <w:bCs/>
          <w:sz w:val="20"/>
          <w:szCs w:val="20"/>
        </w:rPr>
        <w:t xml:space="preserve"> categories of participants</w:t>
      </w:r>
      <w:r>
        <w:rPr>
          <w:rStyle w:val="FootnoteReference"/>
          <w:rFonts w:cs="Arial-BoldMT"/>
          <w:b/>
          <w:bCs/>
          <w:sz w:val="20"/>
          <w:szCs w:val="20"/>
        </w:rPr>
        <w:footnoteReference w:id="162"/>
      </w:r>
    </w:p>
    <w:p w:rsidR="00363A35" w:rsidRDefault="00363A35" w:rsidP="00363A35">
      <w:pPr>
        <w:jc w:val="both"/>
        <w:rPr>
          <w:rFonts w:eastAsia="Cambria" w:cs="Times New Roman"/>
          <w:lang w:val="en-US"/>
        </w:rPr>
      </w:pPr>
    </w:p>
    <w:tbl>
      <w:tblPr>
        <w:tblW w:w="8222" w:type="dxa"/>
        <w:tblLook w:val="04A0" w:firstRow="1" w:lastRow="0" w:firstColumn="1" w:lastColumn="0" w:noHBand="0" w:noVBand="1"/>
      </w:tblPr>
      <w:tblGrid>
        <w:gridCol w:w="1552"/>
        <w:gridCol w:w="2843"/>
        <w:gridCol w:w="1578"/>
        <w:gridCol w:w="2249"/>
      </w:tblGrid>
      <w:tr w:rsidR="00363A35" w:rsidRPr="00BD28C4" w:rsidTr="00C83F0F">
        <w:trPr>
          <w:trHeight w:val="315"/>
        </w:trPr>
        <w:tc>
          <w:tcPr>
            <w:tcW w:w="1552" w:type="dxa"/>
            <w:tcBorders>
              <w:top w:val="single" w:sz="4" w:space="0" w:color="1F4E78"/>
              <w:left w:val="nil"/>
              <w:bottom w:val="double" w:sz="6" w:space="0" w:color="1F4E78"/>
              <w:right w:val="nil"/>
            </w:tcBorders>
            <w:shd w:val="clear" w:color="000000" w:fill="FFFFFF"/>
            <w:noWrap/>
            <w:vAlign w:val="bottom"/>
            <w:hideMark/>
          </w:tcPr>
          <w:p w:rsidR="00363A35" w:rsidRPr="00BD28C4" w:rsidRDefault="00C31200" w:rsidP="00AC76F7">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Type of non-compliance</w:t>
            </w:r>
          </w:p>
        </w:tc>
        <w:tc>
          <w:tcPr>
            <w:tcW w:w="2843" w:type="dxa"/>
            <w:tcBorders>
              <w:top w:val="single" w:sz="4" w:space="0" w:color="1F4E78"/>
              <w:left w:val="nil"/>
              <w:bottom w:val="double" w:sz="6" w:space="0" w:color="1F4E78"/>
              <w:right w:val="nil"/>
            </w:tcBorders>
            <w:shd w:val="clear" w:color="000000" w:fill="FFFFFF"/>
            <w:noWrap/>
            <w:vAlign w:val="bottom"/>
            <w:hideMark/>
          </w:tcPr>
          <w:p w:rsidR="00363A35" w:rsidRPr="00BD28C4" w:rsidRDefault="00363A35" w:rsidP="00AC76F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578" w:type="dxa"/>
            <w:tcBorders>
              <w:top w:val="single" w:sz="4" w:space="0" w:color="1F4E78"/>
              <w:left w:val="nil"/>
              <w:bottom w:val="double" w:sz="6" w:space="0" w:color="1F4E78"/>
              <w:right w:val="nil"/>
            </w:tcBorders>
            <w:shd w:val="clear" w:color="000000" w:fill="FFFFFF"/>
            <w:noWrap/>
            <w:vAlign w:val="bottom"/>
            <w:hideMark/>
          </w:tcPr>
          <w:p w:rsidR="00363A35" w:rsidRPr="00BD28C4" w:rsidRDefault="00363A35" w:rsidP="00AC76F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Distribution</w:t>
            </w:r>
            <w:r w:rsidR="00C31200" w:rsidRPr="00BD28C4">
              <w:rPr>
                <w:rFonts w:eastAsia="Times New Roman" w:cs="Calibri"/>
                <w:b/>
                <w:bCs/>
                <w:color w:val="53565A"/>
                <w:sz w:val="20"/>
                <w:szCs w:val="20"/>
                <w:lang w:eastAsia="en-AU"/>
              </w:rPr>
              <w:t xml:space="preserve"> of</w:t>
            </w:r>
            <w:r w:rsidRPr="00BD28C4">
              <w:rPr>
                <w:rFonts w:eastAsia="Times New Roman" w:cs="Calibri"/>
                <w:b/>
                <w:bCs/>
                <w:color w:val="53565A"/>
                <w:sz w:val="20"/>
                <w:szCs w:val="20"/>
                <w:lang w:eastAsia="en-AU"/>
              </w:rPr>
              <w:t xml:space="preserve"> </w:t>
            </w:r>
            <w:r w:rsidR="00C31200" w:rsidRPr="00BD28C4">
              <w:rPr>
                <w:rFonts w:eastAsia="Times New Roman" w:cs="Calibri"/>
                <w:b/>
                <w:bCs/>
                <w:color w:val="53565A"/>
                <w:sz w:val="20"/>
                <w:szCs w:val="20"/>
                <w:lang w:eastAsia="en-AU"/>
              </w:rPr>
              <w:t>reason</w:t>
            </w:r>
            <w:r w:rsidRPr="00BD28C4">
              <w:rPr>
                <w:rFonts w:eastAsia="Times New Roman" w:cs="Calibri"/>
                <w:b/>
                <w:bCs/>
                <w:color w:val="53565A"/>
                <w:sz w:val="20"/>
                <w:szCs w:val="20"/>
                <w:lang w:eastAsia="en-AU"/>
              </w:rPr>
              <w:t xml:space="preserve"> behind non-compliance</w:t>
            </w:r>
          </w:p>
        </w:tc>
        <w:tc>
          <w:tcPr>
            <w:tcW w:w="2249" w:type="dxa"/>
            <w:tcBorders>
              <w:top w:val="single" w:sz="4" w:space="0" w:color="1F4E78"/>
              <w:left w:val="nil"/>
              <w:bottom w:val="double" w:sz="6" w:space="0" w:color="1F4E78"/>
              <w:right w:val="nil"/>
            </w:tcBorders>
            <w:shd w:val="clear" w:color="auto" w:fill="DBE5F1" w:themeFill="accent1" w:themeFillTint="33"/>
            <w:noWrap/>
            <w:vAlign w:val="bottom"/>
            <w:hideMark/>
          </w:tcPr>
          <w:p w:rsidR="00363A35" w:rsidRPr="00BD28C4" w:rsidRDefault="00C31200" w:rsidP="00AC76F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xml:space="preserve">Reasons </w:t>
            </w:r>
            <w:r w:rsidR="00363A35" w:rsidRPr="00BD28C4">
              <w:rPr>
                <w:rFonts w:eastAsia="Times New Roman" w:cs="Calibri"/>
                <w:b/>
                <w:bCs/>
                <w:color w:val="53565A"/>
                <w:sz w:val="20"/>
                <w:szCs w:val="20"/>
                <w:lang w:eastAsia="en-AU"/>
              </w:rPr>
              <w:t>for non-compliance</w:t>
            </w:r>
          </w:p>
        </w:tc>
      </w:tr>
      <w:tr w:rsidR="00363A35" w:rsidRPr="008A0499" w:rsidTr="00C83F0F">
        <w:trPr>
          <w:trHeight w:val="620"/>
        </w:trPr>
        <w:tc>
          <w:tcPr>
            <w:tcW w:w="1552" w:type="dxa"/>
            <w:tcBorders>
              <w:top w:val="nil"/>
              <w:left w:val="nil"/>
              <w:bottom w:val="nil"/>
              <w:right w:val="nil"/>
            </w:tcBorders>
            <w:shd w:val="clear" w:color="000000" w:fill="FFFFFF"/>
            <w:noWrap/>
            <w:vAlign w:val="bottom"/>
            <w:hideMark/>
          </w:tcPr>
          <w:p w:rsidR="00363A35" w:rsidRPr="008A0499" w:rsidRDefault="00363A35" w:rsidP="00AC76F7">
            <w:pPr>
              <w:rPr>
                <w:rFonts w:eastAsia="Times New Roman" w:cs="Calibri"/>
                <w:sz w:val="20"/>
                <w:szCs w:val="20"/>
                <w:lang w:eastAsia="en-AU"/>
              </w:rPr>
            </w:pPr>
            <w:r w:rsidRPr="008A0499">
              <w:rPr>
                <w:rFonts w:eastAsia="Times New Roman" w:cs="Calibri"/>
                <w:sz w:val="20"/>
                <w:szCs w:val="20"/>
                <w:lang w:eastAsia="en-AU"/>
              </w:rPr>
              <w:t>Do not want to comply</w:t>
            </w:r>
          </w:p>
        </w:tc>
        <w:tc>
          <w:tcPr>
            <w:tcW w:w="2843" w:type="dxa"/>
            <w:tcBorders>
              <w:top w:val="nil"/>
              <w:left w:val="nil"/>
              <w:bottom w:val="nil"/>
              <w:right w:val="nil"/>
            </w:tcBorders>
            <w:shd w:val="clear" w:color="000000" w:fill="FFFFFF"/>
            <w:noWrap/>
            <w:vAlign w:val="bottom"/>
            <w:hideMark/>
          </w:tcPr>
          <w:p w:rsidR="00363A35" w:rsidRPr="008A0499" w:rsidRDefault="00363A35" w:rsidP="00AC76F7">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Pr>
                <w:rFonts w:eastAsia="Times New Roman" w:cs="Calibri"/>
                <w:sz w:val="20"/>
                <w:szCs w:val="20"/>
                <w:lang w:eastAsia="en-AU"/>
              </w:rPr>
              <w:t xml:space="preserve">&amp; </w:t>
            </w:r>
            <w:r w:rsidRPr="008A0499">
              <w:rPr>
                <w:rFonts w:eastAsia="Times New Roman" w:cs="Calibri"/>
                <w:sz w:val="20"/>
                <w:szCs w:val="20"/>
                <w:lang w:eastAsia="en-AU"/>
              </w:rPr>
              <w:t>trainers</w:t>
            </w:r>
            <w:r>
              <w:rPr>
                <w:rFonts w:eastAsia="Times New Roman" w:cs="Calibri"/>
                <w:sz w:val="20"/>
                <w:szCs w:val="20"/>
                <w:lang w:eastAsia="en-AU"/>
              </w:rPr>
              <w:t xml:space="preserve"> (</w:t>
            </w:r>
            <w:r w:rsidR="002C637C">
              <w:rPr>
                <w:rFonts w:eastAsia="Times New Roman" w:cs="Calibri"/>
                <w:sz w:val="20"/>
                <w:szCs w:val="20"/>
                <w:lang w:eastAsia="en-AU"/>
              </w:rPr>
              <w:t xml:space="preserve">Participants </w:t>
            </w:r>
            <w:r>
              <w:rPr>
                <w:rFonts w:eastAsia="Times New Roman" w:cs="Calibri"/>
                <w:sz w:val="20"/>
                <w:szCs w:val="20"/>
                <w:lang w:eastAsia="en-AU"/>
              </w:rPr>
              <w:t>with 6 to 30 dogs)</w:t>
            </w:r>
          </w:p>
        </w:tc>
        <w:tc>
          <w:tcPr>
            <w:tcW w:w="1578" w:type="dxa"/>
            <w:tcBorders>
              <w:top w:val="nil"/>
              <w:left w:val="nil"/>
              <w:bottom w:val="nil"/>
              <w:right w:val="nil"/>
            </w:tcBorders>
            <w:shd w:val="clear" w:color="000000" w:fill="FFFFFF"/>
            <w:noWrap/>
            <w:vAlign w:val="bottom"/>
            <w:hideMark/>
          </w:tcPr>
          <w:p w:rsidR="00363A35" w:rsidRPr="008A0499" w:rsidRDefault="00363A35" w:rsidP="00AC76F7">
            <w:pPr>
              <w:jc w:val="center"/>
              <w:rPr>
                <w:rFonts w:eastAsia="Times New Roman" w:cs="Calibri"/>
                <w:sz w:val="20"/>
                <w:szCs w:val="20"/>
                <w:lang w:eastAsia="en-AU"/>
              </w:rPr>
            </w:pPr>
            <w:r>
              <w:rPr>
                <w:rFonts w:eastAsia="Times New Roman" w:cs="Calibri"/>
                <w:sz w:val="20"/>
                <w:szCs w:val="20"/>
                <w:lang w:eastAsia="en-AU"/>
              </w:rPr>
              <w:t>33.3%</w:t>
            </w:r>
          </w:p>
        </w:tc>
        <w:tc>
          <w:tcPr>
            <w:tcW w:w="2249" w:type="dxa"/>
            <w:tcBorders>
              <w:top w:val="nil"/>
              <w:left w:val="nil"/>
              <w:bottom w:val="nil"/>
              <w:right w:val="nil"/>
            </w:tcBorders>
            <w:shd w:val="clear" w:color="auto" w:fill="DBE5F1" w:themeFill="accent1" w:themeFillTint="33"/>
            <w:noWrap/>
            <w:vAlign w:val="bottom"/>
            <w:hideMark/>
          </w:tcPr>
          <w:p w:rsidR="00363A35" w:rsidRPr="008A0499" w:rsidRDefault="00363A35" w:rsidP="00AC76F7">
            <w:pPr>
              <w:rPr>
                <w:rFonts w:eastAsia="Times New Roman" w:cs="Calibri"/>
                <w:sz w:val="20"/>
                <w:szCs w:val="20"/>
                <w:lang w:eastAsia="en-AU"/>
              </w:rPr>
            </w:pPr>
            <w:r w:rsidRPr="008A0499">
              <w:rPr>
                <w:rFonts w:eastAsia="Times New Roman" w:cs="Calibri"/>
                <w:sz w:val="20"/>
                <w:szCs w:val="20"/>
                <w:lang w:eastAsia="en-AU"/>
              </w:rPr>
              <w:t>Attitudes, culture, age</w:t>
            </w:r>
          </w:p>
        </w:tc>
      </w:tr>
      <w:tr w:rsidR="00363A35" w:rsidRPr="008A0499" w:rsidTr="00C83F0F">
        <w:trPr>
          <w:trHeight w:val="561"/>
        </w:trPr>
        <w:tc>
          <w:tcPr>
            <w:tcW w:w="1552" w:type="dxa"/>
            <w:tcBorders>
              <w:top w:val="nil"/>
              <w:left w:val="nil"/>
              <w:right w:val="nil"/>
            </w:tcBorders>
            <w:shd w:val="clear" w:color="000000" w:fill="FFFFFF"/>
            <w:noWrap/>
            <w:vAlign w:val="bottom"/>
            <w:hideMark/>
          </w:tcPr>
          <w:p w:rsidR="00363A35" w:rsidRPr="008A0499" w:rsidRDefault="00363A35" w:rsidP="00AC76F7">
            <w:pPr>
              <w:rPr>
                <w:rFonts w:eastAsia="Times New Roman" w:cs="Calibri"/>
                <w:sz w:val="20"/>
                <w:szCs w:val="20"/>
                <w:lang w:eastAsia="en-AU"/>
              </w:rPr>
            </w:pPr>
            <w:r w:rsidRPr="008A0499">
              <w:rPr>
                <w:rFonts w:eastAsia="Times New Roman" w:cs="Calibri"/>
                <w:sz w:val="20"/>
                <w:szCs w:val="20"/>
                <w:lang w:eastAsia="en-AU"/>
              </w:rPr>
              <w:t>Want to comply but can't</w:t>
            </w:r>
          </w:p>
        </w:tc>
        <w:tc>
          <w:tcPr>
            <w:tcW w:w="2843" w:type="dxa"/>
            <w:tcBorders>
              <w:top w:val="nil"/>
              <w:left w:val="nil"/>
              <w:right w:val="nil"/>
            </w:tcBorders>
            <w:shd w:val="clear" w:color="000000" w:fill="FFFFFF"/>
            <w:noWrap/>
            <w:vAlign w:val="bottom"/>
            <w:hideMark/>
          </w:tcPr>
          <w:p w:rsidR="00363A35" w:rsidRDefault="00363A35" w:rsidP="00AC76F7">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Pr>
                <w:rFonts w:eastAsia="Times New Roman" w:cs="Calibri"/>
                <w:sz w:val="20"/>
                <w:szCs w:val="20"/>
                <w:lang w:eastAsia="en-AU"/>
              </w:rPr>
              <w:t xml:space="preserve">&amp; </w:t>
            </w:r>
            <w:r w:rsidRPr="008A0499">
              <w:rPr>
                <w:rFonts w:eastAsia="Times New Roman" w:cs="Calibri"/>
                <w:sz w:val="20"/>
                <w:szCs w:val="20"/>
                <w:lang w:eastAsia="en-AU"/>
              </w:rPr>
              <w:t>trainers</w:t>
            </w:r>
          </w:p>
          <w:p w:rsidR="00363A35" w:rsidRPr="008A0499" w:rsidRDefault="002C637C" w:rsidP="00AC76F7">
            <w:pPr>
              <w:jc w:val="center"/>
              <w:rPr>
                <w:rFonts w:eastAsia="Times New Roman" w:cs="Calibri"/>
                <w:sz w:val="20"/>
                <w:szCs w:val="20"/>
                <w:lang w:eastAsia="en-AU"/>
              </w:rPr>
            </w:pPr>
            <w:r>
              <w:rPr>
                <w:rFonts w:eastAsia="Times New Roman" w:cs="Calibri"/>
                <w:sz w:val="20"/>
                <w:szCs w:val="20"/>
                <w:lang w:eastAsia="en-AU"/>
              </w:rPr>
              <w:t xml:space="preserve">(All small </w:t>
            </w:r>
            <w:r w:rsidR="00363A35">
              <w:rPr>
                <w:rFonts w:eastAsia="Times New Roman" w:cs="Calibri"/>
                <w:sz w:val="20"/>
                <w:szCs w:val="20"/>
                <w:lang w:eastAsia="en-AU"/>
              </w:rPr>
              <w:t>participants)</w:t>
            </w:r>
          </w:p>
        </w:tc>
        <w:tc>
          <w:tcPr>
            <w:tcW w:w="1578" w:type="dxa"/>
            <w:tcBorders>
              <w:top w:val="nil"/>
              <w:left w:val="nil"/>
              <w:right w:val="nil"/>
            </w:tcBorders>
            <w:shd w:val="clear" w:color="000000" w:fill="FFFFFF"/>
            <w:noWrap/>
            <w:vAlign w:val="bottom"/>
            <w:hideMark/>
          </w:tcPr>
          <w:p w:rsidR="00363A35" w:rsidRPr="008A0499" w:rsidRDefault="00363A35" w:rsidP="00AC76F7">
            <w:pPr>
              <w:jc w:val="center"/>
              <w:rPr>
                <w:rFonts w:eastAsia="Times New Roman" w:cs="Calibri"/>
                <w:sz w:val="20"/>
                <w:szCs w:val="20"/>
                <w:lang w:eastAsia="en-AU"/>
              </w:rPr>
            </w:pPr>
            <w:r>
              <w:rPr>
                <w:rFonts w:eastAsia="Times New Roman" w:cs="Calibri"/>
                <w:sz w:val="20"/>
                <w:szCs w:val="20"/>
                <w:lang w:eastAsia="en-AU"/>
              </w:rPr>
              <w:t>33.3</w:t>
            </w:r>
            <w:r w:rsidRPr="008A0499">
              <w:rPr>
                <w:rFonts w:eastAsia="Times New Roman" w:cs="Calibri"/>
                <w:sz w:val="20"/>
                <w:szCs w:val="20"/>
                <w:lang w:eastAsia="en-AU"/>
              </w:rPr>
              <w:t>%</w:t>
            </w:r>
          </w:p>
        </w:tc>
        <w:tc>
          <w:tcPr>
            <w:tcW w:w="2249" w:type="dxa"/>
            <w:tcBorders>
              <w:top w:val="nil"/>
              <w:left w:val="nil"/>
              <w:right w:val="nil"/>
            </w:tcBorders>
            <w:shd w:val="clear" w:color="auto" w:fill="DBE5F1" w:themeFill="accent1" w:themeFillTint="33"/>
            <w:noWrap/>
            <w:vAlign w:val="bottom"/>
            <w:hideMark/>
          </w:tcPr>
          <w:p w:rsidR="00363A35" w:rsidRPr="008A0499" w:rsidRDefault="00363A35" w:rsidP="00AC76F7">
            <w:pPr>
              <w:rPr>
                <w:rFonts w:eastAsia="Times New Roman" w:cs="Calibri"/>
                <w:sz w:val="20"/>
                <w:szCs w:val="20"/>
                <w:lang w:eastAsia="en-AU"/>
              </w:rPr>
            </w:pPr>
            <w:r>
              <w:rPr>
                <w:rFonts w:eastAsia="Times New Roman" w:cs="Calibri"/>
                <w:sz w:val="20"/>
                <w:szCs w:val="20"/>
                <w:lang w:eastAsia="en-AU"/>
              </w:rPr>
              <w:t>Lack financial means/capability</w:t>
            </w:r>
          </w:p>
        </w:tc>
      </w:tr>
      <w:tr w:rsidR="00363A35" w:rsidRPr="008A0499" w:rsidTr="00C83F0F">
        <w:trPr>
          <w:trHeight w:val="569"/>
        </w:trPr>
        <w:tc>
          <w:tcPr>
            <w:tcW w:w="1552" w:type="dxa"/>
            <w:tcBorders>
              <w:top w:val="nil"/>
              <w:left w:val="nil"/>
              <w:bottom w:val="single" w:sz="4" w:space="0" w:color="244061" w:themeColor="accent1" w:themeShade="80"/>
              <w:right w:val="nil"/>
            </w:tcBorders>
            <w:shd w:val="clear" w:color="000000" w:fill="FFFFFF"/>
            <w:noWrap/>
            <w:vAlign w:val="bottom"/>
            <w:hideMark/>
          </w:tcPr>
          <w:p w:rsidR="00363A35" w:rsidRPr="008A0499" w:rsidRDefault="00363A35" w:rsidP="00AC76F7">
            <w:pPr>
              <w:rPr>
                <w:rFonts w:eastAsia="Times New Roman" w:cs="Calibri"/>
                <w:sz w:val="20"/>
                <w:szCs w:val="20"/>
                <w:lang w:eastAsia="en-AU"/>
              </w:rPr>
            </w:pPr>
            <w:r w:rsidRPr="008A0499">
              <w:rPr>
                <w:rFonts w:eastAsia="Times New Roman" w:cs="Calibri"/>
                <w:sz w:val="20"/>
                <w:szCs w:val="20"/>
                <w:lang w:eastAsia="en-AU"/>
              </w:rPr>
              <w:t>Want to comply but can't</w:t>
            </w:r>
          </w:p>
        </w:tc>
        <w:tc>
          <w:tcPr>
            <w:tcW w:w="2843" w:type="dxa"/>
            <w:tcBorders>
              <w:top w:val="nil"/>
              <w:left w:val="nil"/>
              <w:bottom w:val="single" w:sz="4" w:space="0" w:color="244061" w:themeColor="accent1" w:themeShade="80"/>
              <w:right w:val="nil"/>
            </w:tcBorders>
            <w:shd w:val="clear" w:color="000000" w:fill="FFFFFF"/>
            <w:noWrap/>
            <w:vAlign w:val="bottom"/>
            <w:hideMark/>
          </w:tcPr>
          <w:p w:rsidR="00363A35" w:rsidRDefault="00363A35" w:rsidP="00AC76F7">
            <w:pPr>
              <w:jc w:val="center"/>
              <w:rPr>
                <w:rFonts w:eastAsia="Times New Roman" w:cs="Calibri"/>
                <w:sz w:val="20"/>
                <w:szCs w:val="20"/>
                <w:lang w:eastAsia="en-AU"/>
              </w:rPr>
            </w:pPr>
            <w:r w:rsidRPr="008A0499">
              <w:rPr>
                <w:rFonts w:eastAsia="Times New Roman" w:cs="Calibri"/>
                <w:sz w:val="20"/>
                <w:szCs w:val="20"/>
                <w:lang w:eastAsia="en-AU"/>
              </w:rPr>
              <w:t xml:space="preserve">Breeders </w:t>
            </w:r>
            <w:r>
              <w:rPr>
                <w:rFonts w:eastAsia="Times New Roman" w:cs="Calibri"/>
                <w:sz w:val="20"/>
                <w:szCs w:val="20"/>
                <w:lang w:eastAsia="en-AU"/>
              </w:rPr>
              <w:t xml:space="preserve">&amp; </w:t>
            </w:r>
            <w:r w:rsidRPr="008A0499">
              <w:rPr>
                <w:rFonts w:eastAsia="Times New Roman" w:cs="Calibri"/>
                <w:sz w:val="20"/>
                <w:szCs w:val="20"/>
                <w:lang w:eastAsia="en-AU"/>
              </w:rPr>
              <w:t>trainers</w:t>
            </w:r>
          </w:p>
          <w:p w:rsidR="00363A35" w:rsidRPr="008A0499" w:rsidRDefault="00363A35" w:rsidP="00AC76F7">
            <w:pPr>
              <w:jc w:val="center"/>
              <w:rPr>
                <w:rFonts w:eastAsia="Times New Roman" w:cs="Calibri"/>
                <w:sz w:val="20"/>
                <w:szCs w:val="20"/>
                <w:lang w:eastAsia="en-AU"/>
              </w:rPr>
            </w:pPr>
            <w:r>
              <w:rPr>
                <w:rFonts w:eastAsia="Times New Roman" w:cs="Calibri"/>
                <w:sz w:val="20"/>
                <w:szCs w:val="20"/>
                <w:lang w:eastAsia="en-AU"/>
              </w:rPr>
              <w:t>(All small participants)</w:t>
            </w:r>
          </w:p>
        </w:tc>
        <w:tc>
          <w:tcPr>
            <w:tcW w:w="1578" w:type="dxa"/>
            <w:tcBorders>
              <w:top w:val="nil"/>
              <w:left w:val="nil"/>
              <w:bottom w:val="single" w:sz="4" w:space="0" w:color="244061" w:themeColor="accent1" w:themeShade="80"/>
              <w:right w:val="nil"/>
            </w:tcBorders>
            <w:shd w:val="clear" w:color="000000" w:fill="FFFFFF"/>
            <w:noWrap/>
            <w:vAlign w:val="bottom"/>
            <w:hideMark/>
          </w:tcPr>
          <w:p w:rsidR="00363A35" w:rsidRPr="008A0499" w:rsidRDefault="00363A35" w:rsidP="00AC76F7">
            <w:pPr>
              <w:jc w:val="center"/>
              <w:rPr>
                <w:rFonts w:eastAsia="Times New Roman" w:cs="Calibri"/>
                <w:sz w:val="20"/>
                <w:szCs w:val="20"/>
                <w:lang w:eastAsia="en-AU"/>
              </w:rPr>
            </w:pPr>
            <w:r>
              <w:rPr>
                <w:rFonts w:eastAsia="Times New Roman" w:cs="Calibri"/>
                <w:sz w:val="20"/>
                <w:szCs w:val="20"/>
                <w:lang w:eastAsia="en-AU"/>
              </w:rPr>
              <w:t>33.3</w:t>
            </w:r>
            <w:r w:rsidRPr="008A0499">
              <w:rPr>
                <w:rFonts w:eastAsia="Times New Roman" w:cs="Calibri"/>
                <w:sz w:val="20"/>
                <w:szCs w:val="20"/>
                <w:lang w:eastAsia="en-AU"/>
              </w:rPr>
              <w:t>%</w:t>
            </w:r>
          </w:p>
        </w:tc>
        <w:tc>
          <w:tcPr>
            <w:tcW w:w="2249" w:type="dxa"/>
            <w:tcBorders>
              <w:top w:val="nil"/>
              <w:left w:val="nil"/>
              <w:bottom w:val="single" w:sz="4" w:space="0" w:color="244061" w:themeColor="accent1" w:themeShade="80"/>
              <w:right w:val="nil"/>
            </w:tcBorders>
            <w:shd w:val="clear" w:color="auto" w:fill="DBE5F1" w:themeFill="accent1" w:themeFillTint="33"/>
            <w:noWrap/>
            <w:vAlign w:val="bottom"/>
            <w:hideMark/>
          </w:tcPr>
          <w:p w:rsidR="00363A35" w:rsidRPr="008A0499" w:rsidRDefault="00363A35" w:rsidP="00AC76F7">
            <w:pPr>
              <w:rPr>
                <w:rFonts w:eastAsia="Times New Roman" w:cs="Calibri"/>
                <w:sz w:val="20"/>
                <w:szCs w:val="20"/>
                <w:lang w:eastAsia="en-AU"/>
              </w:rPr>
            </w:pPr>
            <w:r>
              <w:rPr>
                <w:rFonts w:eastAsia="Times New Roman" w:cs="Calibri"/>
                <w:sz w:val="20"/>
                <w:szCs w:val="20"/>
                <w:lang w:eastAsia="en-AU"/>
              </w:rPr>
              <w:t>Ill-informed or lack knowledge</w:t>
            </w:r>
          </w:p>
        </w:tc>
      </w:tr>
    </w:tbl>
    <w:p w:rsidR="00363A35" w:rsidRDefault="00363A35" w:rsidP="00363A35">
      <w:pPr>
        <w:jc w:val="both"/>
        <w:rPr>
          <w:rFonts w:eastAsia="Cambria" w:cs="Times New Roman"/>
          <w:lang w:val="en-US"/>
        </w:rPr>
      </w:pPr>
    </w:p>
    <w:p w:rsidR="00C44B7B" w:rsidRDefault="006363D2" w:rsidP="00F52B90">
      <w:pPr>
        <w:jc w:val="both"/>
      </w:pPr>
      <w:r>
        <w:t>A summary of maximum estimated behaviour changes expected under Options 1 to 6 is summari</w:t>
      </w:r>
      <w:r w:rsidR="00CC5C16">
        <w:t>sed in Table A4.3</w:t>
      </w:r>
      <w:r>
        <w:t>.</w:t>
      </w:r>
      <w:r w:rsidR="007B521C">
        <w:t xml:space="preserve"> </w:t>
      </w:r>
      <w:r w:rsidR="00202A43">
        <w:t xml:space="preserve">The </w:t>
      </w:r>
      <w:r w:rsidR="00363A35">
        <w:t>maximum percentage of</w:t>
      </w:r>
      <w:r w:rsidR="00202A43">
        <w:t xml:space="preserve"> </w:t>
      </w:r>
      <w:r w:rsidR="00363A35">
        <w:t xml:space="preserve">participants affected by behaviour change </w:t>
      </w:r>
      <w:r w:rsidR="00202A43">
        <w:t xml:space="preserve">under each of the options </w:t>
      </w:r>
      <w:r w:rsidR="00CC5C16">
        <w:t>in Table A4.3</w:t>
      </w:r>
      <w:r w:rsidR="00363A35">
        <w:t xml:space="preserve"> (last column) </w:t>
      </w:r>
      <w:r w:rsidR="00202A43">
        <w:t>is estimated as the product of</w:t>
      </w:r>
      <w:r w:rsidR="002C637C">
        <w:t>:</w:t>
      </w:r>
      <w:r w:rsidR="00202A43">
        <w:t xml:space="preserve"> </w:t>
      </w:r>
    </w:p>
    <w:p w:rsidR="00C44B7B" w:rsidRDefault="00202A43" w:rsidP="00BD28C4">
      <w:pPr>
        <w:pStyle w:val="ListParagraph"/>
        <w:numPr>
          <w:ilvl w:val="0"/>
          <w:numId w:val="17"/>
        </w:numPr>
        <w:ind w:left="426" w:hanging="426"/>
        <w:jc w:val="both"/>
      </w:pPr>
      <w:r>
        <w:t xml:space="preserve">the </w:t>
      </w:r>
      <w:r w:rsidR="00C44B7B">
        <w:t xml:space="preserve">distribution of the number of </w:t>
      </w:r>
      <w:r w:rsidRPr="00202A43">
        <w:t>registered breed</w:t>
      </w:r>
      <w:r w:rsidR="00C44B7B">
        <w:t>ers and trainers by estimated number of</w:t>
      </w:r>
      <w:r w:rsidRPr="00202A43">
        <w:t xml:space="preserve"> dogs under care</w:t>
      </w:r>
      <w:r w:rsidR="00A850DE">
        <w:t xml:space="preserve"> in Table 4 in this</w:t>
      </w:r>
      <w:r w:rsidR="00C44B7B">
        <w:t xml:space="preserve"> RIS; and </w:t>
      </w:r>
    </w:p>
    <w:p w:rsidR="00DC0C35" w:rsidRDefault="00DC0C35" w:rsidP="00BD28C4">
      <w:pPr>
        <w:ind w:left="426" w:hanging="426"/>
        <w:jc w:val="both"/>
      </w:pPr>
    </w:p>
    <w:p w:rsidR="00202A43" w:rsidRDefault="00C44B7B" w:rsidP="00BD28C4">
      <w:pPr>
        <w:pStyle w:val="ListParagraph"/>
        <w:numPr>
          <w:ilvl w:val="0"/>
          <w:numId w:val="17"/>
        </w:numPr>
        <w:ind w:left="426" w:hanging="426"/>
        <w:jc w:val="both"/>
      </w:pPr>
      <w:r>
        <w:lastRenderedPageBreak/>
        <w:t xml:space="preserve">the percentage of participants affected </w:t>
      </w:r>
      <w:r w:rsidR="00614508">
        <w:t xml:space="preserve">by behavioural changes with respect to </w:t>
      </w:r>
      <w:r>
        <w:t xml:space="preserve">culture </w:t>
      </w:r>
      <w:r w:rsidR="00614508">
        <w:t>across those participants with 6 to 30 dogs</w:t>
      </w:r>
      <w:r w:rsidR="002C637C">
        <w:t xml:space="preserve"> (one third</w:t>
      </w:r>
      <w:r w:rsidR="00CC5C16">
        <w:t xml:space="preserve"> see Table A4.2</w:t>
      </w:r>
      <w:r w:rsidR="002C637C">
        <w:t>)</w:t>
      </w:r>
      <w:r>
        <w:t xml:space="preserve"> </w:t>
      </w:r>
      <w:r w:rsidR="00614508">
        <w:t>or with respect to</w:t>
      </w:r>
      <w:r>
        <w:t xml:space="preserve"> lack of knowledge/finance across entire distribution for all small participants</w:t>
      </w:r>
      <w:r w:rsidR="002C637C">
        <w:t xml:space="preserve"> (two thirds see </w:t>
      </w:r>
      <w:r w:rsidR="00CC5C16">
        <w:t>Table A4.2</w:t>
      </w:r>
      <w:r w:rsidR="002C637C">
        <w:t>)</w:t>
      </w:r>
      <w:r>
        <w:t>.</w:t>
      </w:r>
    </w:p>
    <w:p w:rsidR="00C44B7B" w:rsidRDefault="00C44B7B" w:rsidP="00C44B7B">
      <w:pPr>
        <w:jc w:val="both"/>
      </w:pPr>
    </w:p>
    <w:p w:rsidR="006363D2" w:rsidRPr="00363A35" w:rsidRDefault="00614508" w:rsidP="00363A35">
      <w:pPr>
        <w:jc w:val="center"/>
        <w:rPr>
          <w:sz w:val="20"/>
        </w:rPr>
      </w:pPr>
      <w:r w:rsidRPr="00363A35">
        <w:rPr>
          <w:b/>
          <w:sz w:val="20"/>
        </w:rPr>
        <w:t>Table A4</w:t>
      </w:r>
      <w:r w:rsidR="00CC5C16">
        <w:rPr>
          <w:b/>
          <w:sz w:val="20"/>
        </w:rPr>
        <w:t>.3</w:t>
      </w:r>
      <w:r w:rsidRPr="00363A35">
        <w:rPr>
          <w:b/>
          <w:sz w:val="20"/>
        </w:rPr>
        <w:t>: Percentage of participants affected by behaviour change under Options 1 to 6 by category of participant</w:t>
      </w:r>
    </w:p>
    <w:p w:rsidR="00614508" w:rsidRDefault="00614508" w:rsidP="00F52B90">
      <w:pPr>
        <w:jc w:val="both"/>
      </w:pPr>
    </w:p>
    <w:tbl>
      <w:tblPr>
        <w:tblW w:w="8222" w:type="dxa"/>
        <w:tblLook w:val="04A0" w:firstRow="1" w:lastRow="0" w:firstColumn="1" w:lastColumn="0" w:noHBand="0" w:noVBand="1"/>
      </w:tblPr>
      <w:tblGrid>
        <w:gridCol w:w="1843"/>
        <w:gridCol w:w="1207"/>
        <w:gridCol w:w="1486"/>
        <w:gridCol w:w="1207"/>
        <w:gridCol w:w="1207"/>
        <w:gridCol w:w="1272"/>
      </w:tblGrid>
      <w:tr w:rsidR="00614508" w:rsidRPr="00BD28C4" w:rsidTr="00C83F0F">
        <w:trPr>
          <w:trHeight w:val="714"/>
          <w:tblHeader/>
        </w:trPr>
        <w:tc>
          <w:tcPr>
            <w:tcW w:w="1843" w:type="dxa"/>
            <w:tcBorders>
              <w:top w:val="single" w:sz="4" w:space="0" w:color="1F4E78"/>
              <w:left w:val="nil"/>
              <w:bottom w:val="double" w:sz="6" w:space="0" w:color="1F4E78"/>
              <w:right w:val="nil"/>
            </w:tcBorders>
            <w:shd w:val="clear" w:color="000000" w:fill="FFFFFF"/>
            <w:noWrap/>
            <w:vAlign w:val="center"/>
            <w:hideMark/>
          </w:tcPr>
          <w:p w:rsidR="00D608DC" w:rsidRPr="00BD28C4" w:rsidRDefault="00D608DC" w:rsidP="00D608DC">
            <w:pP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Category of participants</w:t>
            </w:r>
          </w:p>
        </w:tc>
        <w:tc>
          <w:tcPr>
            <w:tcW w:w="1207" w:type="dxa"/>
            <w:tcBorders>
              <w:top w:val="single" w:sz="4" w:space="0" w:color="1F4E78"/>
              <w:left w:val="nil"/>
              <w:bottom w:val="double" w:sz="6" w:space="0" w:color="1F4E78"/>
              <w:right w:val="nil"/>
            </w:tcBorders>
            <w:shd w:val="clear" w:color="000000" w:fill="FFFFFF"/>
            <w:noWrap/>
            <w:vAlign w:val="center"/>
            <w:hideMark/>
          </w:tcPr>
          <w:p w:rsidR="00D608DC" w:rsidRPr="00BD28C4" w:rsidRDefault="00A850DE" w:rsidP="00D608DC">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w:t>
            </w:r>
            <w:r w:rsidR="008E4C35" w:rsidRPr="00BD28C4">
              <w:rPr>
                <w:rFonts w:eastAsia="Times New Roman" w:cs="Times New Roman"/>
                <w:b/>
                <w:bCs/>
                <w:color w:val="53565A"/>
                <w:sz w:val="20"/>
                <w:szCs w:val="20"/>
                <w:lang w:eastAsia="en-AU"/>
              </w:rPr>
              <w:t xml:space="preserve"> participants with</w:t>
            </w:r>
            <w:r w:rsidR="00D608DC" w:rsidRPr="00BD28C4">
              <w:rPr>
                <w:rFonts w:eastAsia="Times New Roman" w:cs="Times New Roman"/>
                <w:b/>
                <w:bCs/>
                <w:color w:val="53565A"/>
                <w:sz w:val="20"/>
                <w:szCs w:val="20"/>
                <w:lang w:eastAsia="en-AU"/>
              </w:rPr>
              <w:t xml:space="preserve"> 6 to 30 </w:t>
            </w:r>
            <w:r w:rsidR="008E4C35" w:rsidRPr="00BD28C4">
              <w:rPr>
                <w:rFonts w:eastAsia="Times New Roman" w:cs="Times New Roman"/>
                <w:b/>
                <w:bCs/>
                <w:color w:val="53565A"/>
                <w:sz w:val="20"/>
                <w:szCs w:val="20"/>
                <w:lang w:eastAsia="en-AU"/>
              </w:rPr>
              <w:t xml:space="preserve">dogs </w:t>
            </w:r>
            <w:r w:rsidR="00D608DC" w:rsidRPr="00BD28C4">
              <w:rPr>
                <w:rFonts w:eastAsia="Times New Roman" w:cs="Times New Roman"/>
                <w:b/>
                <w:bCs/>
                <w:color w:val="53565A"/>
                <w:sz w:val="20"/>
                <w:szCs w:val="20"/>
                <w:lang w:eastAsia="en-AU"/>
              </w:rPr>
              <w:t>affected</w:t>
            </w:r>
            <w:r w:rsidRPr="00BD28C4">
              <w:rPr>
                <w:rFonts w:eastAsia="Times New Roman" w:cs="Times New Roman"/>
                <w:b/>
                <w:bCs/>
                <w:color w:val="53565A"/>
                <w:sz w:val="20"/>
                <w:szCs w:val="20"/>
                <w:lang w:eastAsia="en-AU"/>
              </w:rPr>
              <w:t xml:space="preserve"> (culture)</w:t>
            </w:r>
          </w:p>
        </w:tc>
        <w:tc>
          <w:tcPr>
            <w:tcW w:w="1486" w:type="dxa"/>
            <w:tcBorders>
              <w:top w:val="single" w:sz="4" w:space="0" w:color="1F4E78"/>
              <w:left w:val="nil"/>
              <w:bottom w:val="double" w:sz="6" w:space="0" w:color="1F4E78"/>
              <w:right w:val="nil"/>
            </w:tcBorders>
            <w:shd w:val="clear" w:color="000000" w:fill="FFFFFF"/>
            <w:vAlign w:val="center"/>
            <w:hideMark/>
          </w:tcPr>
          <w:p w:rsidR="00D608DC" w:rsidRPr="00BD28C4" w:rsidRDefault="00A850DE" w:rsidP="00D608DC">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 xml:space="preserve">% </w:t>
            </w:r>
            <w:r w:rsidR="00D608DC" w:rsidRPr="00BD28C4">
              <w:rPr>
                <w:rFonts w:eastAsia="Times New Roman" w:cs="Times New Roman"/>
                <w:b/>
                <w:bCs/>
                <w:color w:val="53565A"/>
                <w:sz w:val="20"/>
                <w:szCs w:val="20"/>
                <w:lang w:eastAsia="en-AU"/>
              </w:rPr>
              <w:t>small participants</w:t>
            </w:r>
            <w:r w:rsidR="008E4C35" w:rsidRPr="00BD28C4">
              <w:rPr>
                <w:rFonts w:eastAsia="Times New Roman" w:cs="Times New Roman"/>
                <w:b/>
                <w:bCs/>
                <w:color w:val="53565A"/>
                <w:sz w:val="20"/>
                <w:szCs w:val="20"/>
                <w:lang w:eastAsia="en-AU"/>
              </w:rPr>
              <w:t xml:space="preserve"> </w:t>
            </w:r>
            <w:r w:rsidR="00D608DC" w:rsidRPr="00BD28C4">
              <w:rPr>
                <w:rFonts w:eastAsia="Times New Roman" w:cs="Times New Roman"/>
                <w:b/>
                <w:bCs/>
                <w:color w:val="53565A"/>
                <w:sz w:val="20"/>
                <w:szCs w:val="20"/>
                <w:lang w:eastAsia="en-AU"/>
              </w:rPr>
              <w:t>affected</w:t>
            </w:r>
            <w:r w:rsidRPr="00BD28C4">
              <w:rPr>
                <w:rFonts w:eastAsia="Times New Roman" w:cs="Times New Roman"/>
                <w:b/>
                <w:bCs/>
                <w:color w:val="53565A"/>
                <w:sz w:val="20"/>
                <w:szCs w:val="20"/>
                <w:lang w:eastAsia="en-AU"/>
              </w:rPr>
              <w:t xml:space="preserve"> (lack of knowledge/ finance)</w:t>
            </w:r>
          </w:p>
        </w:tc>
        <w:tc>
          <w:tcPr>
            <w:tcW w:w="1207" w:type="dxa"/>
            <w:tcBorders>
              <w:top w:val="single" w:sz="4" w:space="0" w:color="1F4E78"/>
              <w:left w:val="nil"/>
              <w:bottom w:val="double" w:sz="6" w:space="0" w:color="1F4E78"/>
              <w:right w:val="nil"/>
            </w:tcBorders>
            <w:shd w:val="clear" w:color="000000" w:fill="FFFFFF"/>
            <w:noWrap/>
            <w:vAlign w:val="center"/>
            <w:hideMark/>
          </w:tcPr>
          <w:p w:rsidR="00D608DC" w:rsidRPr="00BD28C4" w:rsidRDefault="00D608DC" w:rsidP="00D608DC">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 xml:space="preserve">Total </w:t>
            </w:r>
            <w:r w:rsidR="00972A56" w:rsidRPr="00BD28C4">
              <w:rPr>
                <w:rFonts w:eastAsia="Times New Roman" w:cs="Times New Roman"/>
                <w:b/>
                <w:bCs/>
                <w:color w:val="53565A"/>
                <w:sz w:val="20"/>
                <w:szCs w:val="20"/>
                <w:lang w:eastAsia="en-AU"/>
              </w:rPr>
              <w:t>participants affected</w:t>
            </w:r>
            <w:r w:rsidR="00614508" w:rsidRPr="00BD28C4">
              <w:rPr>
                <w:rFonts w:eastAsia="Times New Roman" w:cs="Times New Roman"/>
                <w:b/>
                <w:bCs/>
                <w:color w:val="53565A"/>
                <w:sz w:val="20"/>
                <w:szCs w:val="20"/>
                <w:lang w:eastAsia="en-AU"/>
              </w:rPr>
              <w:t xml:space="preserve"> by behaviour change</w:t>
            </w:r>
          </w:p>
        </w:tc>
        <w:tc>
          <w:tcPr>
            <w:tcW w:w="1207" w:type="dxa"/>
            <w:tcBorders>
              <w:top w:val="single" w:sz="4" w:space="0" w:color="1F4E78"/>
              <w:left w:val="nil"/>
              <w:bottom w:val="double" w:sz="6" w:space="0" w:color="1F4E78"/>
              <w:right w:val="nil"/>
            </w:tcBorders>
            <w:shd w:val="clear" w:color="000000" w:fill="FFFFFF"/>
            <w:vAlign w:val="center"/>
            <w:hideMark/>
          </w:tcPr>
          <w:p w:rsidR="00D608DC" w:rsidRPr="00BD28C4" w:rsidRDefault="00D608DC" w:rsidP="00D608DC">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Average number of participants</w:t>
            </w:r>
          </w:p>
        </w:tc>
        <w:tc>
          <w:tcPr>
            <w:tcW w:w="1272" w:type="dxa"/>
            <w:tcBorders>
              <w:top w:val="single" w:sz="4" w:space="0" w:color="1F4E78"/>
              <w:left w:val="nil"/>
              <w:bottom w:val="double" w:sz="6" w:space="0" w:color="1F4E78"/>
              <w:right w:val="nil"/>
            </w:tcBorders>
            <w:shd w:val="clear" w:color="auto" w:fill="DBE5F1" w:themeFill="accent1" w:themeFillTint="33"/>
            <w:vAlign w:val="center"/>
            <w:hideMark/>
          </w:tcPr>
          <w:p w:rsidR="00D608DC" w:rsidRPr="00BD28C4" w:rsidRDefault="00D608DC" w:rsidP="00D608DC">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 xml:space="preserve">% </w:t>
            </w:r>
            <w:r w:rsidR="00614508" w:rsidRPr="00BD28C4">
              <w:rPr>
                <w:rFonts w:eastAsia="Times New Roman" w:cs="Times New Roman"/>
                <w:b/>
                <w:bCs/>
                <w:color w:val="53565A"/>
                <w:sz w:val="20"/>
                <w:szCs w:val="20"/>
                <w:lang w:eastAsia="en-AU"/>
              </w:rPr>
              <w:t xml:space="preserve">of total participants affected by behaviour change </w:t>
            </w:r>
          </w:p>
        </w:tc>
      </w:tr>
      <w:tr w:rsidR="00FB3DF0" w:rsidRPr="00D608DC" w:rsidTr="00C83F0F">
        <w:trPr>
          <w:trHeight w:val="35"/>
        </w:trPr>
        <w:tc>
          <w:tcPr>
            <w:tcW w:w="1843" w:type="dxa"/>
            <w:tcBorders>
              <w:top w:val="single" w:sz="4" w:space="0" w:color="1F497D" w:themeColor="text2"/>
              <w:left w:val="nil"/>
              <w:bottom w:val="nil"/>
              <w:right w:val="nil"/>
            </w:tcBorders>
            <w:shd w:val="clear" w:color="000000" w:fill="FFFFFF"/>
            <w:noWrap/>
            <w:vAlign w:val="bottom"/>
          </w:tcPr>
          <w:p w:rsidR="00D608DC" w:rsidRPr="00D608DC" w:rsidRDefault="00D608DC" w:rsidP="00D608DC">
            <w:pPr>
              <w:rPr>
                <w:rFonts w:eastAsia="Times New Roman" w:cs="Times New Roman"/>
                <w:b/>
                <w:sz w:val="20"/>
                <w:szCs w:val="20"/>
                <w:lang w:eastAsia="en-AU"/>
              </w:rPr>
            </w:pPr>
            <w:r w:rsidRPr="00D608DC">
              <w:rPr>
                <w:rFonts w:eastAsia="Times New Roman" w:cs="Times New Roman"/>
                <w:b/>
                <w:sz w:val="20"/>
                <w:szCs w:val="20"/>
                <w:lang w:eastAsia="en-AU"/>
              </w:rPr>
              <w:t>Option 1</w:t>
            </w:r>
          </w:p>
        </w:tc>
        <w:tc>
          <w:tcPr>
            <w:tcW w:w="1207" w:type="dxa"/>
            <w:tcBorders>
              <w:top w:val="single" w:sz="4" w:space="0" w:color="1F497D" w:themeColor="text2"/>
              <w:left w:val="nil"/>
              <w:bottom w:val="nil"/>
              <w:right w:val="nil"/>
            </w:tcBorders>
            <w:shd w:val="clear" w:color="000000" w:fill="FFFFFF"/>
            <w:noWrap/>
            <w:vAlign w:val="bottom"/>
          </w:tcPr>
          <w:p w:rsidR="00D608DC" w:rsidRPr="00D608DC" w:rsidRDefault="00D608DC" w:rsidP="00D608DC">
            <w:pPr>
              <w:jc w:val="center"/>
              <w:rPr>
                <w:rFonts w:eastAsia="Times New Roman" w:cs="Times New Roman"/>
                <w:b/>
                <w:sz w:val="20"/>
                <w:szCs w:val="20"/>
                <w:lang w:eastAsia="en-AU"/>
              </w:rPr>
            </w:pPr>
            <w:r w:rsidRPr="00D608DC">
              <w:rPr>
                <w:rFonts w:eastAsia="Times New Roman" w:cs="Times New Roman"/>
                <w:b/>
                <w:sz w:val="20"/>
                <w:szCs w:val="20"/>
                <w:lang w:eastAsia="en-AU"/>
              </w:rPr>
              <w:t>0%</w:t>
            </w:r>
            <w:r w:rsidR="002C637C">
              <w:rPr>
                <w:rFonts w:eastAsia="Times New Roman" w:cs="Times New Roman"/>
                <w:b/>
                <w:sz w:val="20"/>
                <w:szCs w:val="20"/>
                <w:lang w:eastAsia="en-AU"/>
              </w:rPr>
              <w:t>*</w:t>
            </w:r>
          </w:p>
        </w:tc>
        <w:tc>
          <w:tcPr>
            <w:tcW w:w="1486" w:type="dxa"/>
            <w:tcBorders>
              <w:top w:val="single" w:sz="4" w:space="0" w:color="1F497D" w:themeColor="text2"/>
              <w:left w:val="nil"/>
              <w:bottom w:val="nil"/>
              <w:right w:val="nil"/>
            </w:tcBorders>
            <w:shd w:val="clear" w:color="000000" w:fill="FFFFFF"/>
            <w:noWrap/>
            <w:vAlign w:val="bottom"/>
          </w:tcPr>
          <w:p w:rsidR="00D608DC" w:rsidRPr="00D608DC" w:rsidRDefault="00D608DC" w:rsidP="00D608DC">
            <w:pPr>
              <w:jc w:val="center"/>
              <w:rPr>
                <w:rFonts w:eastAsia="Times New Roman" w:cs="Times New Roman"/>
                <w:b/>
                <w:sz w:val="20"/>
                <w:szCs w:val="20"/>
                <w:lang w:eastAsia="en-AU"/>
              </w:rPr>
            </w:pPr>
            <w:r w:rsidRPr="00D608DC">
              <w:rPr>
                <w:rFonts w:eastAsia="Times New Roman" w:cs="Times New Roman"/>
                <w:b/>
                <w:sz w:val="20"/>
                <w:szCs w:val="20"/>
                <w:lang w:eastAsia="en-AU"/>
              </w:rPr>
              <w:t>3.1%</w:t>
            </w:r>
            <w:r w:rsidR="00A850DE">
              <w:rPr>
                <w:rFonts w:eastAsia="Times New Roman" w:cs="Times New Roman"/>
                <w:b/>
                <w:sz w:val="20"/>
                <w:szCs w:val="20"/>
                <w:lang w:eastAsia="en-AU"/>
              </w:rPr>
              <w:t>*</w:t>
            </w:r>
          </w:p>
        </w:tc>
        <w:tc>
          <w:tcPr>
            <w:tcW w:w="1207" w:type="dxa"/>
            <w:tcBorders>
              <w:top w:val="single" w:sz="4" w:space="0" w:color="1F497D" w:themeColor="text2"/>
              <w:left w:val="nil"/>
              <w:bottom w:val="nil"/>
              <w:right w:val="nil"/>
            </w:tcBorders>
            <w:shd w:val="clear" w:color="000000" w:fill="FFFFFF"/>
            <w:noWrap/>
            <w:vAlign w:val="bottom"/>
          </w:tcPr>
          <w:p w:rsidR="00D608DC" w:rsidRPr="00D608DC" w:rsidRDefault="00D608DC" w:rsidP="00D608DC">
            <w:pPr>
              <w:jc w:val="center"/>
              <w:rPr>
                <w:rFonts w:eastAsia="Times New Roman" w:cs="Times New Roman"/>
                <w:sz w:val="20"/>
                <w:szCs w:val="20"/>
                <w:lang w:eastAsia="en-AU"/>
              </w:rPr>
            </w:pPr>
          </w:p>
        </w:tc>
        <w:tc>
          <w:tcPr>
            <w:tcW w:w="1207" w:type="dxa"/>
            <w:tcBorders>
              <w:top w:val="single" w:sz="4" w:space="0" w:color="1F497D" w:themeColor="text2"/>
              <w:left w:val="nil"/>
              <w:bottom w:val="nil"/>
              <w:right w:val="nil"/>
            </w:tcBorders>
            <w:shd w:val="clear" w:color="000000" w:fill="FFFFFF"/>
            <w:vAlign w:val="bottom"/>
          </w:tcPr>
          <w:p w:rsidR="00D608DC" w:rsidRPr="00D608DC" w:rsidRDefault="00D608DC" w:rsidP="00D608DC">
            <w:pPr>
              <w:jc w:val="center"/>
              <w:rPr>
                <w:rFonts w:eastAsia="Times New Roman" w:cs="Times New Roman"/>
                <w:sz w:val="20"/>
                <w:szCs w:val="20"/>
                <w:lang w:eastAsia="en-AU"/>
              </w:rPr>
            </w:pPr>
          </w:p>
        </w:tc>
        <w:tc>
          <w:tcPr>
            <w:tcW w:w="1272" w:type="dxa"/>
            <w:tcBorders>
              <w:top w:val="single" w:sz="4" w:space="0" w:color="1F497D" w:themeColor="text2"/>
              <w:left w:val="nil"/>
              <w:bottom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sz w:val="20"/>
                <w:szCs w:val="20"/>
                <w:lang w:eastAsia="en-AU"/>
              </w:rPr>
            </w:pPr>
          </w:p>
        </w:tc>
      </w:tr>
      <w:tr w:rsidR="00614508" w:rsidRPr="00D608DC" w:rsidTr="00DC0C35">
        <w:trPr>
          <w:trHeight w:val="80"/>
        </w:trPr>
        <w:tc>
          <w:tcPr>
            <w:tcW w:w="1843" w:type="dxa"/>
            <w:tcBorders>
              <w:top w:val="nil"/>
              <w:left w:val="nil"/>
              <w:bottom w:val="nil"/>
              <w:right w:val="nil"/>
            </w:tcBorders>
            <w:shd w:val="clear" w:color="000000" w:fill="FFFFFF"/>
            <w:noWrap/>
            <w:vAlign w:val="bottom"/>
            <w:hideMark/>
          </w:tcPr>
          <w:p w:rsidR="00D608DC" w:rsidRPr="00D608DC" w:rsidRDefault="00D608DC" w:rsidP="00D608DC">
            <w:pPr>
              <w:rPr>
                <w:rFonts w:eastAsia="Times New Roman" w:cs="Times New Roman"/>
                <w:sz w:val="20"/>
                <w:szCs w:val="20"/>
                <w:lang w:eastAsia="en-AU"/>
              </w:rPr>
            </w:pPr>
            <w:r w:rsidRPr="00D608DC">
              <w:rPr>
                <w:rFonts w:eastAsia="Times New Roman" w:cs="Times New Roman"/>
                <w:sz w:val="20"/>
                <w:szCs w:val="20"/>
                <w:lang w:eastAsia="en-AU"/>
              </w:rPr>
              <w:t>Large breeders</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486"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207" w:type="dxa"/>
            <w:tcBorders>
              <w:top w:val="nil"/>
              <w:left w:val="nil"/>
              <w:bottom w:val="nil"/>
              <w:right w:val="nil"/>
            </w:tcBorders>
            <w:shd w:val="clear" w:color="000000" w:fill="FFFFFF"/>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58</w:t>
            </w:r>
          </w:p>
        </w:tc>
        <w:tc>
          <w:tcPr>
            <w:tcW w:w="1272" w:type="dxa"/>
            <w:tcBorders>
              <w:top w:val="nil"/>
              <w:left w:val="nil"/>
              <w:bottom w:val="nil"/>
              <w:right w:val="nil"/>
            </w:tcBorders>
            <w:shd w:val="clear" w:color="auto" w:fill="DBE5F1" w:themeFill="accent1" w:themeFillTint="33"/>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0.00%</w:t>
            </w:r>
          </w:p>
        </w:tc>
      </w:tr>
      <w:tr w:rsidR="00614508" w:rsidRPr="00D608DC" w:rsidTr="00DC0C35">
        <w:trPr>
          <w:trHeight w:val="80"/>
        </w:trPr>
        <w:tc>
          <w:tcPr>
            <w:tcW w:w="1843" w:type="dxa"/>
            <w:tcBorders>
              <w:top w:val="nil"/>
              <w:left w:val="nil"/>
              <w:bottom w:val="nil"/>
              <w:right w:val="nil"/>
            </w:tcBorders>
            <w:shd w:val="clear" w:color="000000" w:fill="FFFFFF"/>
            <w:noWrap/>
            <w:vAlign w:val="bottom"/>
            <w:hideMark/>
          </w:tcPr>
          <w:p w:rsidR="00D608DC" w:rsidRPr="00D608DC" w:rsidRDefault="00D608DC" w:rsidP="00D608DC">
            <w:pPr>
              <w:rPr>
                <w:rFonts w:eastAsia="Times New Roman" w:cs="Times New Roman"/>
                <w:sz w:val="20"/>
                <w:szCs w:val="20"/>
                <w:lang w:eastAsia="en-AU"/>
              </w:rPr>
            </w:pPr>
            <w:r w:rsidRPr="00D608DC">
              <w:rPr>
                <w:rFonts w:eastAsia="Times New Roman" w:cs="Times New Roman"/>
                <w:sz w:val="20"/>
                <w:szCs w:val="20"/>
                <w:lang w:eastAsia="en-AU"/>
              </w:rPr>
              <w:t>Small breeders</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486"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15</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15</w:t>
            </w:r>
          </w:p>
        </w:tc>
        <w:tc>
          <w:tcPr>
            <w:tcW w:w="1207" w:type="dxa"/>
            <w:tcBorders>
              <w:top w:val="nil"/>
              <w:left w:val="nil"/>
              <w:bottom w:val="nil"/>
              <w:right w:val="nil"/>
            </w:tcBorders>
            <w:shd w:val="clear" w:color="000000" w:fill="FFFFFF"/>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484</w:t>
            </w:r>
          </w:p>
        </w:tc>
        <w:tc>
          <w:tcPr>
            <w:tcW w:w="1272" w:type="dxa"/>
            <w:tcBorders>
              <w:top w:val="nil"/>
              <w:left w:val="nil"/>
              <w:bottom w:val="nil"/>
              <w:right w:val="nil"/>
            </w:tcBorders>
            <w:shd w:val="clear" w:color="auto" w:fill="DBE5F1" w:themeFill="accent1" w:themeFillTint="33"/>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3.12%</w:t>
            </w:r>
          </w:p>
        </w:tc>
      </w:tr>
      <w:tr w:rsidR="00614508" w:rsidRPr="00D608DC" w:rsidTr="00DC0C35">
        <w:trPr>
          <w:trHeight w:val="80"/>
        </w:trPr>
        <w:tc>
          <w:tcPr>
            <w:tcW w:w="1843" w:type="dxa"/>
            <w:tcBorders>
              <w:top w:val="nil"/>
              <w:left w:val="nil"/>
              <w:bottom w:val="nil"/>
              <w:right w:val="nil"/>
            </w:tcBorders>
            <w:shd w:val="clear" w:color="000000" w:fill="FFFFFF"/>
            <w:noWrap/>
            <w:vAlign w:val="bottom"/>
            <w:hideMark/>
          </w:tcPr>
          <w:p w:rsidR="00D608DC" w:rsidRPr="00D608DC" w:rsidRDefault="00D608DC" w:rsidP="00D608DC">
            <w:pPr>
              <w:rPr>
                <w:rFonts w:eastAsia="Times New Roman" w:cs="Times New Roman"/>
                <w:sz w:val="20"/>
                <w:szCs w:val="20"/>
                <w:lang w:eastAsia="en-AU"/>
              </w:rPr>
            </w:pPr>
            <w:r w:rsidRPr="00D608DC">
              <w:rPr>
                <w:rFonts w:eastAsia="Times New Roman" w:cs="Times New Roman"/>
                <w:sz w:val="20"/>
                <w:szCs w:val="20"/>
                <w:lang w:eastAsia="en-AU"/>
              </w:rPr>
              <w:t>Large trainers</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486"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207" w:type="dxa"/>
            <w:tcBorders>
              <w:top w:val="nil"/>
              <w:left w:val="nil"/>
              <w:bottom w:val="nil"/>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207" w:type="dxa"/>
            <w:tcBorders>
              <w:top w:val="nil"/>
              <w:left w:val="nil"/>
              <w:bottom w:val="nil"/>
              <w:right w:val="nil"/>
            </w:tcBorders>
            <w:shd w:val="clear" w:color="000000" w:fill="FFFFFF"/>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255</w:t>
            </w:r>
          </w:p>
        </w:tc>
        <w:tc>
          <w:tcPr>
            <w:tcW w:w="1272" w:type="dxa"/>
            <w:tcBorders>
              <w:top w:val="nil"/>
              <w:left w:val="nil"/>
              <w:bottom w:val="nil"/>
              <w:right w:val="nil"/>
            </w:tcBorders>
            <w:shd w:val="clear" w:color="auto" w:fill="DBE5F1" w:themeFill="accent1" w:themeFillTint="33"/>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0.00%</w:t>
            </w:r>
          </w:p>
        </w:tc>
      </w:tr>
      <w:tr w:rsidR="00614508" w:rsidRPr="00D608DC" w:rsidTr="00DC0C35">
        <w:trPr>
          <w:trHeight w:val="80"/>
        </w:trPr>
        <w:tc>
          <w:tcPr>
            <w:tcW w:w="1843" w:type="dxa"/>
            <w:tcBorders>
              <w:top w:val="nil"/>
              <w:left w:val="nil"/>
              <w:bottom w:val="single" w:sz="4" w:space="0" w:color="1F497D" w:themeColor="text2"/>
              <w:right w:val="nil"/>
            </w:tcBorders>
            <w:shd w:val="clear" w:color="000000" w:fill="FFFFFF"/>
            <w:noWrap/>
            <w:vAlign w:val="bottom"/>
            <w:hideMark/>
          </w:tcPr>
          <w:p w:rsidR="00D608DC" w:rsidRPr="00D608DC" w:rsidRDefault="00D608DC" w:rsidP="00D608DC">
            <w:pPr>
              <w:rPr>
                <w:rFonts w:eastAsia="Times New Roman" w:cs="Times New Roman"/>
                <w:sz w:val="20"/>
                <w:szCs w:val="20"/>
                <w:lang w:eastAsia="en-AU"/>
              </w:rPr>
            </w:pPr>
            <w:r w:rsidRPr="00D608DC">
              <w:rPr>
                <w:rFonts w:eastAsia="Times New Roman" w:cs="Times New Roman"/>
                <w:sz w:val="20"/>
                <w:szCs w:val="20"/>
                <w:lang w:eastAsia="en-AU"/>
              </w:rPr>
              <w:t>Small trainers</w:t>
            </w:r>
          </w:p>
        </w:tc>
        <w:tc>
          <w:tcPr>
            <w:tcW w:w="1207" w:type="dxa"/>
            <w:tcBorders>
              <w:top w:val="nil"/>
              <w:left w:val="nil"/>
              <w:bottom w:val="single" w:sz="4" w:space="0" w:color="1F497D" w:themeColor="text2"/>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0</w:t>
            </w:r>
          </w:p>
        </w:tc>
        <w:tc>
          <w:tcPr>
            <w:tcW w:w="1486" w:type="dxa"/>
            <w:tcBorders>
              <w:top w:val="nil"/>
              <w:left w:val="nil"/>
              <w:bottom w:val="single" w:sz="4" w:space="0" w:color="1F497D" w:themeColor="text2"/>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45</w:t>
            </w:r>
          </w:p>
        </w:tc>
        <w:tc>
          <w:tcPr>
            <w:tcW w:w="1207" w:type="dxa"/>
            <w:tcBorders>
              <w:top w:val="nil"/>
              <w:left w:val="nil"/>
              <w:bottom w:val="single" w:sz="4" w:space="0" w:color="1F497D" w:themeColor="text2"/>
              <w:right w:val="nil"/>
            </w:tcBorders>
            <w:shd w:val="clear" w:color="000000" w:fill="FFFFFF"/>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45</w:t>
            </w:r>
          </w:p>
        </w:tc>
        <w:tc>
          <w:tcPr>
            <w:tcW w:w="1207" w:type="dxa"/>
            <w:tcBorders>
              <w:top w:val="nil"/>
              <w:left w:val="nil"/>
              <w:bottom w:val="single" w:sz="4" w:space="0" w:color="1F497D" w:themeColor="text2"/>
              <w:right w:val="nil"/>
            </w:tcBorders>
            <w:shd w:val="clear" w:color="000000" w:fill="FFFFFF"/>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1,449</w:t>
            </w:r>
          </w:p>
        </w:tc>
        <w:tc>
          <w:tcPr>
            <w:tcW w:w="1272" w:type="dxa"/>
            <w:tcBorders>
              <w:top w:val="nil"/>
              <w:left w:val="nil"/>
              <w:bottom w:val="single" w:sz="4" w:space="0" w:color="1F497D" w:themeColor="text2"/>
              <w:right w:val="nil"/>
            </w:tcBorders>
            <w:shd w:val="clear" w:color="auto" w:fill="DBE5F1" w:themeFill="accent1" w:themeFillTint="33"/>
            <w:noWrap/>
            <w:vAlign w:val="bottom"/>
            <w:hideMark/>
          </w:tcPr>
          <w:p w:rsidR="00D608DC" w:rsidRPr="00D608DC" w:rsidRDefault="00D608DC" w:rsidP="00D608DC">
            <w:pPr>
              <w:jc w:val="center"/>
              <w:rPr>
                <w:rFonts w:eastAsia="Times New Roman" w:cs="Times New Roman"/>
                <w:sz w:val="20"/>
                <w:szCs w:val="20"/>
                <w:lang w:eastAsia="en-AU"/>
              </w:rPr>
            </w:pPr>
            <w:r w:rsidRPr="00D608DC">
              <w:rPr>
                <w:rFonts w:eastAsia="Times New Roman" w:cs="Times New Roman"/>
                <w:sz w:val="20"/>
                <w:szCs w:val="20"/>
                <w:lang w:eastAsia="en-AU"/>
              </w:rPr>
              <w:t>3.12%</w:t>
            </w:r>
          </w:p>
        </w:tc>
      </w:tr>
      <w:tr w:rsidR="00FB3DF0" w:rsidRPr="00D608DC" w:rsidTr="00DC0C35">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D608DC" w:rsidRDefault="00D608DC" w:rsidP="00D608DC">
            <w:pPr>
              <w:rPr>
                <w:rFonts w:eastAsia="Times New Roman" w:cs="Times New Roman"/>
                <w:b/>
                <w:bCs/>
                <w:iCs/>
                <w:sz w:val="20"/>
                <w:szCs w:val="20"/>
                <w:lang w:eastAsia="en-AU"/>
              </w:rPr>
            </w:pPr>
            <w:r w:rsidRPr="00D608DC">
              <w:rPr>
                <w:rFonts w:eastAsia="Times New Roman" w:cs="Times New Roman"/>
                <w:b/>
                <w:bCs/>
                <w:i/>
                <w:iCs/>
                <w:sz w:val="20"/>
                <w:szCs w:val="20"/>
                <w:lang w:eastAsia="en-AU"/>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sidRPr="00D608DC">
              <w:rPr>
                <w:rFonts w:eastAsia="Times New Roman" w:cs="Times New Roman"/>
                <w:b/>
                <w:bCs/>
                <w:i/>
                <w:iCs/>
                <w:sz w:val="20"/>
                <w:szCs w:val="20"/>
                <w:lang w:eastAsia="en-AU"/>
              </w:rPr>
              <w:t>0</w:t>
            </w:r>
          </w:p>
        </w:tc>
        <w:tc>
          <w:tcPr>
            <w:tcW w:w="1486"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sidRPr="00D608DC">
              <w:rPr>
                <w:rFonts w:eastAsia="Times New Roman" w:cs="Times New Roman"/>
                <w:b/>
                <w:bCs/>
                <w:i/>
                <w:iCs/>
                <w:sz w:val="20"/>
                <w:szCs w:val="20"/>
                <w:lang w:eastAsia="en-AU"/>
              </w:rPr>
              <w:t>60</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sidRPr="00D608DC">
              <w:rPr>
                <w:rFonts w:eastAsia="Times New Roman" w:cs="Times New Roman"/>
                <w:b/>
                <w:bCs/>
                <w:i/>
                <w:iCs/>
                <w:sz w:val="20"/>
                <w:szCs w:val="20"/>
                <w:lang w:eastAsia="en-AU"/>
              </w:rPr>
              <w:t>60</w:t>
            </w:r>
          </w:p>
        </w:tc>
        <w:tc>
          <w:tcPr>
            <w:tcW w:w="1207" w:type="dxa"/>
            <w:tcBorders>
              <w:top w:val="single" w:sz="4" w:space="0" w:color="1F497D" w:themeColor="text2"/>
              <w:left w:val="nil"/>
              <w:bottom w:val="single" w:sz="4" w:space="0" w:color="1F497D" w:themeColor="text2"/>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sidRPr="00D608DC">
              <w:rPr>
                <w:rFonts w:eastAsia="Times New Roman" w:cs="Times New Roman"/>
                <w:b/>
                <w:bCs/>
                <w:i/>
                <w:iCs/>
                <w:sz w:val="20"/>
                <w:szCs w:val="20"/>
                <w:lang w:eastAsia="en-AU"/>
              </w:rPr>
              <w:t>2,247</w:t>
            </w:r>
          </w:p>
        </w:tc>
        <w:tc>
          <w:tcPr>
            <w:tcW w:w="127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sidRPr="00D608DC">
              <w:rPr>
                <w:rFonts w:eastAsia="Times New Roman" w:cs="Times New Roman"/>
                <w:b/>
                <w:bCs/>
                <w:i/>
                <w:iCs/>
                <w:sz w:val="20"/>
                <w:szCs w:val="20"/>
                <w:lang w:eastAsia="en-AU"/>
              </w:rPr>
              <w:t>2.69%</w:t>
            </w:r>
          </w:p>
        </w:tc>
      </w:tr>
      <w:tr w:rsidR="00FB3DF0" w:rsidRPr="00D608DC" w:rsidTr="00DC0C35">
        <w:trPr>
          <w:trHeight w:val="70"/>
        </w:trPr>
        <w:tc>
          <w:tcPr>
            <w:tcW w:w="1843" w:type="dxa"/>
            <w:tcBorders>
              <w:left w:val="nil"/>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rFonts w:eastAsia="Times New Roman" w:cs="Times New Roman"/>
                <w:b/>
                <w:bCs/>
                <w:iCs/>
                <w:sz w:val="20"/>
                <w:szCs w:val="20"/>
                <w:lang w:eastAsia="en-AU"/>
              </w:rPr>
              <w:t>Option 2</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8.4%</w:t>
            </w:r>
          </w:p>
        </w:tc>
        <w:tc>
          <w:tcPr>
            <w:tcW w:w="1486"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16.8%</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p>
        </w:tc>
        <w:tc>
          <w:tcPr>
            <w:tcW w:w="1207" w:type="dxa"/>
            <w:tcBorders>
              <w:left w:val="nil"/>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p>
        </w:tc>
        <w:tc>
          <w:tcPr>
            <w:tcW w:w="1272" w:type="dxa"/>
            <w:tcBorders>
              <w:left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p>
        </w:tc>
      </w:tr>
      <w:tr w:rsidR="00FB3DF0" w:rsidRPr="00D608DC" w:rsidTr="00DC0C35">
        <w:trPr>
          <w:trHeight w:val="80"/>
        </w:trPr>
        <w:tc>
          <w:tcPr>
            <w:tcW w:w="1843" w:type="dxa"/>
            <w:tcBorders>
              <w:left w:val="nil"/>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sz w:val="20"/>
                <w:szCs w:val="20"/>
              </w:rPr>
              <w:t>Large breeders</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5</w:t>
            </w:r>
          </w:p>
        </w:tc>
        <w:tc>
          <w:tcPr>
            <w:tcW w:w="1486"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5</w:t>
            </w:r>
          </w:p>
        </w:tc>
        <w:tc>
          <w:tcPr>
            <w:tcW w:w="1207" w:type="dxa"/>
            <w:tcBorders>
              <w:left w:val="nil"/>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58</w:t>
            </w:r>
          </w:p>
        </w:tc>
        <w:tc>
          <w:tcPr>
            <w:tcW w:w="1272" w:type="dxa"/>
            <w:tcBorders>
              <w:left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8.36%</w:t>
            </w:r>
          </w:p>
        </w:tc>
      </w:tr>
      <w:tr w:rsidR="00FB3DF0" w:rsidRPr="00D608DC" w:rsidTr="00DC0C35">
        <w:trPr>
          <w:trHeight w:val="80"/>
        </w:trPr>
        <w:tc>
          <w:tcPr>
            <w:tcW w:w="1843" w:type="dxa"/>
            <w:tcBorders>
              <w:left w:val="nil"/>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sz w:val="20"/>
                <w:szCs w:val="20"/>
              </w:rPr>
              <w:t>Small breeders</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16</w:t>
            </w:r>
          </w:p>
        </w:tc>
        <w:tc>
          <w:tcPr>
            <w:tcW w:w="1486"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81</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97</w:t>
            </w:r>
          </w:p>
        </w:tc>
        <w:tc>
          <w:tcPr>
            <w:tcW w:w="1207" w:type="dxa"/>
            <w:tcBorders>
              <w:left w:val="nil"/>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484</w:t>
            </w:r>
          </w:p>
        </w:tc>
        <w:tc>
          <w:tcPr>
            <w:tcW w:w="1272" w:type="dxa"/>
            <w:tcBorders>
              <w:left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20.07%</w:t>
            </w:r>
          </w:p>
        </w:tc>
      </w:tr>
      <w:tr w:rsidR="00FB3DF0" w:rsidRPr="00D608DC" w:rsidTr="00DC0C35">
        <w:trPr>
          <w:trHeight w:val="80"/>
        </w:trPr>
        <w:tc>
          <w:tcPr>
            <w:tcW w:w="1843" w:type="dxa"/>
            <w:tcBorders>
              <w:left w:val="nil"/>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sz w:val="20"/>
                <w:szCs w:val="20"/>
              </w:rPr>
              <w:t>Large trainers</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21</w:t>
            </w:r>
          </w:p>
        </w:tc>
        <w:tc>
          <w:tcPr>
            <w:tcW w:w="1486"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21</w:t>
            </w:r>
          </w:p>
        </w:tc>
        <w:tc>
          <w:tcPr>
            <w:tcW w:w="1207" w:type="dxa"/>
            <w:tcBorders>
              <w:left w:val="nil"/>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255</w:t>
            </w:r>
          </w:p>
        </w:tc>
        <w:tc>
          <w:tcPr>
            <w:tcW w:w="1272" w:type="dxa"/>
            <w:tcBorders>
              <w:left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8.36%</w:t>
            </w:r>
          </w:p>
        </w:tc>
      </w:tr>
      <w:tr w:rsidR="00FB3DF0" w:rsidRPr="00D608DC" w:rsidTr="00DC0C35">
        <w:trPr>
          <w:trHeight w:val="80"/>
        </w:trPr>
        <w:tc>
          <w:tcPr>
            <w:tcW w:w="1843" w:type="dxa"/>
            <w:tcBorders>
              <w:left w:val="nil"/>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sz w:val="20"/>
                <w:szCs w:val="20"/>
              </w:rPr>
              <w:t>Small trainers</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32</w:t>
            </w:r>
          </w:p>
        </w:tc>
        <w:tc>
          <w:tcPr>
            <w:tcW w:w="1486"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242</w:t>
            </w:r>
          </w:p>
        </w:tc>
        <w:tc>
          <w:tcPr>
            <w:tcW w:w="1207" w:type="dxa"/>
            <w:tcBorders>
              <w:left w:val="nil"/>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274</w:t>
            </w:r>
          </w:p>
        </w:tc>
        <w:tc>
          <w:tcPr>
            <w:tcW w:w="1207" w:type="dxa"/>
            <w:tcBorders>
              <w:left w:val="nil"/>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1,449</w:t>
            </w:r>
          </w:p>
        </w:tc>
        <w:tc>
          <w:tcPr>
            <w:tcW w:w="1272" w:type="dxa"/>
            <w:tcBorders>
              <w:left w:val="nil"/>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Pr>
                <w:sz w:val="20"/>
                <w:szCs w:val="20"/>
              </w:rPr>
              <w:t>18.91%</w:t>
            </w:r>
          </w:p>
        </w:tc>
      </w:tr>
      <w:tr w:rsidR="00FB3DF0" w:rsidRPr="00D608DC" w:rsidTr="00DC0C35">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rPr>
                <w:rFonts w:eastAsia="Times New Roman" w:cs="Times New Roman"/>
                <w:b/>
                <w:bCs/>
                <w:iCs/>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b/>
                <w:bCs/>
                <w:i/>
                <w:iCs/>
                <w:sz w:val="20"/>
                <w:szCs w:val="20"/>
              </w:rPr>
              <w:t>74</w:t>
            </w:r>
          </w:p>
        </w:tc>
        <w:tc>
          <w:tcPr>
            <w:tcW w:w="1486"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b/>
                <w:bCs/>
                <w:i/>
                <w:iCs/>
                <w:sz w:val="20"/>
                <w:szCs w:val="20"/>
              </w:rPr>
              <w:t>323</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D608DC" w:rsidRPr="00D608DC" w:rsidRDefault="00D608DC" w:rsidP="00D608DC">
            <w:pPr>
              <w:jc w:val="center"/>
              <w:rPr>
                <w:rFonts w:eastAsia="Times New Roman" w:cs="Times New Roman"/>
                <w:b/>
                <w:bCs/>
                <w:iCs/>
                <w:sz w:val="20"/>
                <w:szCs w:val="20"/>
                <w:lang w:eastAsia="en-AU"/>
              </w:rPr>
            </w:pPr>
            <w:r>
              <w:rPr>
                <w:b/>
                <w:bCs/>
                <w:i/>
                <w:iCs/>
                <w:sz w:val="20"/>
                <w:szCs w:val="20"/>
              </w:rPr>
              <w:t>397</w:t>
            </w:r>
          </w:p>
        </w:tc>
        <w:tc>
          <w:tcPr>
            <w:tcW w:w="1207" w:type="dxa"/>
            <w:tcBorders>
              <w:top w:val="single" w:sz="4" w:space="0" w:color="1F497D" w:themeColor="text2"/>
              <w:left w:val="nil"/>
              <w:bottom w:val="single" w:sz="4" w:space="0" w:color="1F497D" w:themeColor="text2"/>
              <w:right w:val="nil"/>
            </w:tcBorders>
            <w:shd w:val="clear" w:color="000000" w:fill="FFFFFF"/>
            <w:vAlign w:val="bottom"/>
          </w:tcPr>
          <w:p w:rsidR="00D608DC" w:rsidRPr="00D608DC" w:rsidRDefault="00D608DC" w:rsidP="00D608DC">
            <w:pPr>
              <w:jc w:val="center"/>
              <w:rPr>
                <w:rFonts w:eastAsia="Times New Roman" w:cs="Times New Roman"/>
                <w:b/>
                <w:bCs/>
                <w:iCs/>
                <w:sz w:val="20"/>
                <w:szCs w:val="20"/>
                <w:lang w:eastAsia="en-AU"/>
              </w:rPr>
            </w:pPr>
            <w:r>
              <w:rPr>
                <w:b/>
                <w:bCs/>
                <w:i/>
                <w:iCs/>
                <w:sz w:val="20"/>
                <w:szCs w:val="20"/>
              </w:rPr>
              <w:t>2,247</w:t>
            </w:r>
          </w:p>
        </w:tc>
        <w:tc>
          <w:tcPr>
            <w:tcW w:w="127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608DC" w:rsidRPr="00D608DC" w:rsidRDefault="00D608DC" w:rsidP="00D608DC">
            <w:pPr>
              <w:jc w:val="center"/>
              <w:rPr>
                <w:rFonts w:eastAsia="Times New Roman" w:cs="Times New Roman"/>
                <w:b/>
                <w:bCs/>
                <w:iCs/>
                <w:sz w:val="20"/>
                <w:szCs w:val="20"/>
                <w:lang w:eastAsia="en-AU"/>
              </w:rPr>
            </w:pPr>
            <w:r>
              <w:rPr>
                <w:b/>
                <w:bCs/>
                <w:i/>
                <w:iCs/>
                <w:sz w:val="20"/>
                <w:szCs w:val="20"/>
              </w:rPr>
              <w:t>17.69%</w:t>
            </w:r>
          </w:p>
        </w:tc>
      </w:tr>
      <w:tr w:rsidR="002C637C" w:rsidRPr="00D608DC" w:rsidTr="00DC0C35">
        <w:trPr>
          <w:trHeight w:val="70"/>
        </w:trPr>
        <w:tc>
          <w:tcPr>
            <w:tcW w:w="1843" w:type="dxa"/>
            <w:tcBorders>
              <w:left w:val="nil"/>
              <w:right w:val="nil"/>
            </w:tcBorders>
            <w:shd w:val="clear" w:color="000000" w:fill="FFFFFF"/>
            <w:noWrap/>
            <w:vAlign w:val="bottom"/>
          </w:tcPr>
          <w:p w:rsidR="008E4C35" w:rsidRPr="00D608DC" w:rsidRDefault="00972A56" w:rsidP="00D608DC">
            <w:pPr>
              <w:rPr>
                <w:rFonts w:eastAsia="Times New Roman" w:cs="Times New Roman"/>
                <w:b/>
                <w:bCs/>
                <w:iCs/>
                <w:sz w:val="20"/>
                <w:szCs w:val="20"/>
                <w:lang w:eastAsia="en-AU"/>
              </w:rPr>
            </w:pPr>
            <w:r>
              <w:rPr>
                <w:rFonts w:eastAsia="Times New Roman" w:cs="Times New Roman"/>
                <w:b/>
                <w:bCs/>
                <w:iCs/>
                <w:sz w:val="20"/>
                <w:szCs w:val="20"/>
                <w:lang w:eastAsia="en-AU"/>
              </w:rPr>
              <w:t>Option</w:t>
            </w:r>
            <w:r w:rsidR="00A850DE">
              <w:rPr>
                <w:rFonts w:eastAsia="Times New Roman" w:cs="Times New Roman"/>
                <w:b/>
                <w:bCs/>
                <w:iCs/>
                <w:sz w:val="20"/>
                <w:szCs w:val="20"/>
                <w:lang w:eastAsia="en-AU"/>
              </w:rPr>
              <w:t>s</w:t>
            </w:r>
            <w:r>
              <w:rPr>
                <w:rFonts w:eastAsia="Times New Roman" w:cs="Times New Roman"/>
                <w:b/>
                <w:bCs/>
                <w:iCs/>
                <w:sz w:val="20"/>
                <w:szCs w:val="20"/>
                <w:lang w:eastAsia="en-AU"/>
              </w:rPr>
              <w:t xml:space="preserve"> 3</w:t>
            </w:r>
            <w:r w:rsidR="00A850DE">
              <w:rPr>
                <w:rFonts w:eastAsia="Times New Roman" w:cs="Times New Roman"/>
                <w:b/>
                <w:bCs/>
                <w:iCs/>
                <w:sz w:val="20"/>
                <w:szCs w:val="20"/>
                <w:lang w:eastAsia="en-AU"/>
              </w:rPr>
              <w:t>, 5 and 6</w:t>
            </w:r>
          </w:p>
        </w:tc>
        <w:tc>
          <w:tcPr>
            <w:tcW w:w="1207" w:type="dxa"/>
            <w:tcBorders>
              <w:left w:val="nil"/>
              <w:right w:val="nil"/>
            </w:tcBorders>
            <w:shd w:val="clear" w:color="000000" w:fill="FFFFFF"/>
            <w:noWrap/>
            <w:vAlign w:val="bottom"/>
          </w:tcPr>
          <w:p w:rsidR="008E4C35" w:rsidRPr="00D608DC" w:rsidRDefault="00972A56"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32%</w:t>
            </w:r>
            <w:r w:rsidR="003A32AA">
              <w:rPr>
                <w:rFonts w:eastAsia="Times New Roman" w:cs="Times New Roman"/>
                <w:b/>
                <w:bCs/>
                <w:iCs/>
                <w:sz w:val="20"/>
                <w:szCs w:val="20"/>
                <w:lang w:eastAsia="en-AU"/>
              </w:rPr>
              <w:t>**</w:t>
            </w:r>
          </w:p>
        </w:tc>
        <w:tc>
          <w:tcPr>
            <w:tcW w:w="1486" w:type="dxa"/>
            <w:tcBorders>
              <w:left w:val="nil"/>
              <w:right w:val="nil"/>
            </w:tcBorders>
            <w:shd w:val="clear" w:color="000000" w:fill="FFFFFF"/>
            <w:noWrap/>
            <w:vAlign w:val="bottom"/>
          </w:tcPr>
          <w:p w:rsidR="008E4C35" w:rsidRPr="00D608DC" w:rsidRDefault="00972A56"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64%</w:t>
            </w:r>
            <w:r w:rsidR="003A32AA">
              <w:rPr>
                <w:rFonts w:eastAsia="Times New Roman" w:cs="Times New Roman"/>
                <w:b/>
                <w:bCs/>
                <w:iCs/>
                <w:sz w:val="20"/>
                <w:szCs w:val="20"/>
                <w:lang w:eastAsia="en-AU"/>
              </w:rPr>
              <w:t>**</w:t>
            </w:r>
          </w:p>
        </w:tc>
        <w:tc>
          <w:tcPr>
            <w:tcW w:w="1207" w:type="dxa"/>
            <w:tcBorders>
              <w:left w:val="nil"/>
              <w:right w:val="nil"/>
            </w:tcBorders>
            <w:shd w:val="clear" w:color="000000" w:fill="FFFFFF"/>
            <w:noWrap/>
            <w:vAlign w:val="bottom"/>
          </w:tcPr>
          <w:p w:rsidR="008E4C35" w:rsidRPr="00D608DC" w:rsidRDefault="008E4C35" w:rsidP="00D608DC">
            <w:pPr>
              <w:jc w:val="center"/>
              <w:rPr>
                <w:rFonts w:eastAsia="Times New Roman" w:cs="Times New Roman"/>
                <w:b/>
                <w:bCs/>
                <w:iCs/>
                <w:sz w:val="20"/>
                <w:szCs w:val="20"/>
                <w:lang w:eastAsia="en-AU"/>
              </w:rPr>
            </w:pPr>
          </w:p>
        </w:tc>
        <w:tc>
          <w:tcPr>
            <w:tcW w:w="1207" w:type="dxa"/>
            <w:tcBorders>
              <w:left w:val="nil"/>
              <w:right w:val="nil"/>
            </w:tcBorders>
            <w:shd w:val="clear" w:color="000000" w:fill="FFFFFF"/>
            <w:vAlign w:val="bottom"/>
          </w:tcPr>
          <w:p w:rsidR="008E4C35" w:rsidRPr="00D608DC" w:rsidRDefault="008E4C35" w:rsidP="00D608DC">
            <w:pPr>
              <w:jc w:val="center"/>
              <w:rPr>
                <w:rFonts w:eastAsia="Times New Roman" w:cs="Times New Roman"/>
                <w:b/>
                <w:bCs/>
                <w:iCs/>
                <w:sz w:val="20"/>
                <w:szCs w:val="20"/>
                <w:lang w:eastAsia="en-AU"/>
              </w:rPr>
            </w:pPr>
          </w:p>
        </w:tc>
        <w:tc>
          <w:tcPr>
            <w:tcW w:w="1272" w:type="dxa"/>
            <w:tcBorders>
              <w:left w:val="nil"/>
              <w:right w:val="nil"/>
            </w:tcBorders>
            <w:shd w:val="clear" w:color="auto" w:fill="DBE5F1" w:themeFill="accent1" w:themeFillTint="33"/>
            <w:noWrap/>
            <w:vAlign w:val="bottom"/>
          </w:tcPr>
          <w:p w:rsidR="008E4C35" w:rsidRPr="00D608DC" w:rsidRDefault="008E4C35" w:rsidP="00D608DC">
            <w:pPr>
              <w:jc w:val="center"/>
              <w:rPr>
                <w:rFonts w:eastAsia="Times New Roman" w:cs="Times New Roman"/>
                <w:b/>
                <w:bCs/>
                <w:iCs/>
                <w:sz w:val="20"/>
                <w:szCs w:val="20"/>
                <w:lang w:eastAsia="en-AU"/>
              </w:rPr>
            </w:pPr>
          </w:p>
        </w:tc>
      </w:tr>
      <w:tr w:rsidR="00FB3DF0" w:rsidRPr="00D608DC" w:rsidTr="00DC0C35">
        <w:trPr>
          <w:trHeight w:val="80"/>
        </w:trPr>
        <w:tc>
          <w:tcPr>
            <w:tcW w:w="1843" w:type="dxa"/>
            <w:tcBorders>
              <w:left w:val="nil"/>
              <w:right w:val="nil"/>
            </w:tcBorders>
            <w:shd w:val="clear" w:color="000000" w:fill="FFFFFF"/>
            <w:noWrap/>
            <w:vAlign w:val="bottom"/>
          </w:tcPr>
          <w:p w:rsidR="00972A56" w:rsidRPr="00D608DC" w:rsidRDefault="00972A56" w:rsidP="00972A56">
            <w:pPr>
              <w:rPr>
                <w:rFonts w:eastAsia="Times New Roman" w:cs="Times New Roman"/>
                <w:b/>
                <w:bCs/>
                <w:iCs/>
                <w:sz w:val="20"/>
                <w:szCs w:val="20"/>
                <w:lang w:eastAsia="en-AU"/>
              </w:rPr>
            </w:pPr>
            <w:r>
              <w:rPr>
                <w:sz w:val="20"/>
                <w:szCs w:val="20"/>
              </w:rPr>
              <w:t>Large breeders</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19</w:t>
            </w:r>
          </w:p>
        </w:tc>
        <w:tc>
          <w:tcPr>
            <w:tcW w:w="1486"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19</w:t>
            </w:r>
          </w:p>
        </w:tc>
        <w:tc>
          <w:tcPr>
            <w:tcW w:w="1207" w:type="dxa"/>
            <w:tcBorders>
              <w:left w:val="nil"/>
              <w:right w:val="nil"/>
            </w:tcBorders>
            <w:shd w:val="clear" w:color="000000" w:fill="FFFFFF"/>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58</w:t>
            </w:r>
          </w:p>
        </w:tc>
        <w:tc>
          <w:tcPr>
            <w:tcW w:w="1272" w:type="dxa"/>
            <w:tcBorders>
              <w:left w:val="nil"/>
              <w:right w:val="nil"/>
            </w:tcBorders>
            <w:shd w:val="clear" w:color="auto" w:fill="DBE5F1" w:themeFill="accent1" w:themeFillTint="33"/>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32.00%</w:t>
            </w:r>
          </w:p>
        </w:tc>
      </w:tr>
      <w:tr w:rsidR="002C637C" w:rsidRPr="00D608DC" w:rsidTr="00DC0C35">
        <w:trPr>
          <w:trHeight w:val="80"/>
        </w:trPr>
        <w:tc>
          <w:tcPr>
            <w:tcW w:w="1843" w:type="dxa"/>
            <w:tcBorders>
              <w:left w:val="nil"/>
              <w:right w:val="nil"/>
            </w:tcBorders>
            <w:shd w:val="clear" w:color="000000" w:fill="FFFFFF"/>
            <w:noWrap/>
            <w:vAlign w:val="bottom"/>
          </w:tcPr>
          <w:p w:rsidR="00972A56" w:rsidRPr="00D608DC" w:rsidRDefault="00972A56" w:rsidP="00972A56">
            <w:pPr>
              <w:rPr>
                <w:rFonts w:eastAsia="Times New Roman" w:cs="Times New Roman"/>
                <w:b/>
                <w:bCs/>
                <w:iCs/>
                <w:sz w:val="20"/>
                <w:szCs w:val="20"/>
                <w:lang w:eastAsia="en-AU"/>
              </w:rPr>
            </w:pPr>
            <w:r>
              <w:rPr>
                <w:sz w:val="20"/>
                <w:szCs w:val="20"/>
              </w:rPr>
              <w:t>Small breeders</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62</w:t>
            </w:r>
          </w:p>
        </w:tc>
        <w:tc>
          <w:tcPr>
            <w:tcW w:w="1486"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310</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372</w:t>
            </w:r>
          </w:p>
        </w:tc>
        <w:tc>
          <w:tcPr>
            <w:tcW w:w="1207" w:type="dxa"/>
            <w:tcBorders>
              <w:left w:val="nil"/>
              <w:right w:val="nil"/>
            </w:tcBorders>
            <w:shd w:val="clear" w:color="000000" w:fill="FFFFFF"/>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484</w:t>
            </w:r>
          </w:p>
        </w:tc>
        <w:tc>
          <w:tcPr>
            <w:tcW w:w="1272" w:type="dxa"/>
            <w:tcBorders>
              <w:left w:val="nil"/>
              <w:right w:val="nil"/>
            </w:tcBorders>
            <w:shd w:val="clear" w:color="auto" w:fill="DBE5F1" w:themeFill="accent1" w:themeFillTint="33"/>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76.79%</w:t>
            </w:r>
          </w:p>
        </w:tc>
      </w:tr>
      <w:tr w:rsidR="002C637C" w:rsidRPr="00D608DC" w:rsidTr="00DC0C35">
        <w:trPr>
          <w:trHeight w:val="80"/>
        </w:trPr>
        <w:tc>
          <w:tcPr>
            <w:tcW w:w="1843" w:type="dxa"/>
            <w:tcBorders>
              <w:left w:val="nil"/>
              <w:right w:val="nil"/>
            </w:tcBorders>
            <w:shd w:val="clear" w:color="000000" w:fill="FFFFFF"/>
            <w:noWrap/>
            <w:vAlign w:val="bottom"/>
          </w:tcPr>
          <w:p w:rsidR="00972A56" w:rsidRPr="00D608DC" w:rsidRDefault="00972A56" w:rsidP="00972A56">
            <w:pPr>
              <w:rPr>
                <w:rFonts w:eastAsia="Times New Roman" w:cs="Times New Roman"/>
                <w:b/>
                <w:bCs/>
                <w:iCs/>
                <w:sz w:val="20"/>
                <w:szCs w:val="20"/>
                <w:lang w:eastAsia="en-AU"/>
              </w:rPr>
            </w:pPr>
            <w:r>
              <w:rPr>
                <w:sz w:val="20"/>
                <w:szCs w:val="20"/>
              </w:rPr>
              <w:t>Large trainers</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82</w:t>
            </w:r>
          </w:p>
        </w:tc>
        <w:tc>
          <w:tcPr>
            <w:tcW w:w="1486"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82</w:t>
            </w:r>
          </w:p>
        </w:tc>
        <w:tc>
          <w:tcPr>
            <w:tcW w:w="1207" w:type="dxa"/>
            <w:tcBorders>
              <w:left w:val="nil"/>
              <w:right w:val="nil"/>
            </w:tcBorders>
            <w:shd w:val="clear" w:color="000000" w:fill="FFFFFF"/>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255</w:t>
            </w:r>
          </w:p>
        </w:tc>
        <w:tc>
          <w:tcPr>
            <w:tcW w:w="1272" w:type="dxa"/>
            <w:tcBorders>
              <w:left w:val="nil"/>
              <w:right w:val="nil"/>
            </w:tcBorders>
            <w:shd w:val="clear" w:color="auto" w:fill="DBE5F1" w:themeFill="accent1" w:themeFillTint="33"/>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32.00%</w:t>
            </w:r>
          </w:p>
        </w:tc>
      </w:tr>
      <w:tr w:rsidR="00FB3DF0" w:rsidRPr="00D608DC" w:rsidTr="00DC0C35">
        <w:trPr>
          <w:trHeight w:val="80"/>
        </w:trPr>
        <w:tc>
          <w:tcPr>
            <w:tcW w:w="1843" w:type="dxa"/>
            <w:tcBorders>
              <w:left w:val="nil"/>
              <w:bottom w:val="single" w:sz="4" w:space="0" w:color="1F497D" w:themeColor="text2"/>
              <w:right w:val="nil"/>
            </w:tcBorders>
            <w:shd w:val="clear" w:color="000000" w:fill="FFFFFF"/>
            <w:noWrap/>
            <w:vAlign w:val="bottom"/>
          </w:tcPr>
          <w:p w:rsidR="00972A56" w:rsidRPr="00D608DC" w:rsidRDefault="00972A56" w:rsidP="00972A56">
            <w:pPr>
              <w:rPr>
                <w:rFonts w:eastAsia="Times New Roman" w:cs="Times New Roman"/>
                <w:b/>
                <w:bCs/>
                <w:iCs/>
                <w:sz w:val="20"/>
                <w:szCs w:val="20"/>
                <w:lang w:eastAsia="en-AU"/>
              </w:rPr>
            </w:pPr>
            <w:r>
              <w:rPr>
                <w:sz w:val="20"/>
                <w:szCs w:val="20"/>
              </w:rPr>
              <w:t>Small trainers</w:t>
            </w:r>
          </w:p>
        </w:tc>
        <w:tc>
          <w:tcPr>
            <w:tcW w:w="1207" w:type="dxa"/>
            <w:tcBorders>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121</w:t>
            </w:r>
          </w:p>
        </w:tc>
        <w:tc>
          <w:tcPr>
            <w:tcW w:w="1486" w:type="dxa"/>
            <w:tcBorders>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928</w:t>
            </w:r>
          </w:p>
        </w:tc>
        <w:tc>
          <w:tcPr>
            <w:tcW w:w="1207" w:type="dxa"/>
            <w:tcBorders>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1,049</w:t>
            </w:r>
          </w:p>
        </w:tc>
        <w:tc>
          <w:tcPr>
            <w:tcW w:w="1207" w:type="dxa"/>
            <w:tcBorders>
              <w:left w:val="nil"/>
              <w:bottom w:val="single" w:sz="4" w:space="0" w:color="1F497D" w:themeColor="text2"/>
              <w:right w:val="nil"/>
            </w:tcBorders>
            <w:shd w:val="clear" w:color="000000" w:fill="FFFFFF"/>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1,449</w:t>
            </w:r>
          </w:p>
        </w:tc>
        <w:tc>
          <w:tcPr>
            <w:tcW w:w="1272" w:type="dxa"/>
            <w:tcBorders>
              <w:left w:val="nil"/>
              <w:bottom w:val="single" w:sz="4" w:space="0" w:color="1F497D" w:themeColor="text2"/>
              <w:right w:val="nil"/>
            </w:tcBorders>
            <w:shd w:val="clear" w:color="auto" w:fill="DBE5F1" w:themeFill="accent1" w:themeFillTint="33"/>
            <w:noWrap/>
            <w:vAlign w:val="bottom"/>
          </w:tcPr>
          <w:p w:rsidR="00972A56" w:rsidRPr="00D608DC" w:rsidRDefault="00972A56" w:rsidP="00972A56">
            <w:pPr>
              <w:jc w:val="center"/>
              <w:rPr>
                <w:rFonts w:eastAsia="Times New Roman" w:cs="Times New Roman"/>
                <w:b/>
                <w:bCs/>
                <w:iCs/>
                <w:sz w:val="20"/>
                <w:szCs w:val="20"/>
                <w:lang w:eastAsia="en-AU"/>
              </w:rPr>
            </w:pPr>
            <w:r>
              <w:rPr>
                <w:sz w:val="20"/>
                <w:szCs w:val="20"/>
              </w:rPr>
              <w:t>72.36%</w:t>
            </w:r>
          </w:p>
        </w:tc>
      </w:tr>
      <w:tr w:rsidR="00FB3DF0" w:rsidRPr="00D608DC" w:rsidTr="00DC0C35">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972A56" w:rsidRPr="00D608DC" w:rsidRDefault="00972A56" w:rsidP="00972A56">
            <w:pPr>
              <w:rPr>
                <w:rFonts w:eastAsia="Times New Roman" w:cs="Times New Roman"/>
                <w:b/>
                <w:bCs/>
                <w:iCs/>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b/>
                <w:bCs/>
                <w:i/>
                <w:iCs/>
                <w:sz w:val="20"/>
                <w:szCs w:val="20"/>
              </w:rPr>
              <w:t>283</w:t>
            </w:r>
          </w:p>
        </w:tc>
        <w:tc>
          <w:tcPr>
            <w:tcW w:w="1486" w:type="dxa"/>
            <w:tcBorders>
              <w:top w:val="single" w:sz="4" w:space="0" w:color="1F497D" w:themeColor="text2"/>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b/>
                <w:bCs/>
                <w:i/>
                <w:iCs/>
                <w:sz w:val="20"/>
                <w:szCs w:val="20"/>
              </w:rPr>
              <w:t>1,238</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972A56" w:rsidRPr="00D608DC" w:rsidRDefault="00972A56" w:rsidP="00972A56">
            <w:pPr>
              <w:jc w:val="center"/>
              <w:rPr>
                <w:rFonts w:eastAsia="Times New Roman" w:cs="Times New Roman"/>
                <w:b/>
                <w:bCs/>
                <w:iCs/>
                <w:sz w:val="20"/>
                <w:szCs w:val="20"/>
                <w:lang w:eastAsia="en-AU"/>
              </w:rPr>
            </w:pPr>
            <w:r>
              <w:rPr>
                <w:b/>
                <w:bCs/>
                <w:i/>
                <w:iCs/>
                <w:sz w:val="20"/>
                <w:szCs w:val="20"/>
              </w:rPr>
              <w:t>1,521</w:t>
            </w:r>
          </w:p>
        </w:tc>
        <w:tc>
          <w:tcPr>
            <w:tcW w:w="1207" w:type="dxa"/>
            <w:tcBorders>
              <w:top w:val="single" w:sz="4" w:space="0" w:color="1F497D" w:themeColor="text2"/>
              <w:left w:val="nil"/>
              <w:bottom w:val="single" w:sz="4" w:space="0" w:color="1F497D" w:themeColor="text2"/>
              <w:right w:val="nil"/>
            </w:tcBorders>
            <w:shd w:val="clear" w:color="000000" w:fill="FFFFFF"/>
            <w:vAlign w:val="bottom"/>
          </w:tcPr>
          <w:p w:rsidR="00972A56" w:rsidRPr="00D608DC" w:rsidRDefault="00972A56" w:rsidP="00972A56">
            <w:pPr>
              <w:jc w:val="center"/>
              <w:rPr>
                <w:rFonts w:eastAsia="Times New Roman" w:cs="Times New Roman"/>
                <w:b/>
                <w:bCs/>
                <w:iCs/>
                <w:sz w:val="20"/>
                <w:szCs w:val="20"/>
                <w:lang w:eastAsia="en-AU"/>
              </w:rPr>
            </w:pPr>
            <w:r>
              <w:rPr>
                <w:b/>
                <w:bCs/>
                <w:i/>
                <w:iCs/>
                <w:sz w:val="20"/>
                <w:szCs w:val="20"/>
              </w:rPr>
              <w:t>2,247</w:t>
            </w:r>
          </w:p>
        </w:tc>
        <w:tc>
          <w:tcPr>
            <w:tcW w:w="127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972A56" w:rsidRPr="00D608DC" w:rsidRDefault="00972A56" w:rsidP="00972A56">
            <w:pPr>
              <w:jc w:val="center"/>
              <w:rPr>
                <w:rFonts w:eastAsia="Times New Roman" w:cs="Times New Roman"/>
                <w:b/>
                <w:bCs/>
                <w:iCs/>
                <w:sz w:val="20"/>
                <w:szCs w:val="20"/>
                <w:lang w:eastAsia="en-AU"/>
              </w:rPr>
            </w:pPr>
            <w:r>
              <w:rPr>
                <w:b/>
                <w:bCs/>
                <w:i/>
                <w:iCs/>
                <w:sz w:val="20"/>
                <w:szCs w:val="20"/>
              </w:rPr>
              <w:t>67.69%</w:t>
            </w:r>
          </w:p>
        </w:tc>
      </w:tr>
      <w:tr w:rsidR="002C637C" w:rsidRPr="00D608DC" w:rsidTr="00DC0C35">
        <w:trPr>
          <w:trHeight w:val="70"/>
        </w:trPr>
        <w:tc>
          <w:tcPr>
            <w:tcW w:w="1843" w:type="dxa"/>
            <w:tcBorders>
              <w:top w:val="single" w:sz="4" w:space="0" w:color="1F497D" w:themeColor="text2"/>
              <w:left w:val="nil"/>
              <w:right w:val="nil"/>
            </w:tcBorders>
            <w:shd w:val="clear" w:color="000000" w:fill="FFFFFF"/>
            <w:noWrap/>
            <w:vAlign w:val="bottom"/>
          </w:tcPr>
          <w:p w:rsidR="008E4C35" w:rsidRPr="00D608DC" w:rsidRDefault="00A850DE" w:rsidP="00D608DC">
            <w:pPr>
              <w:rPr>
                <w:rFonts w:eastAsia="Times New Roman" w:cs="Times New Roman"/>
                <w:b/>
                <w:bCs/>
                <w:iCs/>
                <w:sz w:val="20"/>
                <w:szCs w:val="20"/>
                <w:lang w:eastAsia="en-AU"/>
              </w:rPr>
            </w:pPr>
            <w:r>
              <w:rPr>
                <w:rFonts w:eastAsia="Times New Roman" w:cs="Times New Roman"/>
                <w:b/>
                <w:bCs/>
                <w:iCs/>
                <w:sz w:val="20"/>
                <w:szCs w:val="20"/>
                <w:lang w:eastAsia="en-AU"/>
              </w:rPr>
              <w:t>Option 4</w:t>
            </w:r>
          </w:p>
        </w:tc>
        <w:tc>
          <w:tcPr>
            <w:tcW w:w="1207" w:type="dxa"/>
            <w:tcBorders>
              <w:top w:val="single" w:sz="4" w:space="0" w:color="1F497D" w:themeColor="text2"/>
              <w:left w:val="nil"/>
              <w:right w:val="nil"/>
            </w:tcBorders>
            <w:shd w:val="clear" w:color="000000" w:fill="FFFFFF"/>
            <w:noWrap/>
            <w:vAlign w:val="bottom"/>
          </w:tcPr>
          <w:p w:rsidR="008E4C35" w:rsidRPr="00D608DC" w:rsidRDefault="00A850DE"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20.2%</w:t>
            </w:r>
          </w:p>
        </w:tc>
        <w:tc>
          <w:tcPr>
            <w:tcW w:w="1486" w:type="dxa"/>
            <w:tcBorders>
              <w:top w:val="single" w:sz="4" w:space="0" w:color="1F497D" w:themeColor="text2"/>
              <w:left w:val="nil"/>
              <w:right w:val="nil"/>
            </w:tcBorders>
            <w:shd w:val="clear" w:color="000000" w:fill="FFFFFF"/>
            <w:noWrap/>
            <w:vAlign w:val="bottom"/>
          </w:tcPr>
          <w:p w:rsidR="008E4C35" w:rsidRPr="00D608DC" w:rsidRDefault="00A850DE" w:rsidP="00D608DC">
            <w:pPr>
              <w:jc w:val="center"/>
              <w:rPr>
                <w:rFonts w:eastAsia="Times New Roman" w:cs="Times New Roman"/>
                <w:b/>
                <w:bCs/>
                <w:iCs/>
                <w:sz w:val="20"/>
                <w:szCs w:val="20"/>
                <w:lang w:eastAsia="en-AU"/>
              </w:rPr>
            </w:pPr>
            <w:r>
              <w:rPr>
                <w:rFonts w:eastAsia="Times New Roman" w:cs="Times New Roman"/>
                <w:b/>
                <w:bCs/>
                <w:iCs/>
                <w:sz w:val="20"/>
                <w:szCs w:val="20"/>
                <w:lang w:eastAsia="en-AU"/>
              </w:rPr>
              <w:t>40.4%</w:t>
            </w:r>
          </w:p>
        </w:tc>
        <w:tc>
          <w:tcPr>
            <w:tcW w:w="1207" w:type="dxa"/>
            <w:tcBorders>
              <w:top w:val="single" w:sz="4" w:space="0" w:color="1F497D" w:themeColor="text2"/>
              <w:left w:val="nil"/>
              <w:right w:val="nil"/>
            </w:tcBorders>
            <w:shd w:val="clear" w:color="000000" w:fill="FFFFFF"/>
            <w:noWrap/>
            <w:vAlign w:val="bottom"/>
          </w:tcPr>
          <w:p w:rsidR="008E4C35" w:rsidRPr="00D608DC" w:rsidRDefault="008E4C35" w:rsidP="00D608DC">
            <w:pPr>
              <w:jc w:val="center"/>
              <w:rPr>
                <w:rFonts w:eastAsia="Times New Roman" w:cs="Times New Roman"/>
                <w:b/>
                <w:bCs/>
                <w:iCs/>
                <w:sz w:val="20"/>
                <w:szCs w:val="20"/>
                <w:lang w:eastAsia="en-AU"/>
              </w:rPr>
            </w:pPr>
          </w:p>
        </w:tc>
        <w:tc>
          <w:tcPr>
            <w:tcW w:w="1207" w:type="dxa"/>
            <w:tcBorders>
              <w:top w:val="single" w:sz="4" w:space="0" w:color="1F497D" w:themeColor="text2"/>
              <w:left w:val="nil"/>
              <w:right w:val="nil"/>
            </w:tcBorders>
            <w:shd w:val="clear" w:color="000000" w:fill="FFFFFF"/>
            <w:vAlign w:val="bottom"/>
          </w:tcPr>
          <w:p w:rsidR="008E4C35" w:rsidRPr="00D608DC" w:rsidRDefault="008E4C35" w:rsidP="00D608DC">
            <w:pPr>
              <w:jc w:val="center"/>
              <w:rPr>
                <w:rFonts w:eastAsia="Times New Roman" w:cs="Times New Roman"/>
                <w:b/>
                <w:bCs/>
                <w:iCs/>
                <w:sz w:val="20"/>
                <w:szCs w:val="20"/>
                <w:lang w:eastAsia="en-AU"/>
              </w:rPr>
            </w:pPr>
          </w:p>
        </w:tc>
        <w:tc>
          <w:tcPr>
            <w:tcW w:w="1272" w:type="dxa"/>
            <w:tcBorders>
              <w:top w:val="single" w:sz="4" w:space="0" w:color="1F497D" w:themeColor="text2"/>
              <w:left w:val="nil"/>
              <w:right w:val="nil"/>
            </w:tcBorders>
            <w:shd w:val="clear" w:color="auto" w:fill="DBE5F1" w:themeFill="accent1" w:themeFillTint="33"/>
            <w:noWrap/>
            <w:vAlign w:val="bottom"/>
          </w:tcPr>
          <w:p w:rsidR="008E4C35" w:rsidRPr="00D608DC" w:rsidRDefault="008E4C35" w:rsidP="00D608DC">
            <w:pPr>
              <w:jc w:val="center"/>
              <w:rPr>
                <w:rFonts w:eastAsia="Times New Roman" w:cs="Times New Roman"/>
                <w:b/>
                <w:bCs/>
                <w:iCs/>
                <w:sz w:val="20"/>
                <w:szCs w:val="20"/>
                <w:lang w:eastAsia="en-AU"/>
              </w:rPr>
            </w:pPr>
          </w:p>
        </w:tc>
      </w:tr>
      <w:tr w:rsidR="002C637C" w:rsidRPr="00D608DC" w:rsidTr="00DC0C35">
        <w:trPr>
          <w:trHeight w:val="80"/>
        </w:trPr>
        <w:tc>
          <w:tcPr>
            <w:tcW w:w="1843" w:type="dxa"/>
            <w:tcBorders>
              <w:left w:val="nil"/>
              <w:right w:val="nil"/>
            </w:tcBorders>
            <w:shd w:val="clear" w:color="000000" w:fill="FFFFFF"/>
            <w:noWrap/>
            <w:vAlign w:val="bottom"/>
          </w:tcPr>
          <w:p w:rsidR="00A850DE" w:rsidRPr="00D608DC" w:rsidRDefault="00A850DE" w:rsidP="00A850DE">
            <w:pPr>
              <w:rPr>
                <w:rFonts w:eastAsia="Times New Roman" w:cs="Times New Roman"/>
                <w:b/>
                <w:bCs/>
                <w:iCs/>
                <w:sz w:val="20"/>
                <w:szCs w:val="20"/>
                <w:lang w:eastAsia="en-AU"/>
              </w:rPr>
            </w:pPr>
            <w:r>
              <w:rPr>
                <w:sz w:val="20"/>
                <w:szCs w:val="20"/>
              </w:rPr>
              <w:t>Large breeders</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12</w:t>
            </w:r>
          </w:p>
        </w:tc>
        <w:tc>
          <w:tcPr>
            <w:tcW w:w="1486"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12</w:t>
            </w:r>
          </w:p>
        </w:tc>
        <w:tc>
          <w:tcPr>
            <w:tcW w:w="1207" w:type="dxa"/>
            <w:tcBorders>
              <w:left w:val="nil"/>
              <w:right w:val="nil"/>
            </w:tcBorders>
            <w:shd w:val="clear" w:color="000000" w:fill="FFFFFF"/>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58</w:t>
            </w:r>
          </w:p>
        </w:tc>
        <w:tc>
          <w:tcPr>
            <w:tcW w:w="1272" w:type="dxa"/>
            <w:tcBorders>
              <w:left w:val="nil"/>
              <w:right w:val="nil"/>
            </w:tcBorders>
            <w:shd w:val="clear" w:color="auto" w:fill="DBE5F1" w:themeFill="accent1" w:themeFillTint="33"/>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20.18%</w:t>
            </w:r>
          </w:p>
        </w:tc>
      </w:tr>
      <w:tr w:rsidR="002C637C" w:rsidRPr="00D608DC" w:rsidTr="00DC0C35">
        <w:trPr>
          <w:trHeight w:val="80"/>
        </w:trPr>
        <w:tc>
          <w:tcPr>
            <w:tcW w:w="1843" w:type="dxa"/>
            <w:tcBorders>
              <w:left w:val="nil"/>
              <w:right w:val="nil"/>
            </w:tcBorders>
            <w:shd w:val="clear" w:color="000000" w:fill="FFFFFF"/>
            <w:noWrap/>
            <w:vAlign w:val="bottom"/>
          </w:tcPr>
          <w:p w:rsidR="00A850DE" w:rsidRPr="00D608DC" w:rsidRDefault="00A850DE" w:rsidP="00A850DE">
            <w:pPr>
              <w:rPr>
                <w:rFonts w:eastAsia="Times New Roman" w:cs="Times New Roman"/>
                <w:b/>
                <w:bCs/>
                <w:iCs/>
                <w:sz w:val="20"/>
                <w:szCs w:val="20"/>
                <w:lang w:eastAsia="en-AU"/>
              </w:rPr>
            </w:pPr>
            <w:r>
              <w:rPr>
                <w:sz w:val="20"/>
                <w:szCs w:val="20"/>
              </w:rPr>
              <w:t>Small breeders</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39</w:t>
            </w:r>
          </w:p>
        </w:tc>
        <w:tc>
          <w:tcPr>
            <w:tcW w:w="1486"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195</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235</w:t>
            </w:r>
          </w:p>
        </w:tc>
        <w:tc>
          <w:tcPr>
            <w:tcW w:w="1207" w:type="dxa"/>
            <w:tcBorders>
              <w:left w:val="nil"/>
              <w:right w:val="nil"/>
            </w:tcBorders>
            <w:shd w:val="clear" w:color="000000" w:fill="FFFFFF"/>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484</w:t>
            </w:r>
          </w:p>
        </w:tc>
        <w:tc>
          <w:tcPr>
            <w:tcW w:w="1272" w:type="dxa"/>
            <w:tcBorders>
              <w:left w:val="nil"/>
              <w:right w:val="nil"/>
            </w:tcBorders>
            <w:shd w:val="clear" w:color="auto" w:fill="DBE5F1" w:themeFill="accent1" w:themeFillTint="33"/>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48.43%</w:t>
            </w:r>
          </w:p>
        </w:tc>
      </w:tr>
      <w:tr w:rsidR="002C637C" w:rsidRPr="00D608DC" w:rsidTr="00DC0C35">
        <w:trPr>
          <w:trHeight w:val="80"/>
        </w:trPr>
        <w:tc>
          <w:tcPr>
            <w:tcW w:w="1843" w:type="dxa"/>
            <w:tcBorders>
              <w:left w:val="nil"/>
              <w:right w:val="nil"/>
            </w:tcBorders>
            <w:shd w:val="clear" w:color="000000" w:fill="FFFFFF"/>
            <w:noWrap/>
            <w:vAlign w:val="bottom"/>
          </w:tcPr>
          <w:p w:rsidR="00A850DE" w:rsidRPr="00D608DC" w:rsidRDefault="00A850DE" w:rsidP="00A850DE">
            <w:pPr>
              <w:rPr>
                <w:rFonts w:eastAsia="Times New Roman" w:cs="Times New Roman"/>
                <w:b/>
                <w:bCs/>
                <w:iCs/>
                <w:sz w:val="20"/>
                <w:szCs w:val="20"/>
                <w:lang w:eastAsia="en-AU"/>
              </w:rPr>
            </w:pPr>
            <w:r>
              <w:rPr>
                <w:sz w:val="20"/>
                <w:szCs w:val="20"/>
              </w:rPr>
              <w:t>Large trainers</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52</w:t>
            </w:r>
          </w:p>
        </w:tc>
        <w:tc>
          <w:tcPr>
            <w:tcW w:w="1486"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0</w:t>
            </w:r>
          </w:p>
        </w:tc>
        <w:tc>
          <w:tcPr>
            <w:tcW w:w="1207" w:type="dxa"/>
            <w:tcBorders>
              <w:left w:val="nil"/>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52</w:t>
            </w:r>
          </w:p>
        </w:tc>
        <w:tc>
          <w:tcPr>
            <w:tcW w:w="1207" w:type="dxa"/>
            <w:tcBorders>
              <w:left w:val="nil"/>
              <w:right w:val="nil"/>
            </w:tcBorders>
            <w:shd w:val="clear" w:color="000000" w:fill="FFFFFF"/>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255</w:t>
            </w:r>
          </w:p>
        </w:tc>
        <w:tc>
          <w:tcPr>
            <w:tcW w:w="1272" w:type="dxa"/>
            <w:tcBorders>
              <w:left w:val="nil"/>
              <w:right w:val="nil"/>
            </w:tcBorders>
            <w:shd w:val="clear" w:color="auto" w:fill="DBE5F1" w:themeFill="accent1" w:themeFillTint="33"/>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20.18%</w:t>
            </w:r>
          </w:p>
        </w:tc>
      </w:tr>
      <w:tr w:rsidR="00FB3DF0" w:rsidRPr="00D608DC" w:rsidTr="00DC0C35">
        <w:trPr>
          <w:trHeight w:val="80"/>
        </w:trPr>
        <w:tc>
          <w:tcPr>
            <w:tcW w:w="1843" w:type="dxa"/>
            <w:tcBorders>
              <w:left w:val="nil"/>
              <w:bottom w:val="single" w:sz="4" w:space="0" w:color="1F497D" w:themeColor="text2"/>
              <w:right w:val="nil"/>
            </w:tcBorders>
            <w:shd w:val="clear" w:color="000000" w:fill="FFFFFF"/>
            <w:noWrap/>
            <w:vAlign w:val="bottom"/>
          </w:tcPr>
          <w:p w:rsidR="00A850DE" w:rsidRPr="00D608DC" w:rsidRDefault="00A850DE" w:rsidP="00A850DE">
            <w:pPr>
              <w:rPr>
                <w:rFonts w:eastAsia="Times New Roman" w:cs="Times New Roman"/>
                <w:b/>
                <w:bCs/>
                <w:iCs/>
                <w:sz w:val="20"/>
                <w:szCs w:val="20"/>
                <w:lang w:eastAsia="en-AU"/>
              </w:rPr>
            </w:pPr>
            <w:r>
              <w:rPr>
                <w:sz w:val="20"/>
                <w:szCs w:val="20"/>
              </w:rPr>
              <w:t>Small trainers</w:t>
            </w:r>
          </w:p>
        </w:tc>
        <w:tc>
          <w:tcPr>
            <w:tcW w:w="1207" w:type="dxa"/>
            <w:tcBorders>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76</w:t>
            </w:r>
          </w:p>
        </w:tc>
        <w:tc>
          <w:tcPr>
            <w:tcW w:w="1486" w:type="dxa"/>
            <w:tcBorders>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585</w:t>
            </w:r>
          </w:p>
        </w:tc>
        <w:tc>
          <w:tcPr>
            <w:tcW w:w="1207" w:type="dxa"/>
            <w:tcBorders>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661</w:t>
            </w:r>
          </w:p>
        </w:tc>
        <w:tc>
          <w:tcPr>
            <w:tcW w:w="1207" w:type="dxa"/>
            <w:tcBorders>
              <w:left w:val="nil"/>
              <w:bottom w:val="single" w:sz="4" w:space="0" w:color="1F497D" w:themeColor="text2"/>
              <w:right w:val="nil"/>
            </w:tcBorders>
            <w:shd w:val="clear" w:color="000000" w:fill="FFFFFF"/>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1,449</w:t>
            </w:r>
          </w:p>
        </w:tc>
        <w:tc>
          <w:tcPr>
            <w:tcW w:w="1272" w:type="dxa"/>
            <w:tcBorders>
              <w:left w:val="nil"/>
              <w:bottom w:val="single" w:sz="4" w:space="0" w:color="1F497D" w:themeColor="text2"/>
              <w:right w:val="nil"/>
            </w:tcBorders>
            <w:shd w:val="clear" w:color="auto" w:fill="DBE5F1" w:themeFill="accent1" w:themeFillTint="33"/>
            <w:noWrap/>
            <w:vAlign w:val="bottom"/>
          </w:tcPr>
          <w:p w:rsidR="00A850DE" w:rsidRPr="00D608DC" w:rsidRDefault="00A850DE" w:rsidP="00A850DE">
            <w:pPr>
              <w:jc w:val="center"/>
              <w:rPr>
                <w:rFonts w:eastAsia="Times New Roman" w:cs="Times New Roman"/>
                <w:b/>
                <w:bCs/>
                <w:iCs/>
                <w:sz w:val="20"/>
                <w:szCs w:val="20"/>
                <w:lang w:eastAsia="en-AU"/>
              </w:rPr>
            </w:pPr>
            <w:r>
              <w:rPr>
                <w:sz w:val="20"/>
                <w:szCs w:val="20"/>
              </w:rPr>
              <w:t>45.63%</w:t>
            </w:r>
          </w:p>
        </w:tc>
      </w:tr>
      <w:tr w:rsidR="00FB3DF0" w:rsidRPr="00D608DC" w:rsidTr="00DC0C35">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A850DE" w:rsidRPr="00D608DC" w:rsidRDefault="00A850DE" w:rsidP="00A850DE">
            <w:pPr>
              <w:rPr>
                <w:rFonts w:eastAsia="Times New Roman" w:cs="Times New Roman"/>
                <w:b/>
                <w:bCs/>
                <w:iCs/>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b/>
                <w:bCs/>
                <w:i/>
                <w:iCs/>
                <w:sz w:val="20"/>
                <w:szCs w:val="20"/>
              </w:rPr>
              <w:t>179</w:t>
            </w:r>
          </w:p>
        </w:tc>
        <w:tc>
          <w:tcPr>
            <w:tcW w:w="1486" w:type="dxa"/>
            <w:tcBorders>
              <w:top w:val="single" w:sz="4" w:space="0" w:color="1F497D" w:themeColor="text2"/>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b/>
                <w:bCs/>
                <w:i/>
                <w:iCs/>
                <w:sz w:val="20"/>
                <w:szCs w:val="20"/>
              </w:rPr>
              <w:t>780</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A850DE" w:rsidRPr="00D608DC" w:rsidRDefault="00A850DE" w:rsidP="00A850DE">
            <w:pPr>
              <w:jc w:val="center"/>
              <w:rPr>
                <w:rFonts w:eastAsia="Times New Roman" w:cs="Times New Roman"/>
                <w:b/>
                <w:bCs/>
                <w:iCs/>
                <w:sz w:val="20"/>
                <w:szCs w:val="20"/>
                <w:lang w:eastAsia="en-AU"/>
              </w:rPr>
            </w:pPr>
            <w:r>
              <w:rPr>
                <w:b/>
                <w:bCs/>
                <w:i/>
                <w:iCs/>
                <w:sz w:val="20"/>
                <w:szCs w:val="20"/>
              </w:rPr>
              <w:t>959</w:t>
            </w:r>
          </w:p>
        </w:tc>
        <w:tc>
          <w:tcPr>
            <w:tcW w:w="1207" w:type="dxa"/>
            <w:tcBorders>
              <w:top w:val="single" w:sz="4" w:space="0" w:color="1F497D" w:themeColor="text2"/>
              <w:left w:val="nil"/>
              <w:bottom w:val="single" w:sz="4" w:space="0" w:color="1F497D" w:themeColor="text2"/>
              <w:right w:val="nil"/>
            </w:tcBorders>
            <w:shd w:val="clear" w:color="000000" w:fill="FFFFFF"/>
            <w:vAlign w:val="bottom"/>
          </w:tcPr>
          <w:p w:rsidR="00A850DE" w:rsidRPr="00D608DC" w:rsidRDefault="00A850DE" w:rsidP="00A850DE">
            <w:pPr>
              <w:jc w:val="center"/>
              <w:rPr>
                <w:rFonts w:eastAsia="Times New Roman" w:cs="Times New Roman"/>
                <w:b/>
                <w:bCs/>
                <w:iCs/>
                <w:sz w:val="20"/>
                <w:szCs w:val="20"/>
                <w:lang w:eastAsia="en-AU"/>
              </w:rPr>
            </w:pPr>
            <w:r>
              <w:rPr>
                <w:b/>
                <w:bCs/>
                <w:i/>
                <w:iCs/>
                <w:sz w:val="20"/>
                <w:szCs w:val="20"/>
              </w:rPr>
              <w:t>2,247</w:t>
            </w:r>
          </w:p>
        </w:tc>
        <w:tc>
          <w:tcPr>
            <w:tcW w:w="127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A850DE" w:rsidRPr="00D608DC" w:rsidRDefault="00A850DE" w:rsidP="00A850DE">
            <w:pPr>
              <w:jc w:val="center"/>
              <w:rPr>
                <w:rFonts w:eastAsia="Times New Roman" w:cs="Times New Roman"/>
                <w:b/>
                <w:bCs/>
                <w:iCs/>
                <w:sz w:val="20"/>
                <w:szCs w:val="20"/>
                <w:lang w:eastAsia="en-AU"/>
              </w:rPr>
            </w:pPr>
            <w:r>
              <w:rPr>
                <w:b/>
                <w:bCs/>
                <w:i/>
                <w:iCs/>
                <w:sz w:val="20"/>
                <w:szCs w:val="20"/>
              </w:rPr>
              <w:t>42.69%</w:t>
            </w:r>
          </w:p>
        </w:tc>
      </w:tr>
    </w:tbl>
    <w:p w:rsidR="006363D2" w:rsidRPr="00A850DE" w:rsidRDefault="00A850DE" w:rsidP="00A850DE">
      <w:pPr>
        <w:jc w:val="both"/>
        <w:rPr>
          <w:sz w:val="18"/>
          <w:szCs w:val="18"/>
        </w:rPr>
      </w:pPr>
      <w:r w:rsidRPr="00A850DE">
        <w:rPr>
          <w:sz w:val="18"/>
          <w:szCs w:val="18"/>
        </w:rPr>
        <w:t>*Lack of knowledge only</w:t>
      </w:r>
      <w:r w:rsidR="002C637C">
        <w:rPr>
          <w:sz w:val="18"/>
          <w:szCs w:val="18"/>
        </w:rPr>
        <w:t xml:space="preserve"> (culture and lack of finance excluded)</w:t>
      </w:r>
      <w:r w:rsidRPr="00A850DE">
        <w:rPr>
          <w:sz w:val="18"/>
          <w:szCs w:val="18"/>
        </w:rPr>
        <w:t>.</w:t>
      </w:r>
      <w:r w:rsidR="003A32AA">
        <w:rPr>
          <w:sz w:val="18"/>
          <w:szCs w:val="18"/>
        </w:rPr>
        <w:t xml:space="preserve"> ** See Table </w:t>
      </w:r>
      <w:r w:rsidR="00363A35">
        <w:rPr>
          <w:sz w:val="18"/>
          <w:szCs w:val="18"/>
        </w:rPr>
        <w:t>11 for source of estimates.</w:t>
      </w:r>
    </w:p>
    <w:p w:rsidR="004506D7" w:rsidRDefault="004506D7" w:rsidP="004506D7">
      <w:pPr>
        <w:jc w:val="both"/>
      </w:pPr>
    </w:p>
    <w:p w:rsidR="004506D7" w:rsidRDefault="004506D7" w:rsidP="004506D7">
      <w:pPr>
        <w:jc w:val="both"/>
      </w:pPr>
      <w:r>
        <w:t>For example, in Table A4.3 Option 1 (media campaign) assumes an estimated 0% impact behaviour with respect to culture across participants with 6 to 30 dogs in Table 4, and a 3.1% impact on behaviour with respect to a lack of knowledge</w:t>
      </w:r>
      <w:r w:rsidRPr="00614508">
        <w:t xml:space="preserve"> </w:t>
      </w:r>
      <w:r>
        <w:t>(only) across all small participants for the entire distribution in Table 4.</w:t>
      </w:r>
      <w:r w:rsidR="007B521C">
        <w:t xml:space="preserve"> </w:t>
      </w:r>
      <w:r>
        <w:t xml:space="preserve">These impact estimates provide an effective rate of behavioural impact across all participants of 2.69% as compared to the base case and therefore an overall level of compliance of 35% with the proposed code under Option 1 (i.e. 2.69% + 32.31% under the base case). </w:t>
      </w:r>
    </w:p>
    <w:p w:rsidR="004506D7" w:rsidRDefault="004506D7" w:rsidP="004506D7">
      <w:pPr>
        <w:jc w:val="both"/>
      </w:pPr>
    </w:p>
    <w:p w:rsidR="004506D7" w:rsidRDefault="004506D7" w:rsidP="004506D7">
      <w:pPr>
        <w:jc w:val="both"/>
      </w:pPr>
      <w:r>
        <w:t xml:space="preserve">On the other hand, Option 2 (adoption of proposed code in local rules) for example assumes an estimated 8.4% impact on behaviour with respect to culture across participants with 6 to 30 dogs in Table 4 and a 16.8% impact on behaviour with respect to lack of knowledge and lack of finance across all small participants for the entire distribution in </w:t>
      </w:r>
      <w:r>
        <w:lastRenderedPageBreak/>
        <w:t>Table 4.</w:t>
      </w:r>
      <w:r w:rsidRPr="00614508">
        <w:t xml:space="preserve"> </w:t>
      </w:r>
      <w:r>
        <w:t>This provides an effective rate of behavioural impact across all participants of 17.69% as compared to the base case and therefore an overall level of compliance of 50% with the proposed code under Option 2 (i.e. 17.69% + 32.31% under the base case).</w:t>
      </w:r>
    </w:p>
    <w:p w:rsidR="006363D2" w:rsidRDefault="006363D2" w:rsidP="00F52B90">
      <w:pPr>
        <w:jc w:val="both"/>
      </w:pPr>
    </w:p>
    <w:p w:rsidR="00CF728E" w:rsidRPr="005F3BA9" w:rsidRDefault="00437400" w:rsidP="004B0055">
      <w:pPr>
        <w:pStyle w:val="Heading2"/>
      </w:pPr>
      <w:bookmarkStart w:id="211" w:name="_Toc469529204"/>
      <w:bookmarkStart w:id="212" w:name="_Toc477190228"/>
      <w:r w:rsidRPr="005F3BA9">
        <w:t>A4</w:t>
      </w:r>
      <w:r w:rsidR="00271E7E" w:rsidRPr="005F3BA9">
        <w:t>.2</w:t>
      </w:r>
      <w:r w:rsidR="00CF728E" w:rsidRPr="005F3BA9">
        <w:t xml:space="preserve"> – Estimation of </w:t>
      </w:r>
      <w:r w:rsidR="00AE16E9" w:rsidRPr="005F3BA9">
        <w:t xml:space="preserve">unique cost item </w:t>
      </w:r>
      <w:r w:rsidR="00773094" w:rsidRPr="005F3BA9">
        <w:t>– Media/information campaign</w:t>
      </w:r>
      <w:r w:rsidR="00171367" w:rsidRPr="005F3BA9">
        <w:t xml:space="preserve"> (related to Option 1</w:t>
      </w:r>
      <w:r w:rsidR="0020429F" w:rsidRPr="005F3BA9">
        <w:t xml:space="preserve"> only</w:t>
      </w:r>
      <w:r w:rsidR="00171367" w:rsidRPr="005F3BA9">
        <w:t>)</w:t>
      </w:r>
      <w:bookmarkEnd w:id="211"/>
      <w:bookmarkEnd w:id="212"/>
    </w:p>
    <w:p w:rsidR="00CF728E" w:rsidRDefault="00CF728E" w:rsidP="004B0055">
      <w:pPr>
        <w:jc w:val="both"/>
      </w:pPr>
      <w:r>
        <w:t xml:space="preserve">Option 1 involves the </w:t>
      </w:r>
      <w:r w:rsidR="00E67529">
        <w:t>adoption of an extensive media/information campaign across social media, movie theatres, TV, newspaper, radio, billboard and posters at a key public transport hub over a period of three months.</w:t>
      </w:r>
      <w:r w:rsidR="007B521C">
        <w:t xml:space="preserve"> </w:t>
      </w:r>
      <w:r w:rsidR="001B6EAE">
        <w:t>Option 1 would be u</w:t>
      </w:r>
      <w:r w:rsidR="001B6EAE" w:rsidRPr="001B6EAE">
        <w:t>seful for changing voluntary practices around specific aspects of greyhound management &amp; socialisation</w:t>
      </w:r>
      <w:r w:rsidR="001B6EAE">
        <w:t>,</w:t>
      </w:r>
      <w:r w:rsidR="001B6EAE" w:rsidRPr="001B6EAE">
        <w:t xml:space="preserve"> as well as </w:t>
      </w:r>
      <w:r w:rsidR="001B6EAE">
        <w:t xml:space="preserve">improving </w:t>
      </w:r>
      <w:r w:rsidR="001B6EAE" w:rsidRPr="001B6EAE">
        <w:t xml:space="preserve">rehoming </w:t>
      </w:r>
      <w:r w:rsidR="001B6EAE">
        <w:t xml:space="preserve">potential </w:t>
      </w:r>
      <w:r w:rsidR="001B6EAE" w:rsidRPr="001B6EAE">
        <w:t xml:space="preserve">which </w:t>
      </w:r>
      <w:r w:rsidR="001B6EAE">
        <w:t>are not sufficiently</w:t>
      </w:r>
      <w:r w:rsidR="00AE16E9">
        <w:t xml:space="preserve"> addressed under the base case.</w:t>
      </w:r>
      <w:r w:rsidR="007B521C">
        <w:t xml:space="preserve"> </w:t>
      </w:r>
      <w:r w:rsidR="00437400">
        <w:t>Table A4</w:t>
      </w:r>
      <w:r w:rsidR="00CC5C16">
        <w:t>.4</w:t>
      </w:r>
      <w:r w:rsidR="00E67529">
        <w:t xml:space="preserve"> summarises the incremental one-off cost of implementing the 3-month media/information campaign under Option 1 – estimated to be </w:t>
      </w:r>
      <w:r w:rsidR="00E67529" w:rsidRPr="00A96162">
        <w:rPr>
          <w:b/>
          <w:i/>
        </w:rPr>
        <w:t>$0.96m in present value dollars</w:t>
      </w:r>
      <w:r w:rsidR="00FA5DA3">
        <w:rPr>
          <w:rStyle w:val="FootnoteReference"/>
        </w:rPr>
        <w:footnoteReference w:id="163"/>
      </w:r>
      <w:r w:rsidR="00E67529">
        <w:t>.</w:t>
      </w:r>
    </w:p>
    <w:p w:rsidR="00E67529" w:rsidRDefault="00E67529" w:rsidP="004B0055"/>
    <w:p w:rsidR="00E67529" w:rsidRPr="00CC5C16" w:rsidRDefault="00F460F0" w:rsidP="004B0055">
      <w:pPr>
        <w:jc w:val="center"/>
        <w:rPr>
          <w:b/>
          <w:sz w:val="20"/>
        </w:rPr>
      </w:pPr>
      <w:r w:rsidRPr="00CC5C16">
        <w:rPr>
          <w:b/>
          <w:sz w:val="20"/>
        </w:rPr>
        <w:t>Table A</w:t>
      </w:r>
      <w:r w:rsidR="00437400" w:rsidRPr="00CC5C16">
        <w:rPr>
          <w:b/>
          <w:sz w:val="20"/>
        </w:rPr>
        <w:t>4</w:t>
      </w:r>
      <w:r w:rsidR="00CC5C16" w:rsidRPr="00CC5C16">
        <w:rPr>
          <w:b/>
          <w:sz w:val="20"/>
        </w:rPr>
        <w:t>.4</w:t>
      </w:r>
      <w:r w:rsidR="00E67529" w:rsidRPr="00CC5C16">
        <w:rPr>
          <w:b/>
          <w:sz w:val="20"/>
        </w:rPr>
        <w:t>: Estimated one-off cost of 3-month media/information campaign</w:t>
      </w:r>
    </w:p>
    <w:p w:rsidR="00E67529" w:rsidRPr="00CF728E" w:rsidRDefault="00E67529" w:rsidP="004B0055"/>
    <w:tbl>
      <w:tblPr>
        <w:tblW w:w="8222" w:type="dxa"/>
        <w:tblLook w:val="04A0" w:firstRow="1" w:lastRow="0" w:firstColumn="1" w:lastColumn="0" w:noHBand="0" w:noVBand="1"/>
      </w:tblPr>
      <w:tblGrid>
        <w:gridCol w:w="1985"/>
        <w:gridCol w:w="4678"/>
        <w:gridCol w:w="1559"/>
      </w:tblGrid>
      <w:tr w:rsidR="00E67529" w:rsidRPr="00BD28C4" w:rsidTr="00C83F0F">
        <w:trPr>
          <w:trHeight w:val="70"/>
          <w:tblHeader/>
        </w:trPr>
        <w:tc>
          <w:tcPr>
            <w:tcW w:w="1985" w:type="dxa"/>
            <w:tcBorders>
              <w:top w:val="single" w:sz="4" w:space="0" w:color="1F4E78"/>
              <w:left w:val="nil"/>
              <w:bottom w:val="double" w:sz="6" w:space="0" w:color="1F4E78"/>
              <w:right w:val="nil"/>
            </w:tcBorders>
            <w:shd w:val="clear" w:color="000000" w:fill="FFFFFF"/>
            <w:noWrap/>
            <w:vAlign w:val="bottom"/>
            <w:hideMark/>
          </w:tcPr>
          <w:p w:rsidR="00E67529" w:rsidRPr="00BD28C4" w:rsidRDefault="00E67529" w:rsidP="00E67529">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Media type</w:t>
            </w:r>
          </w:p>
        </w:tc>
        <w:tc>
          <w:tcPr>
            <w:tcW w:w="4678" w:type="dxa"/>
            <w:tcBorders>
              <w:top w:val="single" w:sz="4" w:space="0" w:color="1F4E78"/>
              <w:left w:val="nil"/>
              <w:bottom w:val="double" w:sz="6" w:space="0" w:color="1F4E78"/>
              <w:right w:val="nil"/>
            </w:tcBorders>
            <w:shd w:val="clear" w:color="000000" w:fill="FFFFFF"/>
            <w:noWrap/>
            <w:vAlign w:val="bottom"/>
            <w:hideMark/>
          </w:tcPr>
          <w:p w:rsidR="00E67529" w:rsidRPr="00BD28C4" w:rsidRDefault="00E67529" w:rsidP="00E67529">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Description</w:t>
            </w:r>
            <w:r w:rsidR="00900E86" w:rsidRPr="00BD28C4">
              <w:rPr>
                <w:rFonts w:eastAsia="Times New Roman" w:cs="Calibri"/>
                <w:b/>
                <w:bCs/>
                <w:color w:val="53565A"/>
                <w:sz w:val="20"/>
                <w:szCs w:val="20"/>
                <w:lang w:eastAsia="en-AU"/>
              </w:rPr>
              <w:t xml:space="preserve"> of </w:t>
            </w:r>
            <w:r w:rsidR="00620000" w:rsidRPr="00BD28C4">
              <w:rPr>
                <w:rFonts w:eastAsia="Times New Roman" w:cs="Calibri"/>
                <w:b/>
                <w:bCs/>
                <w:color w:val="53565A"/>
                <w:sz w:val="20"/>
                <w:szCs w:val="20"/>
                <w:lang w:eastAsia="en-AU"/>
              </w:rPr>
              <w:t>3-month</w:t>
            </w:r>
            <w:r w:rsidR="00900E86" w:rsidRPr="00BD28C4">
              <w:rPr>
                <w:rFonts w:eastAsia="Times New Roman" w:cs="Calibri"/>
                <w:b/>
                <w:bCs/>
                <w:color w:val="53565A"/>
                <w:sz w:val="20"/>
                <w:szCs w:val="20"/>
                <w:lang w:eastAsia="en-AU"/>
              </w:rPr>
              <w:t xml:space="preserve"> campaign</w:t>
            </w:r>
          </w:p>
        </w:tc>
        <w:tc>
          <w:tcPr>
            <w:tcW w:w="1559" w:type="dxa"/>
            <w:tcBorders>
              <w:top w:val="single" w:sz="4" w:space="0" w:color="1F4E78"/>
              <w:left w:val="nil"/>
              <w:bottom w:val="double" w:sz="6" w:space="0" w:color="1F4E78"/>
              <w:right w:val="nil"/>
            </w:tcBorders>
            <w:shd w:val="clear" w:color="auto" w:fill="DBE5F1" w:themeFill="accent1" w:themeFillTint="33"/>
            <w:vAlign w:val="bottom"/>
            <w:hideMark/>
          </w:tcPr>
          <w:p w:rsidR="00E67529" w:rsidRPr="00BD28C4" w:rsidRDefault="00E67529" w:rsidP="00E67529">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xml:space="preserve">One-off cost </w:t>
            </w:r>
          </w:p>
        </w:tc>
      </w:tr>
      <w:tr w:rsidR="00E67529" w:rsidRPr="00E67529" w:rsidTr="00C83F0F">
        <w:trPr>
          <w:trHeight w:val="315"/>
        </w:trPr>
        <w:tc>
          <w:tcPr>
            <w:tcW w:w="1985" w:type="dxa"/>
            <w:tcBorders>
              <w:top w:val="nil"/>
              <w:left w:val="nil"/>
              <w:bottom w:val="single" w:sz="4" w:space="0" w:color="1F497D" w:themeColor="text2"/>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Social media</w:t>
            </w:r>
          </w:p>
        </w:tc>
        <w:tc>
          <w:tcPr>
            <w:tcW w:w="4678" w:type="dxa"/>
            <w:tcBorders>
              <w:top w:val="nil"/>
              <w:left w:val="nil"/>
              <w:bottom w:val="single" w:sz="4" w:space="0" w:color="1F497D" w:themeColor="text2"/>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Advertisement on social media (e.g. Twitter) @ $5,000/month</w:t>
            </w:r>
            <w:r w:rsidR="00900E86">
              <w:rPr>
                <w:rFonts w:eastAsia="Times New Roman" w:cs="Calibri"/>
                <w:sz w:val="20"/>
                <w:szCs w:val="20"/>
                <w:lang w:eastAsia="en-AU"/>
              </w:rPr>
              <w:t xml:space="preserve"> x 3</w:t>
            </w:r>
          </w:p>
        </w:tc>
        <w:tc>
          <w:tcPr>
            <w:tcW w:w="1559" w:type="dxa"/>
            <w:tcBorders>
              <w:top w:val="nil"/>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$15,000</w:t>
            </w:r>
          </w:p>
        </w:tc>
      </w:tr>
      <w:tr w:rsidR="00E67529" w:rsidRPr="00E67529" w:rsidTr="00C83F0F">
        <w:trPr>
          <w:trHeight w:val="510"/>
        </w:trPr>
        <w:tc>
          <w:tcPr>
            <w:tcW w:w="1985" w:type="dxa"/>
            <w:tcBorders>
              <w:top w:val="single" w:sz="4" w:space="0" w:color="1F497D" w:themeColor="text2"/>
              <w:left w:val="nil"/>
              <w:bottom w:val="single" w:sz="4" w:space="0" w:color="1F497D" w:themeColor="text2"/>
              <w:right w:val="nil"/>
            </w:tcBorders>
            <w:shd w:val="clear" w:color="000000" w:fill="FFFFFF"/>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Theatres</w:t>
            </w:r>
          </w:p>
        </w:tc>
        <w:tc>
          <w:tcPr>
            <w:tcW w:w="4678" w:type="dxa"/>
            <w:tcBorders>
              <w:top w:val="single" w:sz="4" w:space="0" w:color="1F497D" w:themeColor="text2"/>
              <w:left w:val="nil"/>
              <w:bottom w:val="single" w:sz="4" w:space="0" w:color="1F497D" w:themeColor="text2"/>
              <w:right w:val="nil"/>
            </w:tcBorders>
            <w:shd w:val="clear" w:color="000000" w:fill="FFFFFF"/>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$1345 per screen per month + $150 per month for posters per theatre x 10 theatres</w:t>
            </w:r>
          </w:p>
        </w:tc>
        <w:tc>
          <w:tcPr>
            <w:tcW w:w="1559" w:type="dxa"/>
            <w:tcBorders>
              <w:top w:val="single" w:sz="4" w:space="0" w:color="1F497D" w:themeColor="text2"/>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$408,000</w:t>
            </w:r>
          </w:p>
        </w:tc>
      </w:tr>
      <w:tr w:rsidR="00E67529" w:rsidRPr="00E67529" w:rsidTr="00C83F0F">
        <w:trPr>
          <w:trHeight w:val="510"/>
        </w:trPr>
        <w:tc>
          <w:tcPr>
            <w:tcW w:w="1985" w:type="dxa"/>
            <w:tcBorders>
              <w:top w:val="single" w:sz="4" w:space="0" w:color="1F497D" w:themeColor="text2"/>
              <w:left w:val="nil"/>
              <w:bottom w:val="single" w:sz="4" w:space="0" w:color="1F497D" w:themeColor="text2"/>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TV</w:t>
            </w:r>
          </w:p>
        </w:tc>
        <w:tc>
          <w:tcPr>
            <w:tcW w:w="4678" w:type="dxa"/>
            <w:tcBorders>
              <w:top w:val="single" w:sz="4" w:space="0" w:color="1F497D" w:themeColor="text2"/>
              <w:left w:val="nil"/>
              <w:bottom w:val="single" w:sz="4" w:space="0" w:color="1F497D" w:themeColor="text2"/>
              <w:right w:val="nil"/>
            </w:tcBorders>
            <w:shd w:val="clear" w:color="auto" w:fill="auto"/>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Channel 7/Channel 9/Channel 10 - 30 second prime time</w:t>
            </w:r>
            <w:r>
              <w:rPr>
                <w:rFonts w:eastAsia="Times New Roman" w:cs="Calibri"/>
                <w:sz w:val="20"/>
                <w:szCs w:val="20"/>
                <w:lang w:eastAsia="en-AU"/>
              </w:rPr>
              <w:t xml:space="preserve"> slot @ $37,800/$25,000/$30,000 </w:t>
            </w:r>
            <w:r w:rsidR="00900E86">
              <w:rPr>
                <w:rFonts w:eastAsia="Times New Roman" w:cs="Calibri"/>
                <w:sz w:val="20"/>
                <w:szCs w:val="20"/>
                <w:lang w:eastAsia="en-AU"/>
              </w:rPr>
              <w:t>per month x 3</w:t>
            </w:r>
          </w:p>
        </w:tc>
        <w:tc>
          <w:tcPr>
            <w:tcW w:w="1559" w:type="dxa"/>
            <w:tcBorders>
              <w:top w:val="single" w:sz="4" w:space="0" w:color="1F497D" w:themeColor="text2"/>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$278,400</w:t>
            </w:r>
          </w:p>
        </w:tc>
      </w:tr>
      <w:tr w:rsidR="00E67529" w:rsidRPr="00E67529" w:rsidTr="00C83F0F">
        <w:trPr>
          <w:trHeight w:val="510"/>
        </w:trPr>
        <w:tc>
          <w:tcPr>
            <w:tcW w:w="1985" w:type="dxa"/>
            <w:tcBorders>
              <w:top w:val="single" w:sz="4" w:space="0" w:color="1F497D" w:themeColor="text2"/>
              <w:left w:val="nil"/>
              <w:bottom w:val="single" w:sz="4" w:space="0" w:color="1F497D" w:themeColor="text2"/>
              <w:right w:val="nil"/>
            </w:tcBorders>
            <w:shd w:val="clear" w:color="000000" w:fill="FFFFFF"/>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Newspaper</w:t>
            </w:r>
          </w:p>
        </w:tc>
        <w:tc>
          <w:tcPr>
            <w:tcW w:w="4678" w:type="dxa"/>
            <w:tcBorders>
              <w:top w:val="single" w:sz="4" w:space="0" w:color="1F497D" w:themeColor="text2"/>
              <w:left w:val="nil"/>
              <w:bottom w:val="single" w:sz="4" w:space="0" w:color="1F497D" w:themeColor="text2"/>
              <w:right w:val="nil"/>
            </w:tcBorders>
            <w:shd w:val="clear" w:color="000000" w:fill="FFFFFF"/>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$850 per advertisement per paper (Age and Herald sun) per day x 7days x 12 weeks x 2 papers</w:t>
            </w:r>
          </w:p>
        </w:tc>
        <w:tc>
          <w:tcPr>
            <w:tcW w:w="1559" w:type="dxa"/>
            <w:tcBorders>
              <w:top w:val="single" w:sz="4" w:space="0" w:color="1F497D" w:themeColor="text2"/>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$142,800</w:t>
            </w:r>
          </w:p>
        </w:tc>
      </w:tr>
      <w:tr w:rsidR="00E67529" w:rsidRPr="00E67529" w:rsidTr="00C83F0F">
        <w:trPr>
          <w:trHeight w:val="300"/>
        </w:trPr>
        <w:tc>
          <w:tcPr>
            <w:tcW w:w="1985" w:type="dxa"/>
            <w:tcBorders>
              <w:top w:val="single" w:sz="4" w:space="0" w:color="1F497D" w:themeColor="text2"/>
              <w:left w:val="nil"/>
              <w:bottom w:val="single" w:sz="4" w:space="0" w:color="1F497D" w:themeColor="text2"/>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Radio</w:t>
            </w:r>
            <w:r w:rsidR="00B14961">
              <w:rPr>
                <w:rFonts w:eastAsia="Times New Roman" w:cs="Calibri"/>
                <w:sz w:val="20"/>
                <w:szCs w:val="20"/>
                <w:lang w:eastAsia="en-AU"/>
              </w:rPr>
              <w:t>*</w:t>
            </w:r>
          </w:p>
        </w:tc>
        <w:tc>
          <w:tcPr>
            <w:tcW w:w="4678" w:type="dxa"/>
            <w:tcBorders>
              <w:top w:val="single" w:sz="4" w:space="0" w:color="1F497D" w:themeColor="text2"/>
              <w:left w:val="nil"/>
              <w:bottom w:val="single" w:sz="4" w:space="0" w:color="1F497D" w:themeColor="text2"/>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 xml:space="preserve">$5,000 </w:t>
            </w:r>
            <w:r w:rsidR="00900E86">
              <w:rPr>
                <w:rFonts w:eastAsia="Times New Roman" w:cs="Calibri"/>
                <w:sz w:val="20"/>
                <w:szCs w:val="20"/>
                <w:lang w:eastAsia="en-AU"/>
              </w:rPr>
              <w:t>per month for one radio station x 3</w:t>
            </w:r>
          </w:p>
        </w:tc>
        <w:tc>
          <w:tcPr>
            <w:tcW w:w="1559" w:type="dxa"/>
            <w:tcBorders>
              <w:top w:val="single" w:sz="4" w:space="0" w:color="1F497D" w:themeColor="text2"/>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$15,000</w:t>
            </w:r>
          </w:p>
        </w:tc>
      </w:tr>
      <w:tr w:rsidR="00E67529" w:rsidRPr="00E67529" w:rsidTr="00C83F0F">
        <w:trPr>
          <w:trHeight w:val="510"/>
        </w:trPr>
        <w:tc>
          <w:tcPr>
            <w:tcW w:w="1985" w:type="dxa"/>
            <w:tcBorders>
              <w:top w:val="single" w:sz="4" w:space="0" w:color="1F497D" w:themeColor="text2"/>
              <w:left w:val="nil"/>
              <w:bottom w:val="single" w:sz="4" w:space="0" w:color="1F497D" w:themeColor="text2"/>
              <w:right w:val="nil"/>
            </w:tcBorders>
            <w:shd w:val="clear" w:color="000000" w:fill="FFFFFF"/>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Billboards</w:t>
            </w:r>
            <w:r w:rsidR="00B14961">
              <w:rPr>
                <w:rFonts w:eastAsia="Times New Roman" w:cs="Calibri"/>
                <w:sz w:val="20"/>
                <w:szCs w:val="20"/>
                <w:lang w:eastAsia="en-AU"/>
              </w:rPr>
              <w:t>**</w:t>
            </w:r>
          </w:p>
        </w:tc>
        <w:tc>
          <w:tcPr>
            <w:tcW w:w="4678" w:type="dxa"/>
            <w:tcBorders>
              <w:top w:val="single" w:sz="4" w:space="0" w:color="1F497D" w:themeColor="text2"/>
              <w:left w:val="nil"/>
              <w:bottom w:val="single" w:sz="4" w:space="0" w:color="1F497D" w:themeColor="text2"/>
              <w:right w:val="nil"/>
            </w:tcBorders>
            <w:shd w:val="clear" w:color="000000" w:fill="FFFFFF"/>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Large billboard on freeway @ $30,000 per month +$3,000 for print production and installation</w:t>
            </w:r>
          </w:p>
        </w:tc>
        <w:tc>
          <w:tcPr>
            <w:tcW w:w="1559" w:type="dxa"/>
            <w:tcBorders>
              <w:top w:val="single" w:sz="4" w:space="0" w:color="1F497D" w:themeColor="text2"/>
              <w:left w:val="nil"/>
              <w:bottom w:val="single" w:sz="4" w:space="0" w:color="1F497D" w:themeColor="text2"/>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$93,000</w:t>
            </w:r>
          </w:p>
        </w:tc>
      </w:tr>
      <w:tr w:rsidR="00E67529" w:rsidRPr="00E67529" w:rsidTr="00C83F0F">
        <w:trPr>
          <w:trHeight w:val="300"/>
        </w:trPr>
        <w:tc>
          <w:tcPr>
            <w:tcW w:w="1985" w:type="dxa"/>
            <w:tcBorders>
              <w:top w:val="single" w:sz="4" w:space="0" w:color="1F497D" w:themeColor="text2"/>
              <w:left w:val="nil"/>
              <w:bottom w:val="nil"/>
              <w:right w:val="nil"/>
            </w:tcBorders>
            <w:shd w:val="clear" w:color="auto" w:fill="auto"/>
            <w:noWrap/>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Posters at a central train station</w:t>
            </w:r>
            <w:r w:rsidR="00B14961">
              <w:rPr>
                <w:rFonts w:eastAsia="Times New Roman" w:cs="Calibri"/>
                <w:sz w:val="20"/>
                <w:szCs w:val="20"/>
                <w:lang w:eastAsia="en-AU"/>
              </w:rPr>
              <w:t>**</w:t>
            </w:r>
          </w:p>
        </w:tc>
        <w:tc>
          <w:tcPr>
            <w:tcW w:w="4678" w:type="dxa"/>
            <w:tcBorders>
              <w:top w:val="single" w:sz="4" w:space="0" w:color="1F497D" w:themeColor="text2"/>
              <w:left w:val="nil"/>
              <w:bottom w:val="nil"/>
              <w:right w:val="nil"/>
            </w:tcBorders>
            <w:shd w:val="clear" w:color="auto" w:fill="auto"/>
            <w:vAlign w:val="center"/>
            <w:hideMark/>
          </w:tcPr>
          <w:p w:rsidR="00E67529" w:rsidRPr="00E67529" w:rsidRDefault="00E67529" w:rsidP="00E67529">
            <w:pPr>
              <w:rPr>
                <w:rFonts w:eastAsia="Times New Roman" w:cs="Calibri"/>
                <w:sz w:val="20"/>
                <w:szCs w:val="20"/>
                <w:lang w:eastAsia="en-AU"/>
              </w:rPr>
            </w:pPr>
            <w:r w:rsidRPr="00E67529">
              <w:rPr>
                <w:rFonts w:eastAsia="Times New Roman" w:cs="Calibri"/>
                <w:sz w:val="20"/>
                <w:szCs w:val="20"/>
                <w:lang w:eastAsia="en-AU"/>
              </w:rPr>
              <w:t>$3,800 per month + 1,000 print production and installation</w:t>
            </w:r>
          </w:p>
        </w:tc>
        <w:tc>
          <w:tcPr>
            <w:tcW w:w="1559" w:type="dxa"/>
            <w:tcBorders>
              <w:top w:val="single" w:sz="4" w:space="0" w:color="1F497D" w:themeColor="text2"/>
              <w:left w:val="nil"/>
              <w:bottom w:val="nil"/>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sz w:val="20"/>
                <w:szCs w:val="20"/>
                <w:lang w:eastAsia="en-AU"/>
              </w:rPr>
            </w:pPr>
            <w:r w:rsidRPr="00E67529">
              <w:rPr>
                <w:rFonts w:eastAsia="Times New Roman" w:cs="Calibri"/>
                <w:sz w:val="20"/>
                <w:szCs w:val="20"/>
                <w:lang w:eastAsia="en-AU"/>
              </w:rPr>
              <w:t>$12,400</w:t>
            </w:r>
          </w:p>
        </w:tc>
      </w:tr>
      <w:tr w:rsidR="00E67529" w:rsidRPr="00E67529" w:rsidTr="00C83F0F">
        <w:trPr>
          <w:trHeight w:val="70"/>
        </w:trPr>
        <w:tc>
          <w:tcPr>
            <w:tcW w:w="1985" w:type="dxa"/>
            <w:tcBorders>
              <w:top w:val="single" w:sz="4" w:space="0" w:color="1F4E78"/>
              <w:left w:val="nil"/>
              <w:bottom w:val="single" w:sz="4" w:space="0" w:color="1F4E78"/>
              <w:right w:val="nil"/>
            </w:tcBorders>
            <w:shd w:val="clear" w:color="000000" w:fill="FFFFFF"/>
            <w:noWrap/>
            <w:vAlign w:val="bottom"/>
            <w:hideMark/>
          </w:tcPr>
          <w:p w:rsidR="00E67529" w:rsidRPr="00E67529" w:rsidRDefault="00E67529" w:rsidP="00E67529">
            <w:pPr>
              <w:rPr>
                <w:rFonts w:eastAsia="Times New Roman" w:cs="Calibri"/>
                <w:b/>
                <w:bCs/>
                <w:i/>
                <w:iCs/>
                <w:sz w:val="20"/>
                <w:szCs w:val="20"/>
                <w:lang w:eastAsia="en-AU"/>
              </w:rPr>
            </w:pPr>
            <w:r w:rsidRPr="00E67529">
              <w:rPr>
                <w:rFonts w:eastAsia="Times New Roman" w:cs="Calibri"/>
                <w:b/>
                <w:bCs/>
                <w:i/>
                <w:iCs/>
                <w:sz w:val="20"/>
                <w:szCs w:val="20"/>
                <w:lang w:eastAsia="en-AU"/>
              </w:rPr>
              <w:t>Total one off cost</w:t>
            </w:r>
          </w:p>
        </w:tc>
        <w:tc>
          <w:tcPr>
            <w:tcW w:w="4678" w:type="dxa"/>
            <w:tcBorders>
              <w:top w:val="single" w:sz="4" w:space="0" w:color="1F4E78"/>
              <w:left w:val="nil"/>
              <w:bottom w:val="single" w:sz="4" w:space="0" w:color="1F4E78"/>
              <w:right w:val="nil"/>
            </w:tcBorders>
            <w:shd w:val="clear" w:color="000000" w:fill="FFFFFF"/>
            <w:noWrap/>
            <w:vAlign w:val="bottom"/>
            <w:hideMark/>
          </w:tcPr>
          <w:p w:rsidR="00E67529" w:rsidRPr="00E67529" w:rsidRDefault="00E67529" w:rsidP="00E67529">
            <w:pPr>
              <w:rPr>
                <w:rFonts w:eastAsia="Times New Roman" w:cs="Calibri"/>
                <w:b/>
                <w:bCs/>
                <w:i/>
                <w:iCs/>
                <w:sz w:val="20"/>
                <w:szCs w:val="20"/>
                <w:lang w:eastAsia="en-AU"/>
              </w:rPr>
            </w:pPr>
            <w:r w:rsidRPr="00E67529">
              <w:rPr>
                <w:rFonts w:eastAsia="Times New Roman" w:cs="Calibri"/>
                <w:b/>
                <w:bCs/>
                <w:i/>
                <w:iCs/>
                <w:sz w:val="20"/>
                <w:szCs w:val="20"/>
                <w:lang w:eastAsia="en-AU"/>
              </w:rPr>
              <w:t> </w:t>
            </w:r>
          </w:p>
        </w:tc>
        <w:tc>
          <w:tcPr>
            <w:tcW w:w="1559" w:type="dxa"/>
            <w:tcBorders>
              <w:top w:val="single" w:sz="4" w:space="0" w:color="1F4E78"/>
              <w:left w:val="nil"/>
              <w:bottom w:val="single" w:sz="4" w:space="0" w:color="1F4E78"/>
              <w:right w:val="nil"/>
            </w:tcBorders>
            <w:shd w:val="clear" w:color="auto" w:fill="DBE5F1" w:themeFill="accent1" w:themeFillTint="33"/>
            <w:noWrap/>
            <w:vAlign w:val="center"/>
            <w:hideMark/>
          </w:tcPr>
          <w:p w:rsidR="00E67529" w:rsidRPr="00E67529" w:rsidRDefault="00E67529" w:rsidP="00E67529">
            <w:pPr>
              <w:jc w:val="right"/>
              <w:rPr>
                <w:rFonts w:eastAsia="Times New Roman" w:cs="Calibri"/>
                <w:b/>
                <w:bCs/>
                <w:i/>
                <w:iCs/>
                <w:sz w:val="20"/>
                <w:szCs w:val="20"/>
                <w:lang w:eastAsia="en-AU"/>
              </w:rPr>
            </w:pPr>
            <w:r w:rsidRPr="00E67529">
              <w:rPr>
                <w:rFonts w:eastAsia="Times New Roman" w:cs="Calibri"/>
                <w:b/>
                <w:bCs/>
                <w:i/>
                <w:iCs/>
                <w:sz w:val="20"/>
                <w:szCs w:val="20"/>
                <w:lang w:eastAsia="en-AU"/>
              </w:rPr>
              <w:t>$964,600</w:t>
            </w:r>
          </w:p>
        </w:tc>
      </w:tr>
    </w:tbl>
    <w:p w:rsidR="00B14961" w:rsidRDefault="00E67529" w:rsidP="004B0055">
      <w:pPr>
        <w:rPr>
          <w:sz w:val="18"/>
        </w:rPr>
      </w:pPr>
      <w:r w:rsidRPr="004B0055">
        <w:rPr>
          <w:b/>
          <w:sz w:val="18"/>
        </w:rPr>
        <w:t>Source:</w:t>
      </w:r>
      <w:r w:rsidR="001C736D" w:rsidRPr="004B0055">
        <w:rPr>
          <w:sz w:val="18"/>
        </w:rPr>
        <w:t xml:space="preserve"> DEDJTR</w:t>
      </w:r>
      <w:r w:rsidR="00B14961" w:rsidRPr="004B0055">
        <w:rPr>
          <w:sz w:val="18"/>
        </w:rPr>
        <w:t>, * http://affordablemedia.com.au/</w:t>
      </w:r>
      <w:r w:rsidR="00B14961">
        <w:rPr>
          <w:sz w:val="18"/>
        </w:rPr>
        <w:t xml:space="preserve"> (accessed 13 October 2016), </w:t>
      </w:r>
    </w:p>
    <w:p w:rsidR="001C736D" w:rsidRPr="004B0055" w:rsidRDefault="007B521C" w:rsidP="00AE16E9">
      <w:pPr>
        <w:ind w:left="720"/>
        <w:rPr>
          <w:sz w:val="18"/>
        </w:rPr>
      </w:pPr>
      <w:r>
        <w:rPr>
          <w:sz w:val="18"/>
        </w:rPr>
        <w:t xml:space="preserve">   </w:t>
      </w:r>
      <w:r w:rsidR="00B14961">
        <w:rPr>
          <w:sz w:val="18"/>
        </w:rPr>
        <w:t>**</w:t>
      </w:r>
      <w:r w:rsidR="00B14961" w:rsidRPr="00B14961">
        <w:t xml:space="preserve"> </w:t>
      </w:r>
      <w:r w:rsidR="00B14961" w:rsidRPr="00B14961">
        <w:rPr>
          <w:sz w:val="18"/>
        </w:rPr>
        <w:t>http://www.billboardsmelbourne</w:t>
      </w:r>
      <w:r w:rsidR="00B14961">
        <w:rPr>
          <w:sz w:val="18"/>
        </w:rPr>
        <w:t>.com.au/billboard_prices.html (accessed 13 October 2016).</w:t>
      </w:r>
    </w:p>
    <w:p w:rsidR="001C736D" w:rsidRDefault="001C736D" w:rsidP="004B0055"/>
    <w:p w:rsidR="00C100E9" w:rsidRPr="005F3BA9" w:rsidRDefault="00DC0C35" w:rsidP="00C100E9">
      <w:pPr>
        <w:pStyle w:val="Heading2"/>
      </w:pPr>
      <w:bookmarkStart w:id="213" w:name="_Toc469529205"/>
      <w:bookmarkStart w:id="214" w:name="_Toc477190229"/>
      <w:r w:rsidRPr="005F3BA9">
        <w:t>A4.3</w:t>
      </w:r>
      <w:r w:rsidR="00C100E9" w:rsidRPr="005F3BA9">
        <w:t xml:space="preserve"> – </w:t>
      </w:r>
      <w:r w:rsidR="00271E7E" w:rsidRPr="005F3BA9">
        <w:t>Estimation of unique cost item</w:t>
      </w:r>
      <w:r w:rsidR="0020429F" w:rsidRPr="005F3BA9">
        <w:t xml:space="preserve"> – Enforcement training for</w:t>
      </w:r>
      <w:r w:rsidR="00271E7E" w:rsidRPr="005F3BA9">
        <w:t xml:space="preserve"> local government (related to Option 4</w:t>
      </w:r>
      <w:r w:rsidR="0020429F" w:rsidRPr="005F3BA9">
        <w:t xml:space="preserve"> only</w:t>
      </w:r>
      <w:r w:rsidR="00271E7E" w:rsidRPr="005F3BA9">
        <w:t>)</w:t>
      </w:r>
      <w:bookmarkEnd w:id="213"/>
      <w:bookmarkEnd w:id="214"/>
    </w:p>
    <w:p w:rsidR="00C100E9" w:rsidRDefault="000F0143" w:rsidP="000F0143">
      <w:pPr>
        <w:jc w:val="both"/>
      </w:pPr>
      <w:r>
        <w:t>According to DEDJTR, Option 4</w:t>
      </w:r>
      <w:r w:rsidR="00C100E9">
        <w:t xml:space="preserve"> would involve the need </w:t>
      </w:r>
      <w:r w:rsidR="000A52A8">
        <w:t xml:space="preserve">to provide </w:t>
      </w:r>
      <w:r w:rsidR="00C100E9">
        <w:t xml:space="preserve">ongoing council </w:t>
      </w:r>
      <w:r w:rsidR="0020429F">
        <w:t xml:space="preserve">enforcement </w:t>
      </w:r>
      <w:r w:rsidR="00C100E9">
        <w:t>training, keeping in mind the ongoing turnover of council officers and the need to keep officers abreast of the local rules</w:t>
      </w:r>
      <w:r w:rsidR="000A52A8">
        <w:t xml:space="preserve"> and proposed code</w:t>
      </w:r>
      <w:r w:rsidR="00C100E9">
        <w:t>.</w:t>
      </w:r>
      <w:r w:rsidR="007B521C">
        <w:t xml:space="preserve"> </w:t>
      </w:r>
      <w:r w:rsidR="00C100E9">
        <w:t>In order to estimate the cost of providing training</w:t>
      </w:r>
      <w:r w:rsidR="000A52A8">
        <w:t xml:space="preserve"> the following assumptions are </w:t>
      </w:r>
      <w:r>
        <w:t xml:space="preserve">made including a total: </w:t>
      </w:r>
      <w:r w:rsidR="000A52A8">
        <w:t>time cost of $1,704 including training and travel</w:t>
      </w:r>
      <w:r>
        <w:t>;</w:t>
      </w:r>
      <w:r w:rsidR="000A52A8">
        <w:t xml:space="preserve"> and </w:t>
      </w:r>
      <w:r>
        <w:t>training registration cost</w:t>
      </w:r>
      <w:r w:rsidR="000A52A8">
        <w:t xml:space="preserve"> of </w:t>
      </w:r>
      <w:r>
        <w:t>around $752 – a total of $2,457</w:t>
      </w:r>
      <w:r>
        <w:rPr>
          <w:rStyle w:val="FootnoteReference"/>
          <w:b/>
        </w:rPr>
        <w:footnoteReference w:id="164"/>
      </w:r>
      <w:r>
        <w:t xml:space="preserve"> per council officer (as shown in Panel A4.1).</w:t>
      </w:r>
    </w:p>
    <w:p w:rsidR="00C100E9" w:rsidRDefault="00C100E9" w:rsidP="00C100E9">
      <w:pPr>
        <w:jc w:val="both"/>
      </w:pPr>
    </w:p>
    <w:p w:rsidR="00BD28C4" w:rsidRDefault="00BD28C4">
      <w:pPr>
        <w:rPr>
          <w:b/>
          <w:sz w:val="20"/>
        </w:rPr>
      </w:pPr>
      <w:r>
        <w:rPr>
          <w:b/>
          <w:sz w:val="20"/>
        </w:rPr>
        <w:br w:type="page"/>
      </w:r>
    </w:p>
    <w:p w:rsidR="00C100E9" w:rsidRPr="00CC5C16" w:rsidRDefault="00C100E9" w:rsidP="00C100E9">
      <w:pPr>
        <w:jc w:val="center"/>
        <w:rPr>
          <w:b/>
          <w:sz w:val="20"/>
        </w:rPr>
      </w:pPr>
      <w:r w:rsidRPr="00CC5C16">
        <w:rPr>
          <w:b/>
          <w:sz w:val="20"/>
        </w:rPr>
        <w:lastRenderedPageBreak/>
        <w:t>Panel A4.1: Assumptions for training of council officers</w:t>
      </w:r>
    </w:p>
    <w:p w:rsidR="000A52A8" w:rsidRDefault="000A52A8" w:rsidP="00C100E9">
      <w:pPr>
        <w:jc w:val="center"/>
        <w:rPr>
          <w:b/>
        </w:rPr>
      </w:pPr>
    </w:p>
    <w:tbl>
      <w:tblPr>
        <w:tblW w:w="8207" w:type="dxa"/>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5514"/>
        <w:gridCol w:w="2693"/>
      </w:tblGrid>
      <w:tr w:rsidR="00C100E9" w:rsidRPr="00AA37FC" w:rsidTr="000A52A8">
        <w:trPr>
          <w:trHeight w:val="57"/>
        </w:trPr>
        <w:tc>
          <w:tcPr>
            <w:tcW w:w="5514" w:type="dxa"/>
            <w:shd w:val="clear" w:color="auto" w:fill="DBE5F1" w:themeFill="accent1" w:themeFillTint="33"/>
            <w:noWrap/>
            <w:vAlign w:val="bottom"/>
            <w:hideMark/>
          </w:tcPr>
          <w:p w:rsidR="00C100E9" w:rsidRPr="00BD28C4" w:rsidRDefault="00171367" w:rsidP="00973C4B">
            <w:pPr>
              <w:rPr>
                <w:rFonts w:eastAsia="Times New Roman" w:cs="Calibri"/>
                <w:color w:val="53565A"/>
                <w:sz w:val="20"/>
                <w:lang w:eastAsia="en-AU"/>
              </w:rPr>
            </w:pPr>
            <w:r w:rsidRPr="00BD28C4">
              <w:rPr>
                <w:rFonts w:eastAsia="Times New Roman" w:cs="Calibri"/>
                <w:color w:val="53565A"/>
                <w:sz w:val="20"/>
                <w:lang w:eastAsia="en-AU"/>
              </w:rPr>
              <w:t>Greyhound industry welfare and management</w:t>
            </w:r>
            <w:r w:rsidR="00C100E9" w:rsidRPr="00BD28C4">
              <w:rPr>
                <w:rFonts w:eastAsia="Times New Roman" w:cs="Calibri"/>
                <w:color w:val="53565A"/>
                <w:sz w:val="20"/>
                <w:lang w:eastAsia="en-AU"/>
              </w:rPr>
              <w:t xml:space="preserve"> (one day)</w:t>
            </w:r>
            <w:r w:rsidR="000A52A8" w:rsidRPr="00BD28C4">
              <w:rPr>
                <w:rFonts w:eastAsia="Times New Roman" w:cs="Calibri"/>
                <w:color w:val="53565A"/>
                <w:sz w:val="20"/>
                <w:lang w:eastAsia="en-AU"/>
              </w:rPr>
              <w:t xml:space="preserve"> by RTO</w:t>
            </w:r>
          </w:p>
        </w:tc>
        <w:tc>
          <w:tcPr>
            <w:tcW w:w="2693" w:type="dxa"/>
            <w:shd w:val="clear" w:color="auto" w:fill="DBE5F1" w:themeFill="accent1" w:themeFillTint="33"/>
            <w:noWrap/>
            <w:vAlign w:val="bottom"/>
            <w:hideMark/>
          </w:tcPr>
          <w:p w:rsidR="00C100E9" w:rsidRPr="00BD28C4" w:rsidRDefault="00C100E9" w:rsidP="00973C4B">
            <w:pPr>
              <w:jc w:val="right"/>
              <w:rPr>
                <w:rFonts w:eastAsia="Times New Roman" w:cs="Calibri"/>
                <w:color w:val="53565A"/>
                <w:sz w:val="20"/>
                <w:lang w:eastAsia="en-AU"/>
              </w:rPr>
            </w:pPr>
            <w:r w:rsidRPr="00BD28C4">
              <w:rPr>
                <w:rFonts w:eastAsia="Times New Roman" w:cs="Calibri"/>
                <w:color w:val="53565A"/>
                <w:sz w:val="20"/>
                <w:lang w:eastAsia="en-AU"/>
              </w:rPr>
              <w:t>7.6</w:t>
            </w:r>
            <w:r w:rsidR="002055B2" w:rsidRPr="00BD28C4">
              <w:rPr>
                <w:rFonts w:eastAsia="Times New Roman" w:cs="Calibri"/>
                <w:color w:val="53565A"/>
                <w:sz w:val="20"/>
                <w:lang w:eastAsia="en-AU"/>
              </w:rPr>
              <w:t>hrs</w:t>
            </w:r>
          </w:p>
        </w:tc>
      </w:tr>
      <w:tr w:rsidR="00171367" w:rsidRPr="00AA37FC" w:rsidTr="000A52A8">
        <w:trPr>
          <w:trHeight w:val="57"/>
        </w:trPr>
        <w:tc>
          <w:tcPr>
            <w:tcW w:w="5514" w:type="dxa"/>
            <w:shd w:val="clear" w:color="auto" w:fill="DBE5F1" w:themeFill="accent1" w:themeFillTint="33"/>
            <w:vAlign w:val="bottom"/>
          </w:tcPr>
          <w:p w:rsidR="00171367" w:rsidRPr="00BD28C4" w:rsidRDefault="00171367" w:rsidP="00973C4B">
            <w:pPr>
              <w:rPr>
                <w:rFonts w:eastAsia="Times New Roman" w:cs="Calibri"/>
                <w:color w:val="53565A"/>
                <w:sz w:val="20"/>
                <w:lang w:eastAsia="en-AU"/>
              </w:rPr>
            </w:pPr>
            <w:r w:rsidRPr="00BD28C4">
              <w:rPr>
                <w:rFonts w:eastAsia="Times New Roman" w:cs="Calibri"/>
                <w:color w:val="53565A"/>
                <w:sz w:val="20"/>
                <w:lang w:eastAsia="en-AU"/>
              </w:rPr>
              <w:t>Audit training</w:t>
            </w:r>
            <w:r w:rsidR="000A52A8" w:rsidRPr="00BD28C4">
              <w:rPr>
                <w:rFonts w:eastAsia="Times New Roman" w:cs="Calibri"/>
                <w:color w:val="53565A"/>
                <w:sz w:val="20"/>
                <w:lang w:eastAsia="en-AU"/>
              </w:rPr>
              <w:t xml:space="preserve"> by DEDJTR</w:t>
            </w:r>
          </w:p>
        </w:tc>
        <w:tc>
          <w:tcPr>
            <w:tcW w:w="2693" w:type="dxa"/>
            <w:shd w:val="clear" w:color="auto" w:fill="DBE5F1" w:themeFill="accent1" w:themeFillTint="33"/>
            <w:noWrap/>
            <w:vAlign w:val="bottom"/>
          </w:tcPr>
          <w:p w:rsidR="00171367" w:rsidRPr="00BD28C4" w:rsidRDefault="00171367" w:rsidP="00973C4B">
            <w:pPr>
              <w:jc w:val="right"/>
              <w:rPr>
                <w:rFonts w:eastAsia="Times New Roman" w:cs="Calibri"/>
                <w:color w:val="53565A"/>
                <w:sz w:val="20"/>
                <w:lang w:eastAsia="en-AU"/>
              </w:rPr>
            </w:pPr>
            <w:r w:rsidRPr="00BD28C4">
              <w:rPr>
                <w:rFonts w:eastAsia="Times New Roman" w:cs="Calibri"/>
                <w:color w:val="53565A"/>
                <w:sz w:val="20"/>
                <w:lang w:eastAsia="en-AU"/>
              </w:rPr>
              <w:t>7.6hrs</w:t>
            </w:r>
          </w:p>
        </w:tc>
      </w:tr>
      <w:tr w:rsidR="00C100E9" w:rsidRPr="00AA37FC" w:rsidTr="000A52A8">
        <w:trPr>
          <w:trHeight w:val="57"/>
        </w:trPr>
        <w:tc>
          <w:tcPr>
            <w:tcW w:w="5514" w:type="dxa"/>
            <w:shd w:val="clear" w:color="auto" w:fill="DBE5F1" w:themeFill="accent1" w:themeFillTint="33"/>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Total travel hours (2hrs per day) per officer</w:t>
            </w:r>
          </w:p>
        </w:tc>
        <w:tc>
          <w:tcPr>
            <w:tcW w:w="2693" w:type="dxa"/>
            <w:shd w:val="clear" w:color="auto" w:fill="DBE5F1" w:themeFill="accent1" w:themeFillTint="33"/>
            <w:noWrap/>
            <w:vAlign w:val="bottom"/>
            <w:hideMark/>
          </w:tcPr>
          <w:p w:rsidR="00C100E9" w:rsidRPr="00BD28C4" w:rsidRDefault="00171367" w:rsidP="00973C4B">
            <w:pPr>
              <w:jc w:val="right"/>
              <w:rPr>
                <w:rFonts w:eastAsia="Times New Roman" w:cs="Calibri"/>
                <w:color w:val="53565A"/>
                <w:sz w:val="20"/>
                <w:lang w:eastAsia="en-AU"/>
              </w:rPr>
            </w:pPr>
            <w:r w:rsidRPr="00BD28C4">
              <w:rPr>
                <w:rFonts w:eastAsia="Times New Roman" w:cs="Calibri"/>
                <w:color w:val="53565A"/>
                <w:sz w:val="20"/>
                <w:lang w:eastAsia="en-AU"/>
              </w:rPr>
              <w:t>4</w:t>
            </w:r>
            <w:r w:rsidR="002055B2" w:rsidRPr="00BD28C4">
              <w:rPr>
                <w:rFonts w:eastAsia="Times New Roman" w:cs="Calibri"/>
                <w:color w:val="53565A"/>
                <w:sz w:val="20"/>
                <w:lang w:eastAsia="en-AU"/>
              </w:rPr>
              <w:t>hrs</w:t>
            </w:r>
          </w:p>
        </w:tc>
      </w:tr>
      <w:tr w:rsidR="00C100E9" w:rsidRPr="00AA37FC" w:rsidTr="000A52A8">
        <w:trPr>
          <w:trHeight w:val="57"/>
        </w:trPr>
        <w:tc>
          <w:tcPr>
            <w:tcW w:w="5514"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Km travelled @ 100km per hour</w:t>
            </w:r>
          </w:p>
        </w:tc>
        <w:tc>
          <w:tcPr>
            <w:tcW w:w="2693" w:type="dxa"/>
            <w:shd w:val="clear" w:color="auto" w:fill="DBE5F1" w:themeFill="accent1" w:themeFillTint="33"/>
            <w:noWrap/>
            <w:vAlign w:val="bottom"/>
            <w:hideMark/>
          </w:tcPr>
          <w:p w:rsidR="00C100E9" w:rsidRPr="00BD28C4" w:rsidRDefault="00171367" w:rsidP="00973C4B">
            <w:pPr>
              <w:jc w:val="right"/>
              <w:rPr>
                <w:rFonts w:eastAsia="Times New Roman" w:cs="Calibri"/>
                <w:color w:val="53565A"/>
                <w:sz w:val="20"/>
                <w:lang w:eastAsia="en-AU"/>
              </w:rPr>
            </w:pPr>
            <w:r w:rsidRPr="00BD28C4">
              <w:rPr>
                <w:rFonts w:eastAsia="Times New Roman" w:cs="Calibri"/>
                <w:color w:val="53565A"/>
                <w:sz w:val="20"/>
                <w:lang w:eastAsia="en-AU"/>
              </w:rPr>
              <w:t>4</w:t>
            </w:r>
            <w:r w:rsidR="00C100E9" w:rsidRPr="00BD28C4">
              <w:rPr>
                <w:rFonts w:eastAsia="Times New Roman" w:cs="Calibri"/>
                <w:color w:val="53565A"/>
                <w:sz w:val="20"/>
                <w:lang w:eastAsia="en-AU"/>
              </w:rPr>
              <w:t>00</w:t>
            </w:r>
            <w:r w:rsidR="002055B2" w:rsidRPr="00BD28C4">
              <w:rPr>
                <w:rFonts w:eastAsia="Times New Roman" w:cs="Calibri"/>
                <w:color w:val="53565A"/>
                <w:sz w:val="20"/>
                <w:lang w:eastAsia="en-AU"/>
              </w:rPr>
              <w:t>km</w:t>
            </w:r>
          </w:p>
        </w:tc>
      </w:tr>
      <w:tr w:rsidR="00C100E9" w:rsidRPr="00AA37FC" w:rsidTr="000A52A8">
        <w:trPr>
          <w:trHeight w:val="57"/>
        </w:trPr>
        <w:tc>
          <w:tcPr>
            <w:tcW w:w="5514" w:type="dxa"/>
            <w:shd w:val="clear" w:color="auto" w:fill="DBE5F1" w:themeFill="accent1" w:themeFillTint="33"/>
            <w:vAlign w:val="bottom"/>
            <w:hideMark/>
          </w:tcPr>
          <w:p w:rsidR="00C100E9" w:rsidRPr="00BD28C4" w:rsidRDefault="00C100E9" w:rsidP="00973C4B">
            <w:pPr>
              <w:rPr>
                <w:rFonts w:eastAsia="Times New Roman" w:cs="Calibri"/>
                <w:bCs/>
                <w:color w:val="53565A"/>
                <w:sz w:val="20"/>
                <w:lang w:eastAsia="en-AU"/>
              </w:rPr>
            </w:pPr>
            <w:r w:rsidRPr="00BD28C4">
              <w:rPr>
                <w:rFonts w:eastAsia="Times New Roman" w:cs="Calibri"/>
                <w:bCs/>
                <w:color w:val="53565A"/>
                <w:sz w:val="20"/>
                <w:lang w:eastAsia="en-AU"/>
              </w:rPr>
              <w:t>Total Vehicle costs @ $0.66 per km**</w:t>
            </w:r>
          </w:p>
        </w:tc>
        <w:tc>
          <w:tcPr>
            <w:tcW w:w="2693" w:type="dxa"/>
            <w:shd w:val="clear" w:color="auto" w:fill="DBE5F1" w:themeFill="accent1" w:themeFillTint="33"/>
            <w:noWrap/>
            <w:vAlign w:val="bottom"/>
            <w:hideMark/>
          </w:tcPr>
          <w:p w:rsidR="00C100E9" w:rsidRPr="00BD28C4" w:rsidRDefault="00171367" w:rsidP="00973C4B">
            <w:pPr>
              <w:jc w:val="right"/>
              <w:rPr>
                <w:rFonts w:eastAsia="Times New Roman" w:cs="Calibri"/>
                <w:bCs/>
                <w:color w:val="53565A"/>
                <w:sz w:val="20"/>
                <w:lang w:eastAsia="en-AU"/>
              </w:rPr>
            </w:pPr>
            <w:r w:rsidRPr="00BD28C4">
              <w:rPr>
                <w:rFonts w:eastAsia="Times New Roman" w:cs="Calibri"/>
                <w:bCs/>
                <w:color w:val="53565A"/>
                <w:sz w:val="20"/>
                <w:lang w:eastAsia="en-AU"/>
              </w:rPr>
              <w:t>$264</w:t>
            </w:r>
          </w:p>
        </w:tc>
      </w:tr>
      <w:tr w:rsidR="00C100E9" w:rsidRPr="00AA37FC" w:rsidTr="000A52A8">
        <w:trPr>
          <w:trHeight w:val="57"/>
        </w:trPr>
        <w:tc>
          <w:tcPr>
            <w:tcW w:w="5514"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Total hours per officer</w:t>
            </w:r>
            <w:r w:rsidR="00171367" w:rsidRPr="00BD28C4">
              <w:rPr>
                <w:rFonts w:eastAsia="Times New Roman" w:cs="Calibri"/>
                <w:color w:val="53565A"/>
                <w:sz w:val="20"/>
                <w:lang w:eastAsia="en-AU"/>
              </w:rPr>
              <w:t xml:space="preserve"> (travel time and 2 days training)</w:t>
            </w:r>
          </w:p>
        </w:tc>
        <w:tc>
          <w:tcPr>
            <w:tcW w:w="2693" w:type="dxa"/>
            <w:shd w:val="clear" w:color="auto" w:fill="DBE5F1" w:themeFill="accent1" w:themeFillTint="33"/>
            <w:noWrap/>
            <w:vAlign w:val="bottom"/>
            <w:hideMark/>
          </w:tcPr>
          <w:p w:rsidR="00C100E9" w:rsidRPr="00BD28C4" w:rsidRDefault="00171367" w:rsidP="00973C4B">
            <w:pPr>
              <w:jc w:val="right"/>
              <w:rPr>
                <w:rFonts w:eastAsia="Times New Roman" w:cs="Calibri"/>
                <w:color w:val="53565A"/>
                <w:sz w:val="20"/>
                <w:lang w:eastAsia="en-AU"/>
              </w:rPr>
            </w:pPr>
            <w:r w:rsidRPr="00BD28C4">
              <w:rPr>
                <w:rFonts w:eastAsia="Times New Roman" w:cs="Calibri"/>
                <w:color w:val="53565A"/>
                <w:sz w:val="20"/>
                <w:lang w:eastAsia="en-AU"/>
              </w:rPr>
              <w:t>19.2</w:t>
            </w:r>
            <w:r w:rsidR="002055B2" w:rsidRPr="00BD28C4">
              <w:rPr>
                <w:rFonts w:eastAsia="Times New Roman" w:cs="Calibri"/>
                <w:color w:val="53565A"/>
                <w:sz w:val="20"/>
                <w:lang w:eastAsia="en-AU"/>
              </w:rPr>
              <w:t>hrs</w:t>
            </w:r>
          </w:p>
        </w:tc>
      </w:tr>
      <w:tr w:rsidR="00C100E9" w:rsidRPr="00AA37FC" w:rsidTr="000A52A8">
        <w:trPr>
          <w:trHeight w:val="57"/>
        </w:trPr>
        <w:tc>
          <w:tcPr>
            <w:tcW w:w="5514" w:type="dxa"/>
            <w:shd w:val="clear" w:color="auto" w:fill="DBE5F1" w:themeFill="accent1" w:themeFillTint="33"/>
            <w:vAlign w:val="bottom"/>
          </w:tcPr>
          <w:p w:rsidR="00C100E9" w:rsidRPr="00BD28C4" w:rsidRDefault="00C100E9" w:rsidP="00973C4B">
            <w:pPr>
              <w:rPr>
                <w:rFonts w:eastAsia="Times New Roman" w:cs="Calibri"/>
                <w:bCs/>
                <w:color w:val="53565A"/>
                <w:sz w:val="20"/>
                <w:lang w:eastAsia="en-AU"/>
              </w:rPr>
            </w:pPr>
            <w:r w:rsidRPr="00BD28C4">
              <w:rPr>
                <w:rFonts w:eastAsia="Times New Roman" w:cs="Calibri"/>
                <w:bCs/>
                <w:color w:val="53565A"/>
                <w:sz w:val="20"/>
                <w:lang w:eastAsia="en-AU"/>
              </w:rPr>
              <w:t>Hourly charge out rate per officer</w:t>
            </w:r>
          </w:p>
        </w:tc>
        <w:tc>
          <w:tcPr>
            <w:tcW w:w="2693" w:type="dxa"/>
            <w:shd w:val="clear" w:color="auto" w:fill="DBE5F1" w:themeFill="accent1" w:themeFillTint="33"/>
            <w:noWrap/>
            <w:vAlign w:val="bottom"/>
          </w:tcPr>
          <w:p w:rsidR="00C100E9" w:rsidRPr="00BD28C4" w:rsidRDefault="000F0143" w:rsidP="00973C4B">
            <w:pPr>
              <w:jc w:val="right"/>
              <w:rPr>
                <w:rFonts w:eastAsia="Times New Roman" w:cs="Calibri"/>
                <w:bCs/>
                <w:color w:val="53565A"/>
                <w:sz w:val="20"/>
                <w:lang w:eastAsia="en-AU"/>
              </w:rPr>
            </w:pPr>
            <w:r w:rsidRPr="00BD28C4">
              <w:rPr>
                <w:rFonts w:eastAsia="Times New Roman" w:cs="Calibri"/>
                <w:bCs/>
                <w:color w:val="53565A"/>
                <w:sz w:val="20"/>
                <w:lang w:eastAsia="en-AU"/>
              </w:rPr>
              <w:t>$75</w:t>
            </w:r>
            <w:r w:rsidR="00C100E9" w:rsidRPr="00BD28C4">
              <w:rPr>
                <w:rFonts w:eastAsia="Times New Roman" w:cs="Calibri"/>
                <w:bCs/>
                <w:color w:val="53565A"/>
                <w:sz w:val="20"/>
                <w:lang w:eastAsia="en-AU"/>
              </w:rPr>
              <w:t>*</w:t>
            </w:r>
          </w:p>
        </w:tc>
      </w:tr>
      <w:tr w:rsidR="00C100E9" w:rsidRPr="00AA37FC" w:rsidTr="000A52A8">
        <w:trPr>
          <w:trHeight w:val="57"/>
        </w:trPr>
        <w:tc>
          <w:tcPr>
            <w:tcW w:w="5514" w:type="dxa"/>
            <w:shd w:val="clear" w:color="auto" w:fill="B8CCE4" w:themeFill="accent1" w:themeFillTint="66"/>
            <w:vAlign w:val="bottom"/>
            <w:hideMark/>
          </w:tcPr>
          <w:p w:rsidR="00C100E9" w:rsidRPr="00BD28C4" w:rsidRDefault="00C100E9" w:rsidP="00973C4B">
            <w:pPr>
              <w:rPr>
                <w:rFonts w:eastAsia="Times New Roman" w:cs="Calibri"/>
                <w:b/>
                <w:bCs/>
                <w:i/>
                <w:color w:val="53565A"/>
                <w:sz w:val="20"/>
                <w:lang w:eastAsia="en-AU"/>
              </w:rPr>
            </w:pPr>
            <w:r w:rsidRPr="00BD28C4">
              <w:rPr>
                <w:rFonts w:eastAsia="Times New Roman" w:cs="Calibri"/>
                <w:b/>
                <w:bCs/>
                <w:i/>
                <w:color w:val="53565A"/>
                <w:sz w:val="20"/>
                <w:lang w:eastAsia="en-AU"/>
              </w:rPr>
              <w:t xml:space="preserve">Total time cost including travel </w:t>
            </w:r>
            <w:r w:rsidR="000A52A8" w:rsidRPr="00BD28C4">
              <w:rPr>
                <w:rFonts w:eastAsia="Times New Roman" w:cs="Calibri"/>
                <w:b/>
                <w:bCs/>
                <w:i/>
                <w:color w:val="53565A"/>
                <w:sz w:val="20"/>
                <w:lang w:eastAsia="en-AU"/>
              </w:rPr>
              <w:t xml:space="preserve">time ($1,440) </w:t>
            </w:r>
            <w:r w:rsidRPr="00BD28C4">
              <w:rPr>
                <w:rFonts w:eastAsia="Times New Roman" w:cs="Calibri"/>
                <w:b/>
                <w:bCs/>
                <w:i/>
                <w:color w:val="53565A"/>
                <w:sz w:val="20"/>
                <w:lang w:eastAsia="en-AU"/>
              </w:rPr>
              <w:t>+ vehicle cost/council officer</w:t>
            </w:r>
            <w:r w:rsidR="000A52A8" w:rsidRPr="00BD28C4">
              <w:rPr>
                <w:rFonts w:eastAsia="Times New Roman" w:cs="Calibri"/>
                <w:b/>
                <w:bCs/>
                <w:i/>
                <w:color w:val="53565A"/>
                <w:sz w:val="20"/>
                <w:lang w:eastAsia="en-AU"/>
              </w:rPr>
              <w:t xml:space="preserve"> ($264)</w:t>
            </w:r>
          </w:p>
        </w:tc>
        <w:tc>
          <w:tcPr>
            <w:tcW w:w="2693" w:type="dxa"/>
            <w:shd w:val="clear" w:color="auto" w:fill="B8CCE4" w:themeFill="accent1" w:themeFillTint="66"/>
            <w:noWrap/>
            <w:vAlign w:val="bottom"/>
            <w:hideMark/>
          </w:tcPr>
          <w:p w:rsidR="00C100E9" w:rsidRPr="00BD28C4" w:rsidRDefault="000A52A8" w:rsidP="00973C4B">
            <w:pPr>
              <w:jc w:val="right"/>
              <w:rPr>
                <w:rFonts w:eastAsia="Times New Roman" w:cs="Calibri"/>
                <w:b/>
                <w:bCs/>
                <w:i/>
                <w:color w:val="53565A"/>
                <w:sz w:val="20"/>
                <w:lang w:eastAsia="en-AU"/>
              </w:rPr>
            </w:pPr>
            <w:r w:rsidRPr="00BD28C4">
              <w:rPr>
                <w:rFonts w:eastAsia="Times New Roman" w:cs="Calibri"/>
                <w:b/>
                <w:bCs/>
                <w:i/>
                <w:color w:val="53565A"/>
                <w:sz w:val="20"/>
                <w:lang w:eastAsia="en-AU"/>
              </w:rPr>
              <w:t>$1,705</w:t>
            </w:r>
          </w:p>
        </w:tc>
      </w:tr>
      <w:tr w:rsidR="000A52A8" w:rsidRPr="00AA37FC" w:rsidTr="000A52A8">
        <w:trPr>
          <w:trHeight w:val="37"/>
        </w:trPr>
        <w:tc>
          <w:tcPr>
            <w:tcW w:w="5514" w:type="dxa"/>
            <w:shd w:val="clear" w:color="auto" w:fill="DBE5F1" w:themeFill="accent1" w:themeFillTint="33"/>
            <w:vAlign w:val="bottom"/>
          </w:tcPr>
          <w:p w:rsidR="000A52A8" w:rsidRPr="00BD28C4" w:rsidRDefault="000A52A8" w:rsidP="00973C4B">
            <w:pPr>
              <w:rPr>
                <w:rFonts w:eastAsia="Times New Roman" w:cs="Calibri"/>
                <w:color w:val="53565A"/>
                <w:sz w:val="20"/>
                <w:lang w:eastAsia="en-AU"/>
              </w:rPr>
            </w:pPr>
            <w:r w:rsidRPr="00BD28C4">
              <w:rPr>
                <w:rFonts w:eastAsia="Times New Roman" w:cs="Calibri"/>
                <w:color w:val="53565A"/>
                <w:sz w:val="20"/>
                <w:lang w:eastAsia="en-AU"/>
              </w:rPr>
              <w:t>Total RTO training registration cost per person per day</w:t>
            </w:r>
          </w:p>
        </w:tc>
        <w:tc>
          <w:tcPr>
            <w:tcW w:w="2693" w:type="dxa"/>
            <w:shd w:val="clear" w:color="auto" w:fill="DBE5F1" w:themeFill="accent1" w:themeFillTint="33"/>
            <w:noWrap/>
            <w:vAlign w:val="bottom"/>
          </w:tcPr>
          <w:p w:rsidR="000A52A8" w:rsidRPr="00BD28C4" w:rsidRDefault="000A52A8" w:rsidP="00973C4B">
            <w:pPr>
              <w:jc w:val="right"/>
              <w:rPr>
                <w:rFonts w:eastAsia="Times New Roman" w:cs="Calibri"/>
                <w:color w:val="53565A"/>
                <w:sz w:val="20"/>
                <w:lang w:eastAsia="en-AU"/>
              </w:rPr>
            </w:pPr>
            <w:r w:rsidRPr="00BD28C4">
              <w:rPr>
                <w:rFonts w:eastAsia="Times New Roman" w:cs="Calibri"/>
                <w:color w:val="53565A"/>
                <w:sz w:val="20"/>
                <w:lang w:eastAsia="en-AU"/>
              </w:rPr>
              <w:t>$700</w:t>
            </w:r>
          </w:p>
        </w:tc>
      </w:tr>
      <w:tr w:rsidR="00C100E9" w:rsidRPr="00AA37FC" w:rsidTr="000A52A8">
        <w:trPr>
          <w:trHeight w:val="37"/>
        </w:trPr>
        <w:tc>
          <w:tcPr>
            <w:tcW w:w="5514" w:type="dxa"/>
            <w:shd w:val="clear" w:color="auto" w:fill="DBE5F1" w:themeFill="accent1" w:themeFillTint="33"/>
            <w:vAlign w:val="bottom"/>
            <w:hideMark/>
          </w:tcPr>
          <w:p w:rsidR="00C100E9" w:rsidRPr="00BD28C4" w:rsidRDefault="000A52A8" w:rsidP="00973C4B">
            <w:pPr>
              <w:rPr>
                <w:rFonts w:eastAsia="Times New Roman" w:cs="Calibri"/>
                <w:color w:val="53565A"/>
                <w:sz w:val="20"/>
                <w:lang w:eastAsia="en-AU"/>
              </w:rPr>
            </w:pPr>
            <w:r w:rsidRPr="00BD28C4">
              <w:rPr>
                <w:rFonts w:eastAsia="Times New Roman" w:cs="Calibri"/>
                <w:color w:val="53565A"/>
                <w:sz w:val="20"/>
                <w:lang w:eastAsia="en-AU"/>
              </w:rPr>
              <w:t xml:space="preserve">DEDJTR </w:t>
            </w:r>
            <w:r w:rsidR="00C100E9" w:rsidRPr="00BD28C4">
              <w:rPr>
                <w:rFonts w:eastAsia="Times New Roman" w:cs="Calibri"/>
                <w:color w:val="53565A"/>
                <w:sz w:val="20"/>
                <w:lang w:eastAsia="en-AU"/>
              </w:rPr>
              <w:t>cost of 4 one day sessions for 240 officers</w:t>
            </w:r>
          </w:p>
        </w:tc>
        <w:tc>
          <w:tcPr>
            <w:tcW w:w="2693" w:type="dxa"/>
            <w:shd w:val="clear" w:color="auto" w:fill="DBE5F1" w:themeFill="accent1" w:themeFillTint="33"/>
            <w:noWrap/>
            <w:vAlign w:val="bottom"/>
            <w:hideMark/>
          </w:tcPr>
          <w:p w:rsidR="00C100E9" w:rsidRPr="00BD28C4" w:rsidRDefault="00C100E9" w:rsidP="00973C4B">
            <w:pPr>
              <w:jc w:val="right"/>
              <w:rPr>
                <w:rFonts w:eastAsia="Times New Roman" w:cs="Calibri"/>
                <w:color w:val="53565A"/>
                <w:sz w:val="20"/>
                <w:lang w:eastAsia="en-AU"/>
              </w:rPr>
            </w:pPr>
            <w:r w:rsidRPr="00BD28C4">
              <w:rPr>
                <w:rFonts w:eastAsia="Times New Roman" w:cs="Calibri"/>
                <w:color w:val="53565A"/>
                <w:sz w:val="20"/>
                <w:lang w:eastAsia="en-AU"/>
              </w:rPr>
              <w:t>$12,500</w:t>
            </w:r>
          </w:p>
        </w:tc>
      </w:tr>
      <w:tr w:rsidR="00C100E9" w:rsidRPr="00AA37FC" w:rsidTr="000A52A8">
        <w:trPr>
          <w:trHeight w:val="57"/>
        </w:trPr>
        <w:tc>
          <w:tcPr>
            <w:tcW w:w="5514" w:type="dxa"/>
            <w:shd w:val="clear" w:color="auto" w:fill="DBE5F1" w:themeFill="accent1" w:themeFillTint="33"/>
            <w:noWrap/>
            <w:vAlign w:val="bottom"/>
            <w:hideMark/>
          </w:tcPr>
          <w:p w:rsidR="00C100E9" w:rsidRPr="00BD28C4" w:rsidRDefault="00C100E9" w:rsidP="00973C4B">
            <w:pPr>
              <w:rPr>
                <w:rFonts w:eastAsia="Times New Roman" w:cs="Calibri"/>
                <w:bCs/>
                <w:color w:val="53565A"/>
                <w:sz w:val="20"/>
                <w:lang w:eastAsia="en-AU"/>
              </w:rPr>
            </w:pPr>
            <w:r w:rsidRPr="00BD28C4">
              <w:rPr>
                <w:rFonts w:eastAsia="Times New Roman" w:cs="Calibri"/>
                <w:bCs/>
                <w:color w:val="53565A"/>
                <w:sz w:val="20"/>
                <w:lang w:eastAsia="en-AU"/>
              </w:rPr>
              <w:t>Total</w:t>
            </w:r>
            <w:r w:rsidR="000A52A8" w:rsidRPr="00BD28C4">
              <w:rPr>
                <w:rFonts w:eastAsia="Times New Roman" w:cs="Calibri"/>
                <w:bCs/>
                <w:color w:val="53565A"/>
                <w:sz w:val="20"/>
                <w:lang w:eastAsia="en-AU"/>
              </w:rPr>
              <w:t xml:space="preserve"> DEDJTR</w:t>
            </w:r>
            <w:r w:rsidRPr="00BD28C4">
              <w:rPr>
                <w:rFonts w:eastAsia="Times New Roman" w:cs="Calibri"/>
                <w:bCs/>
                <w:color w:val="53565A"/>
                <w:sz w:val="20"/>
                <w:lang w:eastAsia="en-AU"/>
              </w:rPr>
              <w:t xml:space="preserve"> training registration cost per person per day</w:t>
            </w:r>
          </w:p>
        </w:tc>
        <w:tc>
          <w:tcPr>
            <w:tcW w:w="2693" w:type="dxa"/>
            <w:shd w:val="clear" w:color="auto" w:fill="DBE5F1" w:themeFill="accent1" w:themeFillTint="33"/>
            <w:noWrap/>
            <w:vAlign w:val="bottom"/>
            <w:hideMark/>
          </w:tcPr>
          <w:p w:rsidR="00C100E9" w:rsidRPr="00BD28C4" w:rsidRDefault="000F0143" w:rsidP="00973C4B">
            <w:pPr>
              <w:jc w:val="right"/>
              <w:rPr>
                <w:rFonts w:eastAsia="Times New Roman" w:cs="Calibri"/>
                <w:bCs/>
                <w:color w:val="53565A"/>
                <w:sz w:val="20"/>
                <w:lang w:eastAsia="en-AU"/>
              </w:rPr>
            </w:pPr>
            <w:r w:rsidRPr="00BD28C4">
              <w:rPr>
                <w:rFonts w:eastAsia="Times New Roman" w:cs="Calibri"/>
                <w:bCs/>
                <w:color w:val="53565A"/>
                <w:sz w:val="20"/>
                <w:lang w:eastAsia="en-AU"/>
              </w:rPr>
              <w:t>$52</w:t>
            </w:r>
          </w:p>
        </w:tc>
      </w:tr>
      <w:tr w:rsidR="000A52A8" w:rsidRPr="00AA37FC" w:rsidTr="000A52A8">
        <w:trPr>
          <w:trHeight w:val="57"/>
        </w:trPr>
        <w:tc>
          <w:tcPr>
            <w:tcW w:w="5514" w:type="dxa"/>
            <w:shd w:val="clear" w:color="auto" w:fill="B8CCE4" w:themeFill="accent1" w:themeFillTint="66"/>
            <w:noWrap/>
            <w:vAlign w:val="bottom"/>
          </w:tcPr>
          <w:p w:rsidR="000A52A8" w:rsidRPr="00BD28C4" w:rsidRDefault="000A52A8" w:rsidP="00973C4B">
            <w:pPr>
              <w:rPr>
                <w:rFonts w:eastAsia="Times New Roman" w:cs="Calibri"/>
                <w:b/>
                <w:bCs/>
                <w:i/>
                <w:color w:val="53565A"/>
                <w:sz w:val="20"/>
                <w:lang w:eastAsia="en-AU"/>
              </w:rPr>
            </w:pPr>
            <w:r w:rsidRPr="00BD28C4">
              <w:rPr>
                <w:rFonts w:eastAsia="Times New Roman" w:cs="Calibri"/>
                <w:b/>
                <w:bCs/>
                <w:i/>
                <w:color w:val="53565A"/>
                <w:sz w:val="20"/>
                <w:lang w:eastAsia="en-AU"/>
              </w:rPr>
              <w:t>Total training registration cost/council officer</w:t>
            </w:r>
          </w:p>
        </w:tc>
        <w:tc>
          <w:tcPr>
            <w:tcW w:w="2693" w:type="dxa"/>
            <w:shd w:val="clear" w:color="auto" w:fill="B8CCE4" w:themeFill="accent1" w:themeFillTint="66"/>
            <w:noWrap/>
            <w:vAlign w:val="bottom"/>
          </w:tcPr>
          <w:p w:rsidR="000A52A8" w:rsidRPr="00BD28C4" w:rsidRDefault="000F0143" w:rsidP="00973C4B">
            <w:pPr>
              <w:jc w:val="right"/>
              <w:rPr>
                <w:rFonts w:eastAsia="Times New Roman" w:cs="Calibri"/>
                <w:b/>
                <w:bCs/>
                <w:i/>
                <w:color w:val="53565A"/>
                <w:sz w:val="20"/>
                <w:lang w:eastAsia="en-AU"/>
              </w:rPr>
            </w:pPr>
            <w:r w:rsidRPr="00BD28C4">
              <w:rPr>
                <w:rFonts w:eastAsia="Times New Roman" w:cs="Calibri"/>
                <w:b/>
                <w:bCs/>
                <w:i/>
                <w:color w:val="53565A"/>
                <w:sz w:val="20"/>
                <w:lang w:eastAsia="en-AU"/>
              </w:rPr>
              <w:t>$752</w:t>
            </w:r>
          </w:p>
        </w:tc>
      </w:tr>
    </w:tbl>
    <w:p w:rsidR="00C100E9" w:rsidRDefault="00762B88" w:rsidP="00C100E9">
      <w:pPr>
        <w:rPr>
          <w:sz w:val="18"/>
        </w:rPr>
      </w:pPr>
      <w:r>
        <w:rPr>
          <w:sz w:val="18"/>
        </w:rPr>
        <w:t>*See Table A3.1 of Appendix 3</w:t>
      </w:r>
      <w:r w:rsidR="00C100E9" w:rsidRPr="001327D9">
        <w:rPr>
          <w:sz w:val="18"/>
        </w:rPr>
        <w:t xml:space="preserve"> for source of estimate.</w:t>
      </w:r>
      <w:r w:rsidR="00C100E9">
        <w:rPr>
          <w:sz w:val="18"/>
        </w:rPr>
        <w:t xml:space="preserve"> **ATO allowable rate 2015-2016.</w:t>
      </w:r>
    </w:p>
    <w:p w:rsidR="00C100E9" w:rsidRDefault="00C100E9" w:rsidP="00C100E9">
      <w:pPr>
        <w:jc w:val="both"/>
      </w:pPr>
    </w:p>
    <w:p w:rsidR="00C100E9" w:rsidRDefault="00CC5C16" w:rsidP="00C100E9">
      <w:pPr>
        <w:jc w:val="both"/>
      </w:pPr>
      <w:r>
        <w:t>As shown in Table A4.5</w:t>
      </w:r>
      <w:r w:rsidR="00C100E9">
        <w:t xml:space="preserve"> the ongoing annual travel and training costs for</w:t>
      </w:r>
      <w:r w:rsidR="000F0143">
        <w:t xml:space="preserve"> council officers under Option 4, including time costs,</w:t>
      </w:r>
      <w:r w:rsidR="00C100E9">
        <w:t xml:space="preserve"> would</w:t>
      </w:r>
      <w:r w:rsidR="000F0143">
        <w:t xml:space="preserve"> be equal to an additional $0.59m per annum or </w:t>
      </w:r>
      <w:r w:rsidR="000F0143" w:rsidRPr="00A96162">
        <w:rPr>
          <w:b/>
          <w:i/>
        </w:rPr>
        <w:t>$4.97</w:t>
      </w:r>
      <w:r w:rsidR="00C100E9" w:rsidRPr="00A96162">
        <w:rPr>
          <w:b/>
          <w:i/>
        </w:rPr>
        <w:t>m over 10 years in 2016 dollars</w:t>
      </w:r>
      <w:r w:rsidR="00C100E9">
        <w:t>.</w:t>
      </w:r>
    </w:p>
    <w:p w:rsidR="00C100E9" w:rsidRPr="00CC5C16" w:rsidRDefault="00C100E9" w:rsidP="00C100E9">
      <w:pPr>
        <w:jc w:val="both"/>
        <w:rPr>
          <w:sz w:val="20"/>
        </w:rPr>
      </w:pPr>
    </w:p>
    <w:p w:rsidR="00C100E9" w:rsidRPr="00CC5C16" w:rsidRDefault="00C100E9" w:rsidP="00C100E9">
      <w:pPr>
        <w:jc w:val="center"/>
        <w:rPr>
          <w:sz w:val="20"/>
        </w:rPr>
      </w:pPr>
      <w:r w:rsidRPr="00CC5C16">
        <w:rPr>
          <w:b/>
          <w:sz w:val="20"/>
        </w:rPr>
        <w:t>Table A</w:t>
      </w:r>
      <w:r w:rsidR="00CC5C16">
        <w:rPr>
          <w:b/>
          <w:sz w:val="20"/>
        </w:rPr>
        <w:t>4.5</w:t>
      </w:r>
      <w:r w:rsidRPr="00CC5C16">
        <w:rPr>
          <w:b/>
          <w:sz w:val="20"/>
        </w:rPr>
        <w:t xml:space="preserve">: Estimated additional training cost for council officers </w:t>
      </w:r>
      <w:r w:rsidR="000F0143" w:rsidRPr="00CC5C16">
        <w:rPr>
          <w:b/>
          <w:sz w:val="20"/>
        </w:rPr>
        <w:t>including time costs</w:t>
      </w:r>
    </w:p>
    <w:p w:rsidR="00C100E9" w:rsidRDefault="00C100E9" w:rsidP="00C100E9">
      <w:pPr>
        <w:jc w:val="both"/>
      </w:pPr>
    </w:p>
    <w:tbl>
      <w:tblPr>
        <w:tblW w:w="8279" w:type="dxa"/>
        <w:tblCellMar>
          <w:left w:w="0" w:type="dxa"/>
          <w:right w:w="0" w:type="dxa"/>
        </w:tblCellMar>
        <w:tblLook w:val="04A0" w:firstRow="1" w:lastRow="0" w:firstColumn="1" w:lastColumn="0" w:noHBand="0" w:noVBand="1"/>
      </w:tblPr>
      <w:tblGrid>
        <w:gridCol w:w="2041"/>
        <w:gridCol w:w="1016"/>
        <w:gridCol w:w="1410"/>
        <w:gridCol w:w="1207"/>
        <w:gridCol w:w="1275"/>
        <w:gridCol w:w="1330"/>
      </w:tblGrid>
      <w:tr w:rsidR="00C100E9" w:rsidRPr="00BD28C4" w:rsidTr="00C83F0F">
        <w:trPr>
          <w:trHeight w:val="540"/>
          <w:tblHeader/>
        </w:trPr>
        <w:tc>
          <w:tcPr>
            <w:tcW w:w="2025"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cs="Calibri"/>
                <w:b/>
                <w:bCs/>
                <w:color w:val="53565A"/>
                <w:sz w:val="20"/>
                <w:szCs w:val="20"/>
              </w:rPr>
            </w:pPr>
            <w:r w:rsidRPr="00BD28C4">
              <w:rPr>
                <w:rFonts w:cs="Calibri"/>
                <w:b/>
                <w:bCs/>
                <w:color w:val="53565A"/>
                <w:sz w:val="20"/>
                <w:szCs w:val="20"/>
              </w:rPr>
              <w:t>Category of officer</w:t>
            </w:r>
          </w:p>
        </w:tc>
        <w:tc>
          <w:tcPr>
            <w:tcW w:w="1000"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cs="Calibri"/>
                <w:b/>
                <w:bCs/>
                <w:color w:val="53565A"/>
                <w:sz w:val="20"/>
                <w:szCs w:val="20"/>
              </w:rPr>
            </w:pPr>
            <w:r w:rsidRPr="00BD28C4">
              <w:rPr>
                <w:rFonts w:cs="Calibri"/>
                <w:b/>
                <w:bCs/>
                <w:color w:val="53565A"/>
                <w:sz w:val="20"/>
                <w:szCs w:val="20"/>
              </w:rPr>
              <w:t>Travel and training cost</w:t>
            </w:r>
            <w:r w:rsidR="000F0143" w:rsidRPr="00BD28C4">
              <w:rPr>
                <w:rFonts w:cs="Calibri"/>
                <w:b/>
                <w:bCs/>
                <w:color w:val="53565A"/>
                <w:sz w:val="20"/>
                <w:szCs w:val="20"/>
              </w:rPr>
              <w:t xml:space="preserve"> </w:t>
            </w:r>
          </w:p>
        </w:tc>
        <w:tc>
          <w:tcPr>
            <w:tcW w:w="1394"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cs="Calibri"/>
                <w:b/>
                <w:bCs/>
                <w:color w:val="53565A"/>
                <w:sz w:val="20"/>
                <w:szCs w:val="20"/>
              </w:rPr>
            </w:pPr>
            <w:r w:rsidRPr="00BD28C4">
              <w:rPr>
                <w:rFonts w:cs="Calibri"/>
                <w:b/>
                <w:bCs/>
                <w:color w:val="53565A"/>
                <w:sz w:val="20"/>
                <w:szCs w:val="20"/>
              </w:rPr>
              <w:t>No. officers</w:t>
            </w:r>
          </w:p>
        </w:tc>
        <w:tc>
          <w:tcPr>
            <w:tcW w:w="1225"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cs="Calibri"/>
                <w:b/>
                <w:bCs/>
                <w:color w:val="53565A"/>
                <w:sz w:val="20"/>
                <w:szCs w:val="20"/>
              </w:rPr>
            </w:pPr>
            <w:r w:rsidRPr="00BD28C4">
              <w:rPr>
                <w:rFonts w:cs="Calibri"/>
                <w:b/>
                <w:bCs/>
                <w:color w:val="53565A"/>
                <w:sz w:val="20"/>
                <w:szCs w:val="20"/>
              </w:rPr>
              <w:t>Annual cost</w:t>
            </w:r>
          </w:p>
        </w:tc>
        <w:tc>
          <w:tcPr>
            <w:tcW w:w="1289"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cs="Calibri"/>
                <w:b/>
                <w:bCs/>
                <w:color w:val="53565A"/>
                <w:sz w:val="20"/>
                <w:szCs w:val="20"/>
              </w:rPr>
            </w:pPr>
            <w:r w:rsidRPr="00BD28C4">
              <w:rPr>
                <w:rFonts w:cs="Calibri"/>
                <w:b/>
                <w:bCs/>
                <w:color w:val="53565A"/>
                <w:sz w:val="20"/>
                <w:szCs w:val="20"/>
              </w:rPr>
              <w:t>10-year cost</w:t>
            </w:r>
          </w:p>
        </w:tc>
        <w:tc>
          <w:tcPr>
            <w:tcW w:w="1346"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BD28C4" w:rsidRDefault="00C100E9" w:rsidP="00973C4B">
            <w:pPr>
              <w:jc w:val="center"/>
              <w:rPr>
                <w:rFonts w:cs="Calibri"/>
                <w:b/>
                <w:bCs/>
                <w:color w:val="53565A"/>
                <w:sz w:val="20"/>
                <w:szCs w:val="20"/>
              </w:rPr>
            </w:pPr>
            <w:r w:rsidRPr="00BD28C4">
              <w:rPr>
                <w:rFonts w:cs="Calibri"/>
                <w:b/>
                <w:bCs/>
                <w:color w:val="53565A"/>
                <w:sz w:val="20"/>
                <w:szCs w:val="20"/>
              </w:rPr>
              <w:t>10-year PV cost</w:t>
            </w:r>
          </w:p>
        </w:tc>
      </w:tr>
      <w:tr w:rsidR="000F0143" w:rsidTr="00C83F0F">
        <w:trPr>
          <w:trHeight w:val="315"/>
        </w:trPr>
        <w:tc>
          <w:tcPr>
            <w:tcW w:w="2025" w:type="dxa"/>
            <w:tcBorders>
              <w:top w:val="nil"/>
              <w:left w:val="nil"/>
              <w:bottom w:val="nil"/>
              <w:right w:val="nil"/>
            </w:tcBorders>
            <w:shd w:val="clear" w:color="000000" w:fill="FFFFFF"/>
            <w:noWrap/>
            <w:vAlign w:val="bottom"/>
            <w:hideMark/>
          </w:tcPr>
          <w:p w:rsidR="000F0143" w:rsidRDefault="000F0143" w:rsidP="000F0143">
            <w:pPr>
              <w:rPr>
                <w:rFonts w:cs="Calibri"/>
                <w:sz w:val="20"/>
                <w:szCs w:val="20"/>
              </w:rPr>
            </w:pPr>
            <w:r>
              <w:rPr>
                <w:rFonts w:cs="Calibri"/>
                <w:sz w:val="20"/>
                <w:szCs w:val="20"/>
              </w:rPr>
              <w:t>Council inspector</w:t>
            </w:r>
          </w:p>
        </w:tc>
        <w:tc>
          <w:tcPr>
            <w:tcW w:w="1000" w:type="dxa"/>
            <w:tcBorders>
              <w:top w:val="nil"/>
              <w:left w:val="nil"/>
              <w:bottom w:val="nil"/>
              <w:right w:val="nil"/>
            </w:tcBorders>
            <w:shd w:val="clear" w:color="000000" w:fill="FFFFFF"/>
            <w:noWrap/>
            <w:vAlign w:val="bottom"/>
            <w:hideMark/>
          </w:tcPr>
          <w:p w:rsidR="000F0143" w:rsidRDefault="000F0143" w:rsidP="000F0143">
            <w:pPr>
              <w:jc w:val="center"/>
              <w:rPr>
                <w:rFonts w:cs="Calibri"/>
                <w:sz w:val="20"/>
                <w:szCs w:val="20"/>
              </w:rPr>
            </w:pPr>
            <w:r>
              <w:rPr>
                <w:sz w:val="20"/>
                <w:szCs w:val="20"/>
              </w:rPr>
              <w:t>$2,457</w:t>
            </w:r>
          </w:p>
        </w:tc>
        <w:tc>
          <w:tcPr>
            <w:tcW w:w="1394" w:type="dxa"/>
            <w:tcBorders>
              <w:top w:val="nil"/>
              <w:left w:val="nil"/>
              <w:bottom w:val="nil"/>
              <w:right w:val="nil"/>
            </w:tcBorders>
            <w:shd w:val="clear" w:color="000000" w:fill="FFFFFF"/>
            <w:noWrap/>
            <w:vAlign w:val="bottom"/>
            <w:hideMark/>
          </w:tcPr>
          <w:p w:rsidR="000F0143" w:rsidRDefault="000F0143" w:rsidP="000F0143">
            <w:pPr>
              <w:jc w:val="center"/>
              <w:rPr>
                <w:rFonts w:cs="Calibri"/>
                <w:sz w:val="20"/>
                <w:szCs w:val="20"/>
              </w:rPr>
            </w:pPr>
            <w:r>
              <w:rPr>
                <w:sz w:val="20"/>
                <w:szCs w:val="20"/>
              </w:rPr>
              <w:t>240</w:t>
            </w:r>
          </w:p>
        </w:tc>
        <w:tc>
          <w:tcPr>
            <w:tcW w:w="0" w:type="auto"/>
            <w:tcBorders>
              <w:top w:val="nil"/>
              <w:left w:val="nil"/>
              <w:bottom w:val="nil"/>
              <w:right w:val="nil"/>
            </w:tcBorders>
            <w:shd w:val="clear" w:color="000000" w:fill="FFFFFF"/>
            <w:noWrap/>
            <w:vAlign w:val="bottom"/>
            <w:hideMark/>
          </w:tcPr>
          <w:p w:rsidR="000F0143" w:rsidRDefault="000F0143" w:rsidP="000F0143">
            <w:pPr>
              <w:jc w:val="center"/>
              <w:rPr>
                <w:rFonts w:cs="Calibri"/>
                <w:sz w:val="20"/>
                <w:szCs w:val="20"/>
              </w:rPr>
            </w:pPr>
            <w:r>
              <w:rPr>
                <w:sz w:val="20"/>
                <w:szCs w:val="20"/>
              </w:rPr>
              <w:t>$589,598</w:t>
            </w:r>
          </w:p>
        </w:tc>
        <w:tc>
          <w:tcPr>
            <w:tcW w:w="0" w:type="auto"/>
            <w:tcBorders>
              <w:top w:val="nil"/>
              <w:left w:val="nil"/>
              <w:bottom w:val="nil"/>
              <w:right w:val="nil"/>
            </w:tcBorders>
            <w:shd w:val="clear" w:color="000000" w:fill="FFFFFF"/>
            <w:noWrap/>
            <w:vAlign w:val="bottom"/>
            <w:hideMark/>
          </w:tcPr>
          <w:p w:rsidR="000F0143" w:rsidRDefault="000F0143" w:rsidP="000F0143">
            <w:pPr>
              <w:jc w:val="center"/>
              <w:rPr>
                <w:rFonts w:cs="Calibri"/>
                <w:sz w:val="20"/>
                <w:szCs w:val="20"/>
              </w:rPr>
            </w:pPr>
            <w:r>
              <w:rPr>
                <w:sz w:val="20"/>
                <w:szCs w:val="20"/>
              </w:rPr>
              <w:t>$5,895,985</w:t>
            </w:r>
          </w:p>
        </w:tc>
        <w:tc>
          <w:tcPr>
            <w:tcW w:w="0" w:type="auto"/>
            <w:tcBorders>
              <w:top w:val="nil"/>
              <w:left w:val="nil"/>
              <w:bottom w:val="nil"/>
              <w:right w:val="nil"/>
            </w:tcBorders>
            <w:shd w:val="clear" w:color="auto" w:fill="DBE5F1" w:themeFill="accent1" w:themeFillTint="33"/>
            <w:noWrap/>
            <w:vAlign w:val="bottom"/>
            <w:hideMark/>
          </w:tcPr>
          <w:p w:rsidR="000F0143" w:rsidRDefault="000F0143" w:rsidP="000F0143">
            <w:pPr>
              <w:jc w:val="center"/>
              <w:rPr>
                <w:rFonts w:cs="Calibri"/>
                <w:sz w:val="20"/>
                <w:szCs w:val="20"/>
              </w:rPr>
            </w:pPr>
            <w:r>
              <w:rPr>
                <w:sz w:val="20"/>
                <w:szCs w:val="20"/>
              </w:rPr>
              <w:t>$4,973,459</w:t>
            </w:r>
          </w:p>
        </w:tc>
      </w:tr>
      <w:tr w:rsidR="000F0143" w:rsidTr="00C83F0F">
        <w:trPr>
          <w:trHeight w:val="300"/>
        </w:trPr>
        <w:tc>
          <w:tcPr>
            <w:tcW w:w="2025" w:type="dxa"/>
            <w:tcBorders>
              <w:top w:val="single" w:sz="4" w:space="0" w:color="1F4E78"/>
              <w:left w:val="nil"/>
              <w:bottom w:val="single" w:sz="4" w:space="0" w:color="1F4E78"/>
              <w:right w:val="nil"/>
            </w:tcBorders>
            <w:shd w:val="clear" w:color="000000" w:fill="FFFFFF"/>
            <w:noWrap/>
            <w:vAlign w:val="bottom"/>
            <w:hideMark/>
          </w:tcPr>
          <w:p w:rsidR="000F0143" w:rsidRDefault="000F0143" w:rsidP="000F0143">
            <w:pPr>
              <w:rPr>
                <w:rFonts w:cs="Calibri"/>
                <w:b/>
                <w:bCs/>
                <w:i/>
                <w:iCs/>
                <w:sz w:val="20"/>
                <w:szCs w:val="20"/>
              </w:rPr>
            </w:pPr>
            <w:r>
              <w:rPr>
                <w:rFonts w:cs="Calibri"/>
                <w:b/>
                <w:bCs/>
                <w:i/>
                <w:iCs/>
                <w:sz w:val="20"/>
                <w:szCs w:val="20"/>
              </w:rPr>
              <w:t>Total</w:t>
            </w:r>
          </w:p>
        </w:tc>
        <w:tc>
          <w:tcPr>
            <w:tcW w:w="1000" w:type="dxa"/>
            <w:tcBorders>
              <w:top w:val="single" w:sz="4" w:space="0" w:color="1F4E78"/>
              <w:left w:val="nil"/>
              <w:bottom w:val="single" w:sz="4" w:space="0" w:color="1F4E78"/>
              <w:right w:val="nil"/>
            </w:tcBorders>
            <w:shd w:val="clear" w:color="000000" w:fill="FFFFFF"/>
            <w:noWrap/>
            <w:vAlign w:val="bottom"/>
            <w:hideMark/>
          </w:tcPr>
          <w:p w:rsidR="000F0143" w:rsidRDefault="000F0143" w:rsidP="000F0143">
            <w:pPr>
              <w:jc w:val="center"/>
              <w:rPr>
                <w:rFonts w:cs="Calibri"/>
                <w:b/>
                <w:bCs/>
                <w:i/>
                <w:iCs/>
                <w:sz w:val="20"/>
                <w:szCs w:val="20"/>
              </w:rPr>
            </w:pPr>
            <w:r>
              <w:rPr>
                <w:b/>
                <w:bCs/>
                <w:i/>
                <w:iCs/>
                <w:sz w:val="20"/>
                <w:szCs w:val="20"/>
              </w:rPr>
              <w:t> </w:t>
            </w:r>
          </w:p>
        </w:tc>
        <w:tc>
          <w:tcPr>
            <w:tcW w:w="1394" w:type="dxa"/>
            <w:tcBorders>
              <w:top w:val="single" w:sz="4" w:space="0" w:color="1F4E78"/>
              <w:left w:val="nil"/>
              <w:bottom w:val="single" w:sz="4" w:space="0" w:color="1F4E78"/>
              <w:right w:val="nil"/>
            </w:tcBorders>
            <w:shd w:val="clear" w:color="000000" w:fill="FFFFFF"/>
            <w:noWrap/>
            <w:vAlign w:val="bottom"/>
            <w:hideMark/>
          </w:tcPr>
          <w:p w:rsidR="000F0143" w:rsidRDefault="000F0143" w:rsidP="000F0143">
            <w:pPr>
              <w:jc w:val="center"/>
              <w:rPr>
                <w:rFonts w:cs="Calibri"/>
                <w:b/>
                <w:bCs/>
                <w:i/>
                <w:iCs/>
                <w:sz w:val="20"/>
                <w:szCs w:val="20"/>
              </w:rPr>
            </w:pPr>
            <w:r>
              <w:rPr>
                <w:b/>
                <w:bCs/>
                <w:i/>
                <w:iCs/>
                <w:sz w:val="20"/>
                <w:szCs w:val="20"/>
              </w:rPr>
              <w:t>240</w:t>
            </w:r>
          </w:p>
        </w:tc>
        <w:tc>
          <w:tcPr>
            <w:tcW w:w="0" w:type="auto"/>
            <w:tcBorders>
              <w:top w:val="single" w:sz="4" w:space="0" w:color="1F4E78"/>
              <w:left w:val="nil"/>
              <w:bottom w:val="single" w:sz="4" w:space="0" w:color="1F4E78"/>
              <w:right w:val="nil"/>
            </w:tcBorders>
            <w:shd w:val="clear" w:color="000000" w:fill="FFFFFF"/>
            <w:noWrap/>
            <w:vAlign w:val="bottom"/>
            <w:hideMark/>
          </w:tcPr>
          <w:p w:rsidR="000F0143" w:rsidRDefault="000F0143" w:rsidP="000F0143">
            <w:pPr>
              <w:jc w:val="center"/>
              <w:rPr>
                <w:rFonts w:cs="Calibri"/>
                <w:b/>
                <w:bCs/>
                <w:i/>
                <w:iCs/>
                <w:sz w:val="20"/>
                <w:szCs w:val="20"/>
              </w:rPr>
            </w:pPr>
            <w:r>
              <w:rPr>
                <w:b/>
                <w:bCs/>
                <w:i/>
                <w:iCs/>
                <w:sz w:val="20"/>
                <w:szCs w:val="20"/>
              </w:rPr>
              <w:t>$589,598</w:t>
            </w:r>
          </w:p>
        </w:tc>
        <w:tc>
          <w:tcPr>
            <w:tcW w:w="0" w:type="auto"/>
            <w:tcBorders>
              <w:top w:val="single" w:sz="4" w:space="0" w:color="1F4E78"/>
              <w:left w:val="nil"/>
              <w:bottom w:val="single" w:sz="4" w:space="0" w:color="1F4E78"/>
              <w:right w:val="nil"/>
            </w:tcBorders>
            <w:shd w:val="clear" w:color="000000" w:fill="FFFFFF"/>
            <w:noWrap/>
            <w:vAlign w:val="bottom"/>
            <w:hideMark/>
          </w:tcPr>
          <w:p w:rsidR="000F0143" w:rsidRDefault="000F0143" w:rsidP="000F0143">
            <w:pPr>
              <w:jc w:val="center"/>
              <w:rPr>
                <w:rFonts w:cs="Calibri"/>
                <w:b/>
                <w:bCs/>
                <w:i/>
                <w:iCs/>
                <w:sz w:val="20"/>
                <w:szCs w:val="20"/>
              </w:rPr>
            </w:pPr>
            <w:r>
              <w:rPr>
                <w:b/>
                <w:bCs/>
                <w:i/>
                <w:iCs/>
                <w:sz w:val="20"/>
                <w:szCs w:val="20"/>
              </w:rPr>
              <w:t>$5,895,985</w:t>
            </w:r>
          </w:p>
        </w:tc>
        <w:tc>
          <w:tcPr>
            <w:tcW w:w="0" w:type="auto"/>
            <w:tcBorders>
              <w:top w:val="single" w:sz="4" w:space="0" w:color="1F4E78"/>
              <w:left w:val="nil"/>
              <w:bottom w:val="single" w:sz="4" w:space="0" w:color="1F4E78"/>
              <w:right w:val="nil"/>
            </w:tcBorders>
            <w:shd w:val="clear" w:color="auto" w:fill="DBE5F1" w:themeFill="accent1" w:themeFillTint="33"/>
            <w:noWrap/>
            <w:vAlign w:val="bottom"/>
            <w:hideMark/>
          </w:tcPr>
          <w:p w:rsidR="000F0143" w:rsidRDefault="000F0143" w:rsidP="000F0143">
            <w:pPr>
              <w:jc w:val="center"/>
              <w:rPr>
                <w:rFonts w:cs="Calibri"/>
                <w:b/>
                <w:bCs/>
                <w:i/>
                <w:iCs/>
                <w:sz w:val="20"/>
                <w:szCs w:val="20"/>
              </w:rPr>
            </w:pPr>
            <w:r>
              <w:rPr>
                <w:b/>
                <w:bCs/>
                <w:i/>
                <w:iCs/>
                <w:sz w:val="20"/>
                <w:szCs w:val="20"/>
              </w:rPr>
              <w:t>$4,973,459</w:t>
            </w:r>
          </w:p>
        </w:tc>
      </w:tr>
    </w:tbl>
    <w:p w:rsidR="00C100E9" w:rsidRDefault="00C100E9" w:rsidP="00C100E9">
      <w:pPr>
        <w:jc w:val="both"/>
        <w:rPr>
          <w:sz w:val="18"/>
        </w:rPr>
      </w:pPr>
      <w:r w:rsidRPr="00437400" w:rsidDel="00E37780">
        <w:rPr>
          <w:sz w:val="18"/>
        </w:rPr>
        <w:t xml:space="preserve"> </w:t>
      </w:r>
    </w:p>
    <w:p w:rsidR="00C100E9" w:rsidRPr="005F3BA9" w:rsidRDefault="00C100E9" w:rsidP="00C100E9">
      <w:pPr>
        <w:pStyle w:val="Heading2"/>
      </w:pPr>
      <w:bookmarkStart w:id="215" w:name="_Toc469529206"/>
      <w:bookmarkStart w:id="216" w:name="_Toc477190230"/>
      <w:r w:rsidRPr="005F3BA9">
        <w:t xml:space="preserve">A4.3 – Estimation of costs and dogs affected </w:t>
      </w:r>
      <w:r w:rsidR="00E63EC4" w:rsidRPr="005F3BA9">
        <w:t xml:space="preserve">by </w:t>
      </w:r>
      <w:r w:rsidR="00506A9A" w:rsidRPr="005F3BA9">
        <w:t>proposed standard 3.1</w:t>
      </w:r>
      <w:r w:rsidR="00E63EC4" w:rsidRPr="005F3BA9">
        <w:t xml:space="preserve"> </w:t>
      </w:r>
      <w:r w:rsidR="00506A9A" w:rsidRPr="005F3BA9">
        <w:t>(Staff Ratio 1:25) – Options 1 to 6</w:t>
      </w:r>
      <w:bookmarkEnd w:id="215"/>
      <w:bookmarkEnd w:id="216"/>
    </w:p>
    <w:p w:rsidR="00C100E9" w:rsidRDefault="00C100E9" w:rsidP="00C100E9">
      <w:pPr>
        <w:jc w:val="both"/>
      </w:pPr>
      <w:r>
        <w:t>The estimate of staff ratios takes into consideration that large breeders may not have sufficient staff for the adequate care and management of greyhounds.</w:t>
      </w:r>
      <w:r w:rsidR="007B521C">
        <w:t xml:space="preserve"> </w:t>
      </w:r>
      <w:r>
        <w:t xml:space="preserve">The estimated number of large </w:t>
      </w:r>
      <w:r w:rsidR="00AC76F7">
        <w:t xml:space="preserve">breeders </w:t>
      </w:r>
      <w:r>
        <w:t xml:space="preserve">affected with more than 25 dogs uses data from Table 4 and </w:t>
      </w:r>
      <w:r w:rsidR="00E63EC4">
        <w:t xml:space="preserve">is </w:t>
      </w:r>
      <w:r>
        <w:t>calculated using the following formula:</w:t>
      </w:r>
    </w:p>
    <w:p w:rsidR="00C100E9" w:rsidRDefault="00C100E9" w:rsidP="00C100E9">
      <w:pPr>
        <w:jc w:val="both"/>
      </w:pPr>
    </w:p>
    <w:p w:rsidR="00C100E9" w:rsidRPr="009E30A8" w:rsidRDefault="00AC76F7" w:rsidP="00C100E9">
      <w:pPr>
        <w:jc w:val="center"/>
        <w:rPr>
          <w:i/>
          <w:sz w:val="20"/>
        </w:rPr>
      </w:pPr>
      <w:r>
        <w:rPr>
          <w:i/>
          <w:sz w:val="20"/>
        </w:rPr>
        <w:t xml:space="preserve">Estimated No. </w:t>
      </w:r>
      <w:r w:rsidR="00C83F0F">
        <w:rPr>
          <w:i/>
          <w:sz w:val="20"/>
        </w:rPr>
        <w:t xml:space="preserve">large </w:t>
      </w:r>
      <w:r>
        <w:rPr>
          <w:i/>
          <w:sz w:val="20"/>
        </w:rPr>
        <w:t xml:space="preserve">breeders </w:t>
      </w:r>
      <w:r w:rsidR="00C100E9" w:rsidRPr="009E30A8">
        <w:rPr>
          <w:i/>
          <w:sz w:val="20"/>
        </w:rPr>
        <w:t>affected</w:t>
      </w:r>
      <w:r>
        <w:rPr>
          <w:i/>
          <w:sz w:val="20"/>
        </w:rPr>
        <w:t xml:space="preserve"> </w:t>
      </w:r>
      <w:r w:rsidR="00C100E9" w:rsidRPr="009E30A8">
        <w:rPr>
          <w:i/>
          <w:sz w:val="20"/>
        </w:rPr>
        <w:t xml:space="preserve">= </w:t>
      </w:r>
      <w:r w:rsidR="00E63EC4">
        <w:rPr>
          <w:i/>
          <w:sz w:val="20"/>
        </w:rPr>
        <w:t>{</w:t>
      </w:r>
      <w:r w:rsidR="00C100E9" w:rsidRPr="009E30A8">
        <w:rPr>
          <w:i/>
          <w:sz w:val="20"/>
        </w:rPr>
        <w:t xml:space="preserve">Total number </w:t>
      </w:r>
      <w:r w:rsidRPr="009E30A8">
        <w:rPr>
          <w:i/>
          <w:sz w:val="20"/>
        </w:rPr>
        <w:t xml:space="preserve">large </w:t>
      </w:r>
      <w:r>
        <w:rPr>
          <w:i/>
          <w:sz w:val="20"/>
        </w:rPr>
        <w:t xml:space="preserve">breeders </w:t>
      </w:r>
      <w:r w:rsidR="00C100E9" w:rsidRPr="009E30A8">
        <w:rPr>
          <w:i/>
          <w:sz w:val="20"/>
        </w:rPr>
        <w:t xml:space="preserve">&gt; 30 dogs + Total number of large </w:t>
      </w:r>
      <w:r>
        <w:rPr>
          <w:i/>
          <w:sz w:val="20"/>
        </w:rPr>
        <w:t>breeders</w:t>
      </w:r>
      <w:r w:rsidR="00C100E9" w:rsidRPr="009E30A8">
        <w:rPr>
          <w:i/>
          <w:sz w:val="20"/>
        </w:rPr>
        <w:t xml:space="preserve"> with 11 to 29 dogs x 4/(29-11)</w:t>
      </w:r>
      <w:r w:rsidR="00E63EC4">
        <w:rPr>
          <w:i/>
          <w:sz w:val="20"/>
        </w:rPr>
        <w:t xml:space="preserve"> (see Table 4)}</w:t>
      </w:r>
      <w:r w:rsidR="007B521C">
        <w:rPr>
          <w:i/>
          <w:sz w:val="20"/>
        </w:rPr>
        <w:t xml:space="preserve"> </w:t>
      </w:r>
      <w:r w:rsidR="00C100E9" w:rsidRPr="009E30A8">
        <w:rPr>
          <w:i/>
          <w:sz w:val="20"/>
        </w:rPr>
        <w:t xml:space="preserve">x </w:t>
      </w:r>
      <w:r w:rsidR="00E63EC4">
        <w:rPr>
          <w:i/>
          <w:sz w:val="20"/>
        </w:rPr>
        <w:t>% of</w:t>
      </w:r>
      <w:r w:rsidR="00E63EC4" w:rsidRPr="00E63EC4">
        <w:rPr>
          <w:i/>
          <w:sz w:val="20"/>
        </w:rPr>
        <w:t xml:space="preserve"> total participants</w:t>
      </w:r>
      <w:r>
        <w:rPr>
          <w:i/>
          <w:sz w:val="20"/>
        </w:rPr>
        <w:t xml:space="preserve"> (large breeders)</w:t>
      </w:r>
      <w:r w:rsidR="00E63EC4" w:rsidRPr="00E63EC4">
        <w:rPr>
          <w:i/>
          <w:sz w:val="20"/>
        </w:rPr>
        <w:t xml:space="preserve"> affected by behaviour change</w:t>
      </w:r>
      <w:r w:rsidR="00E63EC4">
        <w:rPr>
          <w:i/>
          <w:sz w:val="20"/>
        </w:rPr>
        <w:t xml:space="preserve"> (see </w:t>
      </w:r>
      <w:r w:rsidR="008D664D">
        <w:rPr>
          <w:i/>
          <w:sz w:val="20"/>
        </w:rPr>
        <w:t xml:space="preserve">last column of </w:t>
      </w:r>
      <w:r w:rsidR="00E63EC4">
        <w:rPr>
          <w:i/>
          <w:sz w:val="20"/>
        </w:rPr>
        <w:t>Table A4.3</w:t>
      </w:r>
      <w:r>
        <w:rPr>
          <w:i/>
          <w:sz w:val="20"/>
        </w:rPr>
        <w:t xml:space="preserve"> for option</w:t>
      </w:r>
      <w:r w:rsidR="00A17D92">
        <w:rPr>
          <w:i/>
          <w:sz w:val="20"/>
        </w:rPr>
        <w:t>s</w:t>
      </w:r>
      <w:r>
        <w:rPr>
          <w:i/>
          <w:sz w:val="20"/>
        </w:rPr>
        <w:t xml:space="preserve"> 1 to 6</w:t>
      </w:r>
      <w:r w:rsidR="00E63EC4">
        <w:rPr>
          <w:i/>
          <w:sz w:val="20"/>
        </w:rPr>
        <w:t>)</w:t>
      </w:r>
    </w:p>
    <w:p w:rsidR="000D797B" w:rsidRDefault="000D797B" w:rsidP="00C100E9">
      <w:pPr>
        <w:jc w:val="both"/>
      </w:pPr>
    </w:p>
    <w:p w:rsidR="00C100E9" w:rsidRPr="00C83F0F" w:rsidRDefault="000D797B" w:rsidP="00C100E9">
      <w:pPr>
        <w:jc w:val="both"/>
        <w:rPr>
          <w:sz w:val="20"/>
        </w:rPr>
      </w:pPr>
      <w:r w:rsidRPr="00C83F0F">
        <w:rPr>
          <w:sz w:val="20"/>
        </w:rPr>
        <w:t>Where</w:t>
      </w:r>
      <w:r w:rsidR="00C83F0F" w:rsidRPr="00C83F0F">
        <w:rPr>
          <w:sz w:val="20"/>
        </w:rPr>
        <w:t>:</w:t>
      </w:r>
      <w:r w:rsidRPr="00C83F0F">
        <w:rPr>
          <w:sz w:val="20"/>
        </w:rPr>
        <w:t xml:space="preserve"> 4/(29-11) is an estimate of balance of participants with 11 to 29 dogs with 25 dogs or more (i.e. 22.2%)</w:t>
      </w:r>
      <w:r w:rsidR="00C83F0F">
        <w:rPr>
          <w:sz w:val="20"/>
        </w:rPr>
        <w:t>.</w:t>
      </w:r>
    </w:p>
    <w:p w:rsidR="000D797B" w:rsidRDefault="000D797B" w:rsidP="00C100E9">
      <w:pPr>
        <w:jc w:val="both"/>
      </w:pPr>
    </w:p>
    <w:p w:rsidR="00E63EC4" w:rsidRDefault="00C100E9" w:rsidP="00C100E9">
      <w:pPr>
        <w:jc w:val="both"/>
      </w:pPr>
      <w:r>
        <w:t xml:space="preserve">Finally, </w:t>
      </w:r>
      <w:r w:rsidR="00506A9A">
        <w:t xml:space="preserve">to calculate the annual cost in Table A4.6, </w:t>
      </w:r>
      <w:r w:rsidRPr="007C6BD5">
        <w:rPr>
          <w:i/>
        </w:rPr>
        <w:t xml:space="preserve">one FTE is assumed as required for each </w:t>
      </w:r>
      <w:r w:rsidR="008D664D" w:rsidRPr="007C6BD5">
        <w:rPr>
          <w:i/>
        </w:rPr>
        <w:t xml:space="preserve">large breeder </w:t>
      </w:r>
      <w:r w:rsidRPr="007C6BD5">
        <w:rPr>
          <w:i/>
        </w:rPr>
        <w:t>that is affected</w:t>
      </w:r>
      <w:r>
        <w:t xml:space="preserve"> at a salary cost of $66,647 including on costs and overhead costs (see volunteer annual salary in Table A3.1 of Appendix 3).</w:t>
      </w:r>
      <w:r w:rsidR="007B521C">
        <w:t xml:space="preserve"> </w:t>
      </w:r>
    </w:p>
    <w:p w:rsidR="00E0608E" w:rsidRDefault="00E0608E" w:rsidP="00C100E9">
      <w:pPr>
        <w:jc w:val="both"/>
      </w:pPr>
    </w:p>
    <w:p w:rsidR="00C100E9" w:rsidRDefault="00E0608E" w:rsidP="00C100E9">
      <w:pPr>
        <w:jc w:val="both"/>
      </w:pPr>
      <w:r>
        <w:t>The total number of animals affected is estimated as the product of 25 d</w:t>
      </w:r>
      <w:r w:rsidR="00890020">
        <w:t>ogs per large breeder affected.</w:t>
      </w:r>
      <w:r w:rsidR="007B521C">
        <w:t xml:space="preserve"> </w:t>
      </w:r>
      <w:r w:rsidR="00506A9A">
        <w:t>As shown in Table A4.6</w:t>
      </w:r>
      <w:r w:rsidR="00C100E9">
        <w:t xml:space="preserve">, the additional annual cost of </w:t>
      </w:r>
      <w:r w:rsidR="00506A9A">
        <w:t>proposed standard 3.1 under Options3, 5, and 6 is estimated to be $0.94m or $7.94</w:t>
      </w:r>
      <w:r w:rsidR="00C100E9">
        <w:t xml:space="preserve">m over 10 years in present </w:t>
      </w:r>
      <w:r w:rsidR="00C100E9">
        <w:lastRenderedPageBreak/>
        <w:t>value dollars.</w:t>
      </w:r>
      <w:r w:rsidR="007B521C">
        <w:t xml:space="preserve"> </w:t>
      </w:r>
      <w:r w:rsidR="00506A9A">
        <w:t xml:space="preserve">Under Option 1, this is estimated to be $0 as a media information campaign is not expected to have </w:t>
      </w:r>
      <w:r w:rsidR="007C6BD5">
        <w:t>an effect on the behaviour of large participants who are driven by age, cultural and attitudes.</w:t>
      </w:r>
      <w:r w:rsidR="007B521C">
        <w:t xml:space="preserve"> </w:t>
      </w:r>
      <w:r w:rsidR="007C6BD5">
        <w:t>Options 2 and 4 would be likely to result in approximately $2.07m and $5.01m over 10 years in present value dollars.</w:t>
      </w:r>
    </w:p>
    <w:p w:rsidR="00C100E9" w:rsidRDefault="00C100E9" w:rsidP="00C100E9">
      <w:pPr>
        <w:jc w:val="both"/>
      </w:pPr>
    </w:p>
    <w:p w:rsidR="00C100E9" w:rsidRPr="00B81627" w:rsidRDefault="00506A9A" w:rsidP="00C100E9">
      <w:pPr>
        <w:jc w:val="center"/>
        <w:rPr>
          <w:sz w:val="20"/>
        </w:rPr>
      </w:pPr>
      <w:r>
        <w:rPr>
          <w:b/>
          <w:sz w:val="20"/>
        </w:rPr>
        <w:t>Table A4.6</w:t>
      </w:r>
      <w:r w:rsidR="00C100E9" w:rsidRPr="00B81627">
        <w:rPr>
          <w:b/>
          <w:sz w:val="20"/>
        </w:rPr>
        <w:t>: Estimated additional cost of staffing under proposed Code 3.1</w:t>
      </w:r>
      <w:r w:rsidR="00B81627">
        <w:rPr>
          <w:b/>
          <w:sz w:val="20"/>
        </w:rPr>
        <w:t xml:space="preserve"> – Options 1 to 6</w:t>
      </w:r>
    </w:p>
    <w:p w:rsidR="00C100E9" w:rsidRDefault="00C100E9" w:rsidP="00C100E9">
      <w:pPr>
        <w:jc w:val="both"/>
      </w:pPr>
    </w:p>
    <w:tbl>
      <w:tblPr>
        <w:tblW w:w="8276" w:type="dxa"/>
        <w:jc w:val="center"/>
        <w:tblLook w:val="04A0" w:firstRow="1" w:lastRow="0" w:firstColumn="1" w:lastColumn="0" w:noHBand="0" w:noVBand="1"/>
      </w:tblPr>
      <w:tblGrid>
        <w:gridCol w:w="1266"/>
        <w:gridCol w:w="1597"/>
        <w:gridCol w:w="1267"/>
        <w:gridCol w:w="897"/>
        <w:gridCol w:w="968"/>
        <w:gridCol w:w="1221"/>
        <w:gridCol w:w="1221"/>
      </w:tblGrid>
      <w:tr w:rsidR="00E0608E" w:rsidRPr="00BD28C4" w:rsidTr="0020429F">
        <w:trPr>
          <w:trHeight w:val="308"/>
          <w:tblHeader/>
          <w:jc w:val="center"/>
        </w:trPr>
        <w:tc>
          <w:tcPr>
            <w:tcW w:w="1276" w:type="dxa"/>
            <w:tcBorders>
              <w:top w:val="single" w:sz="4" w:space="0" w:color="1F4E78"/>
              <w:left w:val="nil"/>
              <w:bottom w:val="double" w:sz="6" w:space="0" w:color="1F4E78"/>
              <w:right w:val="nil"/>
            </w:tcBorders>
            <w:shd w:val="clear" w:color="000000" w:fill="FFFFFF"/>
            <w:vAlign w:val="bottom"/>
            <w:hideMark/>
          </w:tcPr>
          <w:p w:rsidR="00E0608E" w:rsidRPr="00BD28C4" w:rsidRDefault="00E0608E"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business</w:t>
            </w:r>
          </w:p>
        </w:tc>
        <w:tc>
          <w:tcPr>
            <w:tcW w:w="1612" w:type="dxa"/>
            <w:tcBorders>
              <w:top w:val="single" w:sz="4" w:space="0" w:color="1F4E78"/>
              <w:left w:val="nil"/>
              <w:bottom w:val="double" w:sz="6" w:space="0" w:color="1F4E78"/>
              <w:right w:val="nil"/>
            </w:tcBorders>
            <w:shd w:val="clear" w:color="000000" w:fill="FFFFFF"/>
            <w:vAlign w:val="bottom"/>
            <w:hideMark/>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 of Large breeders with &gt;25 dogs</w:t>
            </w:r>
          </w:p>
        </w:tc>
        <w:tc>
          <w:tcPr>
            <w:tcW w:w="1278" w:type="dxa"/>
            <w:tcBorders>
              <w:top w:val="single" w:sz="4" w:space="0" w:color="1F4E78"/>
              <w:left w:val="nil"/>
              <w:bottom w:val="double" w:sz="6" w:space="0" w:color="1F4E78"/>
              <w:right w:val="nil"/>
            </w:tcBorders>
            <w:shd w:val="clear" w:color="000000" w:fill="FFFFFF"/>
            <w:vAlign w:val="bottom"/>
            <w:hideMark/>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No. large breeders affected/FTE required</w:t>
            </w:r>
            <w:r w:rsidRPr="00BD28C4">
              <w:rPr>
                <w:rStyle w:val="FootnoteReference"/>
                <w:rFonts w:eastAsia="Times New Roman" w:cs="Calibri"/>
                <w:b/>
                <w:bCs/>
                <w:color w:val="53565A"/>
                <w:sz w:val="20"/>
                <w:szCs w:val="20"/>
                <w:lang w:eastAsia="en-AU"/>
              </w:rPr>
              <w:footnoteReference w:id="165"/>
            </w:r>
          </w:p>
        </w:tc>
        <w:tc>
          <w:tcPr>
            <w:tcW w:w="1131" w:type="dxa"/>
            <w:tcBorders>
              <w:top w:val="single" w:sz="4" w:space="0" w:color="1F4E78"/>
              <w:left w:val="nil"/>
              <w:bottom w:val="double" w:sz="6" w:space="0" w:color="1F4E78"/>
              <w:right w:val="nil"/>
            </w:tcBorders>
            <w:shd w:val="clear" w:color="000000" w:fill="FFFFFF"/>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No. dogs affected</w:t>
            </w:r>
          </w:p>
        </w:tc>
        <w:tc>
          <w:tcPr>
            <w:tcW w:w="515" w:type="dxa"/>
            <w:tcBorders>
              <w:top w:val="single" w:sz="4" w:space="0" w:color="1F4E78"/>
              <w:left w:val="nil"/>
              <w:bottom w:val="double" w:sz="6" w:space="0" w:color="1F4E78"/>
              <w:right w:val="nil"/>
            </w:tcBorders>
            <w:shd w:val="clear" w:color="000000" w:fill="FFFFFF"/>
            <w:vAlign w:val="bottom"/>
            <w:hideMark/>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232" w:type="dxa"/>
            <w:tcBorders>
              <w:top w:val="single" w:sz="4" w:space="0" w:color="1F4E78"/>
              <w:left w:val="nil"/>
              <w:bottom w:val="double" w:sz="6" w:space="0" w:color="1F4E78"/>
              <w:right w:val="nil"/>
            </w:tcBorders>
            <w:shd w:val="clear" w:color="000000" w:fill="FFFFFF"/>
            <w:vAlign w:val="bottom"/>
            <w:hideMark/>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232" w:type="dxa"/>
            <w:tcBorders>
              <w:top w:val="single" w:sz="4" w:space="0" w:color="1F4E78"/>
              <w:left w:val="nil"/>
              <w:bottom w:val="double" w:sz="6" w:space="0" w:color="1F4E78"/>
              <w:right w:val="nil"/>
            </w:tcBorders>
            <w:shd w:val="clear" w:color="auto" w:fill="DBE5F1" w:themeFill="accent1" w:themeFillTint="33"/>
            <w:vAlign w:val="bottom"/>
            <w:hideMark/>
          </w:tcPr>
          <w:p w:rsidR="00E0608E" w:rsidRPr="00BD28C4" w:rsidRDefault="00E0608E"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E0608E" w:rsidRPr="00773094" w:rsidTr="0020429F">
        <w:trPr>
          <w:trHeight w:val="35"/>
          <w:jc w:val="center"/>
        </w:trPr>
        <w:tc>
          <w:tcPr>
            <w:tcW w:w="1276" w:type="dxa"/>
            <w:tcBorders>
              <w:top w:val="nil"/>
              <w:left w:val="nil"/>
              <w:bottom w:val="nil"/>
              <w:right w:val="nil"/>
            </w:tcBorders>
            <w:shd w:val="clear" w:color="000000" w:fill="FFFFFF"/>
            <w:noWrap/>
            <w:vAlign w:val="center"/>
          </w:tcPr>
          <w:p w:rsidR="00E0608E" w:rsidRPr="00C83F0F" w:rsidRDefault="00E0608E" w:rsidP="00C83F0F">
            <w:pPr>
              <w:rPr>
                <w:rFonts w:eastAsia="Times New Roman" w:cs="Calibri"/>
                <w:b/>
                <w:sz w:val="20"/>
                <w:szCs w:val="20"/>
                <w:lang w:eastAsia="en-AU"/>
              </w:rPr>
            </w:pPr>
            <w:r w:rsidRPr="00C83F0F">
              <w:rPr>
                <w:rFonts w:eastAsia="Times New Roman" w:cs="Calibri"/>
                <w:b/>
                <w:sz w:val="20"/>
                <w:szCs w:val="20"/>
                <w:lang w:eastAsia="en-AU"/>
              </w:rPr>
              <w:t>Option 1</w:t>
            </w:r>
          </w:p>
        </w:tc>
        <w:tc>
          <w:tcPr>
            <w:tcW w:w="1612" w:type="dxa"/>
            <w:tcBorders>
              <w:top w:val="nil"/>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78" w:type="dxa"/>
            <w:tcBorders>
              <w:top w:val="nil"/>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131" w:type="dxa"/>
            <w:tcBorders>
              <w:top w:val="nil"/>
              <w:left w:val="nil"/>
              <w:bottom w:val="nil"/>
              <w:right w:val="nil"/>
            </w:tcBorders>
            <w:shd w:val="clear" w:color="000000" w:fill="FFFFFF"/>
          </w:tcPr>
          <w:p w:rsidR="00E0608E" w:rsidRPr="00773094" w:rsidRDefault="00E0608E" w:rsidP="00E0608E">
            <w:pPr>
              <w:jc w:val="center"/>
              <w:rPr>
                <w:rFonts w:eastAsia="Times New Roman" w:cs="Calibri"/>
                <w:sz w:val="20"/>
                <w:szCs w:val="20"/>
                <w:lang w:eastAsia="en-AU"/>
              </w:rPr>
            </w:pPr>
          </w:p>
        </w:tc>
        <w:tc>
          <w:tcPr>
            <w:tcW w:w="515" w:type="dxa"/>
            <w:tcBorders>
              <w:top w:val="nil"/>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32" w:type="dxa"/>
            <w:tcBorders>
              <w:top w:val="nil"/>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32" w:type="dxa"/>
            <w:tcBorders>
              <w:top w:val="nil"/>
              <w:left w:val="nil"/>
              <w:bottom w:val="nil"/>
              <w:right w:val="nil"/>
            </w:tcBorders>
            <w:shd w:val="clear" w:color="auto" w:fill="DBE5F1" w:themeFill="accent1" w:themeFillTint="33"/>
            <w:noWrap/>
            <w:vAlign w:val="center"/>
          </w:tcPr>
          <w:p w:rsidR="00E0608E" w:rsidRPr="00773094" w:rsidRDefault="00E0608E" w:rsidP="00E0608E">
            <w:pPr>
              <w:jc w:val="center"/>
              <w:rPr>
                <w:rFonts w:eastAsia="Times New Roman" w:cs="Calibri"/>
                <w:sz w:val="20"/>
                <w:szCs w:val="20"/>
                <w:lang w:eastAsia="en-AU"/>
              </w:rPr>
            </w:pPr>
          </w:p>
        </w:tc>
      </w:tr>
      <w:tr w:rsidR="00E0608E" w:rsidRPr="00773094" w:rsidTr="0020429F">
        <w:trPr>
          <w:trHeight w:val="80"/>
          <w:jc w:val="center"/>
        </w:trPr>
        <w:tc>
          <w:tcPr>
            <w:tcW w:w="1276" w:type="dxa"/>
            <w:tcBorders>
              <w:top w:val="nil"/>
              <w:left w:val="nil"/>
              <w:bottom w:val="single" w:sz="4" w:space="0" w:color="1F497D" w:themeColor="text2"/>
              <w:right w:val="nil"/>
            </w:tcBorders>
            <w:shd w:val="clear" w:color="000000" w:fill="FFFFFF"/>
            <w:noWrap/>
            <w:vAlign w:val="center"/>
          </w:tcPr>
          <w:p w:rsidR="00E0608E" w:rsidRPr="00773094" w:rsidRDefault="00E0608E" w:rsidP="00C83F0F">
            <w:pPr>
              <w:rPr>
                <w:rFonts w:eastAsia="Times New Roman" w:cs="Calibri"/>
                <w:sz w:val="20"/>
                <w:szCs w:val="20"/>
                <w:lang w:eastAsia="en-AU"/>
              </w:rPr>
            </w:pPr>
            <w:r>
              <w:rPr>
                <w:sz w:val="20"/>
                <w:szCs w:val="20"/>
              </w:rPr>
              <w:t>Large breeders</w:t>
            </w:r>
          </w:p>
        </w:tc>
        <w:tc>
          <w:tcPr>
            <w:tcW w:w="161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44</w:t>
            </w:r>
          </w:p>
        </w:tc>
        <w:tc>
          <w:tcPr>
            <w:tcW w:w="1278"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0</w:t>
            </w:r>
          </w:p>
        </w:tc>
        <w:tc>
          <w:tcPr>
            <w:tcW w:w="1131" w:type="dxa"/>
            <w:tcBorders>
              <w:top w:val="nil"/>
              <w:left w:val="nil"/>
              <w:bottom w:val="single" w:sz="4" w:space="0" w:color="1F497D" w:themeColor="text2"/>
              <w:right w:val="nil"/>
            </w:tcBorders>
            <w:shd w:val="clear" w:color="000000" w:fill="FFFFFF"/>
            <w:vAlign w:val="center"/>
          </w:tcPr>
          <w:p w:rsidR="00E0608E" w:rsidRDefault="00E0608E" w:rsidP="00C934D7">
            <w:pPr>
              <w:jc w:val="center"/>
              <w:rPr>
                <w:sz w:val="20"/>
                <w:szCs w:val="20"/>
              </w:rPr>
            </w:pPr>
            <w:r>
              <w:rPr>
                <w:sz w:val="20"/>
                <w:szCs w:val="20"/>
              </w:rPr>
              <w:t>0</w:t>
            </w:r>
          </w:p>
        </w:tc>
        <w:tc>
          <w:tcPr>
            <w:tcW w:w="515"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$0</w:t>
            </w:r>
          </w:p>
        </w:tc>
        <w:tc>
          <w:tcPr>
            <w:tcW w:w="123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$0</w:t>
            </w:r>
          </w:p>
        </w:tc>
        <w:tc>
          <w:tcPr>
            <w:tcW w:w="1232" w:type="dxa"/>
            <w:tcBorders>
              <w:top w:val="nil"/>
              <w:left w:val="nil"/>
              <w:bottom w:val="single" w:sz="4" w:space="0" w:color="1F497D" w:themeColor="text2"/>
              <w:right w:val="nil"/>
            </w:tcBorders>
            <w:shd w:val="clear" w:color="auto" w:fill="DBE5F1" w:themeFill="accent1" w:themeFillTint="33"/>
            <w:noWrap/>
            <w:vAlign w:val="center"/>
          </w:tcPr>
          <w:p w:rsidR="00E0608E" w:rsidRPr="00C83F0F" w:rsidRDefault="00E0608E" w:rsidP="00E0608E">
            <w:pPr>
              <w:jc w:val="center"/>
              <w:rPr>
                <w:rFonts w:eastAsia="Times New Roman" w:cs="Calibri"/>
                <w:b/>
                <w:i/>
                <w:sz w:val="20"/>
                <w:szCs w:val="20"/>
                <w:lang w:eastAsia="en-AU"/>
              </w:rPr>
            </w:pPr>
            <w:r w:rsidRPr="00C83F0F">
              <w:rPr>
                <w:b/>
                <w:i/>
                <w:sz w:val="20"/>
                <w:szCs w:val="20"/>
              </w:rPr>
              <w:t>$0</w:t>
            </w:r>
          </w:p>
        </w:tc>
      </w:tr>
      <w:tr w:rsidR="00E0608E" w:rsidRPr="00773094" w:rsidTr="0020429F">
        <w:trPr>
          <w:trHeight w:val="70"/>
          <w:jc w:val="center"/>
        </w:trPr>
        <w:tc>
          <w:tcPr>
            <w:tcW w:w="1276" w:type="dxa"/>
            <w:tcBorders>
              <w:top w:val="single" w:sz="4" w:space="0" w:color="1F497D" w:themeColor="text2"/>
              <w:left w:val="nil"/>
              <w:bottom w:val="nil"/>
              <w:right w:val="nil"/>
            </w:tcBorders>
            <w:shd w:val="clear" w:color="000000" w:fill="FFFFFF"/>
            <w:noWrap/>
            <w:vAlign w:val="center"/>
          </w:tcPr>
          <w:p w:rsidR="00E0608E" w:rsidRPr="00C83F0F" w:rsidRDefault="00E0608E" w:rsidP="00C83F0F">
            <w:pPr>
              <w:rPr>
                <w:b/>
                <w:sz w:val="20"/>
                <w:szCs w:val="20"/>
              </w:rPr>
            </w:pPr>
            <w:r w:rsidRPr="00C83F0F">
              <w:rPr>
                <w:b/>
                <w:sz w:val="20"/>
                <w:szCs w:val="20"/>
              </w:rPr>
              <w:t>Option 2</w:t>
            </w:r>
          </w:p>
        </w:tc>
        <w:tc>
          <w:tcPr>
            <w:tcW w:w="1612"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78"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131" w:type="dxa"/>
            <w:tcBorders>
              <w:top w:val="single" w:sz="4" w:space="0" w:color="1F497D" w:themeColor="text2"/>
              <w:left w:val="nil"/>
              <w:bottom w:val="nil"/>
              <w:right w:val="nil"/>
            </w:tcBorders>
            <w:shd w:val="clear" w:color="000000" w:fill="FFFFFF"/>
            <w:vAlign w:val="center"/>
          </w:tcPr>
          <w:p w:rsidR="00E0608E" w:rsidRDefault="00E0608E" w:rsidP="00C934D7">
            <w:pPr>
              <w:jc w:val="center"/>
              <w:rPr>
                <w:sz w:val="20"/>
                <w:szCs w:val="20"/>
              </w:rPr>
            </w:pPr>
          </w:p>
        </w:tc>
        <w:tc>
          <w:tcPr>
            <w:tcW w:w="515"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32"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32" w:type="dxa"/>
            <w:tcBorders>
              <w:top w:val="single" w:sz="4" w:space="0" w:color="1F497D" w:themeColor="text2"/>
              <w:left w:val="nil"/>
              <w:bottom w:val="nil"/>
              <w:right w:val="nil"/>
            </w:tcBorders>
            <w:shd w:val="clear" w:color="auto" w:fill="DBE5F1" w:themeFill="accent1" w:themeFillTint="33"/>
            <w:noWrap/>
            <w:vAlign w:val="center"/>
          </w:tcPr>
          <w:p w:rsidR="00E0608E" w:rsidRDefault="00E0608E" w:rsidP="00E0608E">
            <w:pPr>
              <w:jc w:val="center"/>
              <w:rPr>
                <w:sz w:val="20"/>
                <w:szCs w:val="20"/>
              </w:rPr>
            </w:pPr>
          </w:p>
        </w:tc>
      </w:tr>
      <w:tr w:rsidR="00E0608E" w:rsidRPr="00773094" w:rsidTr="0020429F">
        <w:trPr>
          <w:trHeight w:val="80"/>
          <w:jc w:val="center"/>
        </w:trPr>
        <w:tc>
          <w:tcPr>
            <w:tcW w:w="1276" w:type="dxa"/>
            <w:tcBorders>
              <w:top w:val="nil"/>
              <w:left w:val="nil"/>
              <w:bottom w:val="single" w:sz="4" w:space="0" w:color="1F497D" w:themeColor="text2"/>
              <w:right w:val="nil"/>
            </w:tcBorders>
            <w:shd w:val="clear" w:color="000000" w:fill="FFFFFF"/>
            <w:noWrap/>
            <w:vAlign w:val="center"/>
          </w:tcPr>
          <w:p w:rsidR="00E0608E" w:rsidRPr="00773094" w:rsidRDefault="00E0608E" w:rsidP="00C83F0F">
            <w:pPr>
              <w:rPr>
                <w:rFonts w:eastAsia="Times New Roman" w:cs="Calibri"/>
                <w:sz w:val="20"/>
                <w:szCs w:val="20"/>
                <w:lang w:eastAsia="en-AU"/>
              </w:rPr>
            </w:pPr>
            <w:r>
              <w:rPr>
                <w:sz w:val="20"/>
                <w:szCs w:val="20"/>
              </w:rPr>
              <w:t>Large breeders</w:t>
            </w:r>
          </w:p>
        </w:tc>
        <w:tc>
          <w:tcPr>
            <w:tcW w:w="161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44</w:t>
            </w:r>
          </w:p>
        </w:tc>
        <w:tc>
          <w:tcPr>
            <w:tcW w:w="1278"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4</w:t>
            </w:r>
          </w:p>
        </w:tc>
        <w:tc>
          <w:tcPr>
            <w:tcW w:w="1131" w:type="dxa"/>
            <w:tcBorders>
              <w:top w:val="nil"/>
              <w:left w:val="nil"/>
              <w:bottom w:val="single" w:sz="4" w:space="0" w:color="1F497D" w:themeColor="text2"/>
              <w:right w:val="nil"/>
            </w:tcBorders>
            <w:shd w:val="clear" w:color="000000" w:fill="FFFFFF"/>
            <w:vAlign w:val="center"/>
          </w:tcPr>
          <w:p w:rsidR="00E0608E" w:rsidRDefault="00E0608E" w:rsidP="00C934D7">
            <w:pPr>
              <w:jc w:val="center"/>
              <w:rPr>
                <w:sz w:val="20"/>
                <w:szCs w:val="20"/>
              </w:rPr>
            </w:pPr>
            <w:r>
              <w:rPr>
                <w:sz w:val="20"/>
                <w:szCs w:val="20"/>
              </w:rPr>
              <w:t>92</w:t>
            </w:r>
          </w:p>
        </w:tc>
        <w:tc>
          <w:tcPr>
            <w:tcW w:w="515"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$245,894</w:t>
            </w:r>
          </w:p>
        </w:tc>
        <w:tc>
          <w:tcPr>
            <w:tcW w:w="123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$2,458,938</w:t>
            </w:r>
          </w:p>
        </w:tc>
        <w:tc>
          <w:tcPr>
            <w:tcW w:w="1232" w:type="dxa"/>
            <w:tcBorders>
              <w:top w:val="nil"/>
              <w:left w:val="nil"/>
              <w:bottom w:val="single" w:sz="4" w:space="0" w:color="1F497D" w:themeColor="text2"/>
              <w:right w:val="nil"/>
            </w:tcBorders>
            <w:shd w:val="clear" w:color="auto" w:fill="DBE5F1" w:themeFill="accent1" w:themeFillTint="33"/>
            <w:noWrap/>
            <w:vAlign w:val="center"/>
          </w:tcPr>
          <w:p w:rsidR="00E0608E" w:rsidRPr="00C83F0F" w:rsidRDefault="00E0608E" w:rsidP="00E0608E">
            <w:pPr>
              <w:jc w:val="center"/>
              <w:rPr>
                <w:rFonts w:eastAsia="Times New Roman" w:cs="Calibri"/>
                <w:b/>
                <w:i/>
                <w:sz w:val="20"/>
                <w:szCs w:val="20"/>
                <w:lang w:eastAsia="en-AU"/>
              </w:rPr>
            </w:pPr>
            <w:r w:rsidRPr="00C83F0F">
              <w:rPr>
                <w:b/>
                <w:i/>
                <w:sz w:val="20"/>
                <w:szCs w:val="20"/>
              </w:rPr>
              <w:t>$2,074,196</w:t>
            </w:r>
          </w:p>
        </w:tc>
      </w:tr>
      <w:tr w:rsidR="00E0608E" w:rsidRPr="00773094" w:rsidTr="0020429F">
        <w:trPr>
          <w:trHeight w:val="70"/>
          <w:jc w:val="center"/>
        </w:trPr>
        <w:tc>
          <w:tcPr>
            <w:tcW w:w="1276" w:type="dxa"/>
            <w:tcBorders>
              <w:top w:val="single" w:sz="4" w:space="0" w:color="1F497D" w:themeColor="text2"/>
              <w:left w:val="nil"/>
              <w:bottom w:val="nil"/>
              <w:right w:val="nil"/>
            </w:tcBorders>
            <w:shd w:val="clear" w:color="000000" w:fill="FFFFFF"/>
            <w:noWrap/>
            <w:vAlign w:val="center"/>
          </w:tcPr>
          <w:p w:rsidR="00E0608E" w:rsidRDefault="00E0608E" w:rsidP="00C83F0F">
            <w:pPr>
              <w:rPr>
                <w:sz w:val="20"/>
                <w:szCs w:val="20"/>
              </w:rPr>
            </w:pPr>
            <w:r w:rsidRPr="00C83F0F">
              <w:rPr>
                <w:b/>
                <w:sz w:val="20"/>
                <w:szCs w:val="20"/>
              </w:rPr>
              <w:t>Options 3, 5</w:t>
            </w:r>
            <w:r>
              <w:rPr>
                <w:sz w:val="20"/>
                <w:szCs w:val="20"/>
              </w:rPr>
              <w:t xml:space="preserve"> </w:t>
            </w:r>
            <w:r w:rsidRPr="00C83F0F">
              <w:rPr>
                <w:b/>
                <w:sz w:val="20"/>
                <w:szCs w:val="20"/>
              </w:rPr>
              <w:t>and 6</w:t>
            </w:r>
          </w:p>
        </w:tc>
        <w:tc>
          <w:tcPr>
            <w:tcW w:w="1612"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78"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131" w:type="dxa"/>
            <w:tcBorders>
              <w:top w:val="single" w:sz="4" w:space="0" w:color="1F497D" w:themeColor="text2"/>
              <w:left w:val="nil"/>
              <w:bottom w:val="nil"/>
              <w:right w:val="nil"/>
            </w:tcBorders>
            <w:shd w:val="clear" w:color="000000" w:fill="FFFFFF"/>
            <w:vAlign w:val="center"/>
          </w:tcPr>
          <w:p w:rsidR="00E0608E" w:rsidRDefault="00E0608E" w:rsidP="00C934D7">
            <w:pPr>
              <w:jc w:val="center"/>
              <w:rPr>
                <w:sz w:val="20"/>
                <w:szCs w:val="20"/>
              </w:rPr>
            </w:pPr>
          </w:p>
        </w:tc>
        <w:tc>
          <w:tcPr>
            <w:tcW w:w="515"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32" w:type="dxa"/>
            <w:tcBorders>
              <w:top w:val="single" w:sz="4" w:space="0" w:color="1F497D" w:themeColor="text2"/>
              <w:left w:val="nil"/>
              <w:bottom w:val="nil"/>
              <w:right w:val="nil"/>
            </w:tcBorders>
            <w:shd w:val="clear" w:color="000000" w:fill="FFFFFF"/>
            <w:noWrap/>
            <w:vAlign w:val="center"/>
          </w:tcPr>
          <w:p w:rsidR="00E0608E" w:rsidRDefault="00E0608E" w:rsidP="00E0608E">
            <w:pPr>
              <w:jc w:val="center"/>
              <w:rPr>
                <w:sz w:val="20"/>
                <w:szCs w:val="20"/>
              </w:rPr>
            </w:pPr>
          </w:p>
        </w:tc>
        <w:tc>
          <w:tcPr>
            <w:tcW w:w="1232" w:type="dxa"/>
            <w:tcBorders>
              <w:top w:val="single" w:sz="4" w:space="0" w:color="1F497D" w:themeColor="text2"/>
              <w:left w:val="nil"/>
              <w:bottom w:val="nil"/>
              <w:right w:val="nil"/>
            </w:tcBorders>
            <w:shd w:val="clear" w:color="auto" w:fill="DBE5F1" w:themeFill="accent1" w:themeFillTint="33"/>
            <w:noWrap/>
            <w:vAlign w:val="center"/>
          </w:tcPr>
          <w:p w:rsidR="00E0608E" w:rsidRDefault="00E0608E" w:rsidP="00E0608E">
            <w:pPr>
              <w:jc w:val="center"/>
              <w:rPr>
                <w:sz w:val="20"/>
                <w:szCs w:val="20"/>
              </w:rPr>
            </w:pPr>
          </w:p>
        </w:tc>
      </w:tr>
      <w:tr w:rsidR="00E0608E" w:rsidRPr="00773094" w:rsidTr="0020429F">
        <w:trPr>
          <w:trHeight w:val="80"/>
          <w:jc w:val="center"/>
        </w:trPr>
        <w:tc>
          <w:tcPr>
            <w:tcW w:w="1276" w:type="dxa"/>
            <w:tcBorders>
              <w:top w:val="nil"/>
              <w:left w:val="nil"/>
              <w:bottom w:val="single" w:sz="4" w:space="0" w:color="1F497D" w:themeColor="text2"/>
              <w:right w:val="nil"/>
            </w:tcBorders>
            <w:shd w:val="clear" w:color="000000" w:fill="FFFFFF"/>
            <w:noWrap/>
            <w:vAlign w:val="center"/>
          </w:tcPr>
          <w:p w:rsidR="00E0608E" w:rsidRPr="00773094" w:rsidRDefault="00E0608E" w:rsidP="00C83F0F">
            <w:pPr>
              <w:rPr>
                <w:rFonts w:eastAsia="Times New Roman" w:cs="Calibri"/>
                <w:sz w:val="20"/>
                <w:szCs w:val="20"/>
                <w:lang w:eastAsia="en-AU"/>
              </w:rPr>
            </w:pPr>
            <w:r>
              <w:rPr>
                <w:sz w:val="20"/>
                <w:szCs w:val="20"/>
              </w:rPr>
              <w:t>Large breeders</w:t>
            </w:r>
          </w:p>
        </w:tc>
        <w:tc>
          <w:tcPr>
            <w:tcW w:w="161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44</w:t>
            </w:r>
          </w:p>
        </w:tc>
        <w:tc>
          <w:tcPr>
            <w:tcW w:w="1278"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14</w:t>
            </w:r>
          </w:p>
        </w:tc>
        <w:tc>
          <w:tcPr>
            <w:tcW w:w="1131" w:type="dxa"/>
            <w:tcBorders>
              <w:top w:val="nil"/>
              <w:left w:val="nil"/>
              <w:bottom w:val="single" w:sz="4" w:space="0" w:color="1F497D" w:themeColor="text2"/>
              <w:right w:val="nil"/>
            </w:tcBorders>
            <w:shd w:val="clear" w:color="000000" w:fill="FFFFFF"/>
            <w:vAlign w:val="center"/>
          </w:tcPr>
          <w:p w:rsidR="00E0608E" w:rsidRDefault="00E0608E" w:rsidP="00C934D7">
            <w:pPr>
              <w:jc w:val="center"/>
              <w:rPr>
                <w:sz w:val="20"/>
                <w:szCs w:val="20"/>
              </w:rPr>
            </w:pPr>
            <w:r>
              <w:rPr>
                <w:sz w:val="20"/>
                <w:szCs w:val="20"/>
              </w:rPr>
              <w:t>353</w:t>
            </w:r>
          </w:p>
        </w:tc>
        <w:tc>
          <w:tcPr>
            <w:tcW w:w="515"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$940,995</w:t>
            </w:r>
          </w:p>
        </w:tc>
        <w:tc>
          <w:tcPr>
            <w:tcW w:w="123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$9,409,952</w:t>
            </w:r>
          </w:p>
        </w:tc>
        <w:tc>
          <w:tcPr>
            <w:tcW w:w="1232" w:type="dxa"/>
            <w:tcBorders>
              <w:top w:val="nil"/>
              <w:left w:val="nil"/>
              <w:bottom w:val="single" w:sz="4" w:space="0" w:color="1F497D" w:themeColor="text2"/>
              <w:right w:val="nil"/>
            </w:tcBorders>
            <w:shd w:val="clear" w:color="auto" w:fill="DBE5F1" w:themeFill="accent1" w:themeFillTint="33"/>
            <w:noWrap/>
            <w:vAlign w:val="center"/>
          </w:tcPr>
          <w:p w:rsidR="00E0608E" w:rsidRPr="00C83F0F" w:rsidRDefault="00E0608E" w:rsidP="00E0608E">
            <w:pPr>
              <w:jc w:val="center"/>
              <w:rPr>
                <w:rFonts w:eastAsia="Times New Roman" w:cs="Calibri"/>
                <w:b/>
                <w:i/>
                <w:sz w:val="20"/>
                <w:szCs w:val="20"/>
                <w:lang w:eastAsia="en-AU"/>
              </w:rPr>
            </w:pPr>
            <w:r w:rsidRPr="00C83F0F">
              <w:rPr>
                <w:b/>
                <w:i/>
                <w:sz w:val="20"/>
                <w:szCs w:val="20"/>
              </w:rPr>
              <w:t>$7,937,607</w:t>
            </w:r>
          </w:p>
        </w:tc>
      </w:tr>
      <w:tr w:rsidR="00E0608E" w:rsidRPr="00773094" w:rsidTr="0020429F">
        <w:trPr>
          <w:trHeight w:val="70"/>
          <w:jc w:val="center"/>
        </w:trPr>
        <w:tc>
          <w:tcPr>
            <w:tcW w:w="1276" w:type="dxa"/>
            <w:tcBorders>
              <w:top w:val="single" w:sz="4" w:space="0" w:color="1F497D" w:themeColor="text2"/>
              <w:left w:val="nil"/>
              <w:bottom w:val="nil"/>
              <w:right w:val="nil"/>
            </w:tcBorders>
            <w:shd w:val="clear" w:color="000000" w:fill="FFFFFF"/>
            <w:noWrap/>
            <w:vAlign w:val="center"/>
          </w:tcPr>
          <w:p w:rsidR="00E0608E" w:rsidRPr="00C83F0F" w:rsidRDefault="00E0608E" w:rsidP="00C83F0F">
            <w:pPr>
              <w:rPr>
                <w:rFonts w:eastAsia="Times New Roman" w:cs="Calibri"/>
                <w:b/>
                <w:sz w:val="20"/>
                <w:szCs w:val="20"/>
                <w:lang w:eastAsia="en-AU"/>
              </w:rPr>
            </w:pPr>
            <w:r w:rsidRPr="00C83F0F">
              <w:rPr>
                <w:rFonts w:eastAsia="Times New Roman" w:cs="Calibri"/>
                <w:b/>
                <w:sz w:val="20"/>
                <w:szCs w:val="20"/>
                <w:lang w:eastAsia="en-AU"/>
              </w:rPr>
              <w:t>Option 4</w:t>
            </w:r>
          </w:p>
        </w:tc>
        <w:tc>
          <w:tcPr>
            <w:tcW w:w="1612" w:type="dxa"/>
            <w:tcBorders>
              <w:top w:val="single" w:sz="4" w:space="0" w:color="1F497D" w:themeColor="text2"/>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78" w:type="dxa"/>
            <w:tcBorders>
              <w:top w:val="single" w:sz="4" w:space="0" w:color="1F497D" w:themeColor="text2"/>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vAlign w:val="center"/>
          </w:tcPr>
          <w:p w:rsidR="00E0608E" w:rsidRPr="00773094" w:rsidRDefault="00E0608E" w:rsidP="00C934D7">
            <w:pPr>
              <w:jc w:val="center"/>
              <w:rPr>
                <w:rFonts w:eastAsia="Times New Roman" w:cs="Calibri"/>
                <w:sz w:val="20"/>
                <w:szCs w:val="20"/>
                <w:lang w:eastAsia="en-AU"/>
              </w:rPr>
            </w:pPr>
          </w:p>
        </w:tc>
        <w:tc>
          <w:tcPr>
            <w:tcW w:w="515" w:type="dxa"/>
            <w:tcBorders>
              <w:top w:val="single" w:sz="4" w:space="0" w:color="1F497D" w:themeColor="text2"/>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center"/>
          </w:tcPr>
          <w:p w:rsidR="00E0608E" w:rsidRPr="00773094" w:rsidRDefault="00E0608E" w:rsidP="00E0608E">
            <w:pPr>
              <w:jc w:val="center"/>
              <w:rPr>
                <w:rFonts w:eastAsia="Times New Roman" w:cs="Calibri"/>
                <w:sz w:val="20"/>
                <w:szCs w:val="20"/>
                <w:lang w:eastAsia="en-AU"/>
              </w:rPr>
            </w:pPr>
          </w:p>
        </w:tc>
      </w:tr>
      <w:tr w:rsidR="00E0608E" w:rsidRPr="00773094" w:rsidTr="0020429F">
        <w:trPr>
          <w:trHeight w:val="80"/>
          <w:jc w:val="center"/>
        </w:trPr>
        <w:tc>
          <w:tcPr>
            <w:tcW w:w="1276" w:type="dxa"/>
            <w:tcBorders>
              <w:top w:val="nil"/>
              <w:left w:val="nil"/>
              <w:bottom w:val="single" w:sz="4" w:space="0" w:color="1F497D" w:themeColor="text2"/>
              <w:right w:val="nil"/>
            </w:tcBorders>
            <w:shd w:val="clear" w:color="000000" w:fill="FFFFFF"/>
            <w:noWrap/>
            <w:vAlign w:val="center"/>
          </w:tcPr>
          <w:p w:rsidR="00E0608E" w:rsidRPr="00773094" w:rsidRDefault="00E0608E" w:rsidP="00C83F0F">
            <w:pPr>
              <w:rPr>
                <w:rFonts w:eastAsia="Times New Roman" w:cs="Calibri"/>
                <w:sz w:val="20"/>
                <w:szCs w:val="20"/>
                <w:lang w:eastAsia="en-AU"/>
              </w:rPr>
            </w:pPr>
            <w:r>
              <w:rPr>
                <w:sz w:val="20"/>
                <w:szCs w:val="20"/>
              </w:rPr>
              <w:t>Large breeders</w:t>
            </w:r>
          </w:p>
        </w:tc>
        <w:tc>
          <w:tcPr>
            <w:tcW w:w="161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44</w:t>
            </w:r>
          </w:p>
        </w:tc>
        <w:tc>
          <w:tcPr>
            <w:tcW w:w="1278"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9</w:t>
            </w:r>
          </w:p>
        </w:tc>
        <w:tc>
          <w:tcPr>
            <w:tcW w:w="1131" w:type="dxa"/>
            <w:tcBorders>
              <w:top w:val="nil"/>
              <w:left w:val="nil"/>
              <w:bottom w:val="single" w:sz="4" w:space="0" w:color="1F497D" w:themeColor="text2"/>
              <w:right w:val="nil"/>
            </w:tcBorders>
            <w:shd w:val="clear" w:color="000000" w:fill="FFFFFF"/>
            <w:vAlign w:val="center"/>
          </w:tcPr>
          <w:p w:rsidR="00E0608E" w:rsidRDefault="00C934D7" w:rsidP="00C934D7">
            <w:pPr>
              <w:jc w:val="center"/>
              <w:rPr>
                <w:sz w:val="20"/>
                <w:szCs w:val="20"/>
              </w:rPr>
            </w:pPr>
            <w:r>
              <w:rPr>
                <w:sz w:val="20"/>
                <w:szCs w:val="20"/>
              </w:rPr>
              <w:t>223</w:t>
            </w:r>
          </w:p>
        </w:tc>
        <w:tc>
          <w:tcPr>
            <w:tcW w:w="515"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$593,430</w:t>
            </w:r>
          </w:p>
        </w:tc>
        <w:tc>
          <w:tcPr>
            <w:tcW w:w="1232" w:type="dxa"/>
            <w:tcBorders>
              <w:top w:val="nil"/>
              <w:left w:val="nil"/>
              <w:bottom w:val="single" w:sz="4" w:space="0" w:color="1F497D" w:themeColor="text2"/>
              <w:right w:val="nil"/>
            </w:tcBorders>
            <w:shd w:val="clear" w:color="000000" w:fill="FFFFFF"/>
            <w:noWrap/>
            <w:vAlign w:val="center"/>
          </w:tcPr>
          <w:p w:rsidR="00E0608E" w:rsidRPr="00773094" w:rsidRDefault="00E0608E" w:rsidP="00E0608E">
            <w:pPr>
              <w:jc w:val="center"/>
              <w:rPr>
                <w:rFonts w:eastAsia="Times New Roman" w:cs="Calibri"/>
                <w:sz w:val="20"/>
                <w:szCs w:val="20"/>
                <w:lang w:eastAsia="en-AU"/>
              </w:rPr>
            </w:pPr>
            <w:r>
              <w:rPr>
                <w:sz w:val="20"/>
                <w:szCs w:val="20"/>
              </w:rPr>
              <w:t>$5,934,298</w:t>
            </w:r>
          </w:p>
        </w:tc>
        <w:tc>
          <w:tcPr>
            <w:tcW w:w="1232" w:type="dxa"/>
            <w:tcBorders>
              <w:top w:val="nil"/>
              <w:left w:val="nil"/>
              <w:bottom w:val="single" w:sz="4" w:space="0" w:color="1F497D" w:themeColor="text2"/>
              <w:right w:val="nil"/>
            </w:tcBorders>
            <w:shd w:val="clear" w:color="auto" w:fill="DBE5F1" w:themeFill="accent1" w:themeFillTint="33"/>
            <w:noWrap/>
            <w:vAlign w:val="center"/>
          </w:tcPr>
          <w:p w:rsidR="00E0608E" w:rsidRPr="00C83F0F" w:rsidRDefault="00E0608E" w:rsidP="00E0608E">
            <w:pPr>
              <w:jc w:val="center"/>
              <w:rPr>
                <w:rFonts w:eastAsia="Times New Roman" w:cs="Calibri"/>
                <w:b/>
                <w:i/>
                <w:sz w:val="20"/>
                <w:szCs w:val="20"/>
                <w:lang w:eastAsia="en-AU"/>
              </w:rPr>
            </w:pPr>
            <w:r w:rsidRPr="00C83F0F">
              <w:rPr>
                <w:b/>
                <w:i/>
                <w:sz w:val="20"/>
                <w:szCs w:val="20"/>
              </w:rPr>
              <w:t>$5,005,777</w:t>
            </w:r>
          </w:p>
        </w:tc>
      </w:tr>
    </w:tbl>
    <w:p w:rsidR="00C100E9" w:rsidRDefault="00C100E9" w:rsidP="00C100E9">
      <w:pPr>
        <w:jc w:val="both"/>
      </w:pPr>
    </w:p>
    <w:p w:rsidR="00506A9A" w:rsidRPr="005F3BA9" w:rsidRDefault="00506A9A" w:rsidP="00506A9A">
      <w:pPr>
        <w:pStyle w:val="Heading2"/>
      </w:pPr>
      <w:bookmarkStart w:id="217" w:name="_Toc469529207"/>
      <w:bookmarkStart w:id="218" w:name="_Toc477190231"/>
      <w:r w:rsidRPr="005F3BA9">
        <w:t>A4.4 – Estimation of costs and dogs affected by proposed standard 3.6 (Independent Vet) – Options 1 to 6</w:t>
      </w:r>
      <w:bookmarkEnd w:id="217"/>
      <w:bookmarkEnd w:id="218"/>
    </w:p>
    <w:p w:rsidR="00E0608E" w:rsidRDefault="00C100E9" w:rsidP="00C100E9">
      <w:pPr>
        <w:jc w:val="both"/>
      </w:pPr>
      <w:r>
        <w:t>The cost of obtaining independent veterinary advice for owners of greyhounds that are veterinarians is esti</w:t>
      </w:r>
      <w:r w:rsidR="00E71F12">
        <w:t>mated by assuming that there would be around</w:t>
      </w:r>
      <w:r>
        <w:t xml:space="preserve"> 6 owners who are veterinarians (based on DEDJTR advice) and an hourly charge out rate per 1</w:t>
      </w:r>
      <w:r w:rsidRPr="001327D9">
        <w:rPr>
          <w:vertAlign w:val="superscript"/>
        </w:rPr>
        <w:t>st</w:t>
      </w:r>
      <w:r>
        <w:t xml:space="preserve"> hour visit by a veterinarian of $125 per hour (see Table A3.1 of Appendix 3 for source of estimate).</w:t>
      </w:r>
      <w:r w:rsidR="007B521C">
        <w:t xml:space="preserve"> </w:t>
      </w:r>
      <w:r w:rsidR="002920D0">
        <w:t>As shown in Table A 4.7, u</w:t>
      </w:r>
      <w:r w:rsidR="0082630E">
        <w:t xml:space="preserve">nder Option 1 there would be </w:t>
      </w:r>
      <w:r w:rsidR="00E71F12">
        <w:t>effectively ‘0’</w:t>
      </w:r>
      <w:r w:rsidR="0082630E">
        <w:t xml:space="preserve"> participants</w:t>
      </w:r>
      <w:r w:rsidR="00E71F12">
        <w:t xml:space="preserve"> affected (i.e. 6 x 2.69</w:t>
      </w:r>
      <w:r w:rsidR="0082630E">
        <w:t>%</w:t>
      </w:r>
      <w:r w:rsidR="009B310A">
        <w:t xml:space="preserve"> (see last column in Table A4.3</w:t>
      </w:r>
      <w:r w:rsidR="00E71F12">
        <w:t>));</w:t>
      </w:r>
      <w:r w:rsidR="0082630E">
        <w:t xml:space="preserve"> under Option 2 there would be </w:t>
      </w:r>
      <w:r w:rsidR="00E71F12">
        <w:t>1 participant affected (i.e. 6 x 17.69</w:t>
      </w:r>
      <w:r w:rsidR="0082630E">
        <w:t>%)</w:t>
      </w:r>
      <w:r w:rsidR="002920D0">
        <w:t>;</w:t>
      </w:r>
      <w:r w:rsidR="0082630E">
        <w:t xml:space="preserve"> under Options 3, 5 and 6 there would be an </w:t>
      </w:r>
      <w:r w:rsidR="00E71F12">
        <w:t>estimated 4</w:t>
      </w:r>
      <w:r w:rsidR="0082630E">
        <w:t xml:space="preserve"> par</w:t>
      </w:r>
      <w:r w:rsidR="00E71F12">
        <w:t>ticipants affected (i.e. 6 x 67.69</w:t>
      </w:r>
      <w:r w:rsidR="0082630E">
        <w:t>%)</w:t>
      </w:r>
      <w:r w:rsidR="002920D0">
        <w:t>;</w:t>
      </w:r>
      <w:r w:rsidR="0082630E">
        <w:t xml:space="preserve"> and under Option 4 there would </w:t>
      </w:r>
      <w:r w:rsidR="00E71F12">
        <w:t>an approximately 3</w:t>
      </w:r>
      <w:r w:rsidR="0082630E">
        <w:t xml:space="preserve"> participants affected (i.e. 6 x </w:t>
      </w:r>
      <w:r w:rsidR="00E71F12">
        <w:t>42.69</w:t>
      </w:r>
      <w:r w:rsidR="0082630E">
        <w:t>%).</w:t>
      </w:r>
    </w:p>
    <w:p w:rsidR="002920D0" w:rsidRDefault="002920D0" w:rsidP="00C100E9">
      <w:pPr>
        <w:jc w:val="both"/>
      </w:pPr>
    </w:p>
    <w:p w:rsidR="002920D0" w:rsidRDefault="002920D0" w:rsidP="00C100E9">
      <w:pPr>
        <w:jc w:val="both"/>
      </w:pPr>
      <w:r>
        <w:t>The number of dogs affected assumes around 6 dogs per owner affected under each option in Table A4.7.</w:t>
      </w:r>
    </w:p>
    <w:p w:rsidR="00E0608E" w:rsidRDefault="00E0608E" w:rsidP="00C100E9">
      <w:pPr>
        <w:jc w:val="both"/>
      </w:pPr>
    </w:p>
    <w:p w:rsidR="00C100E9" w:rsidRDefault="00C100E9" w:rsidP="00C100E9">
      <w:pPr>
        <w:jc w:val="both"/>
      </w:pPr>
      <w:r>
        <w:t>As shown in table A4.6 the additional annual cost of this standard 3.6 is $750 or $6,326 over 10 years in present value dollars.</w:t>
      </w:r>
    </w:p>
    <w:p w:rsidR="00C100E9" w:rsidRDefault="00C100E9" w:rsidP="00C100E9">
      <w:pPr>
        <w:jc w:val="both"/>
      </w:pPr>
    </w:p>
    <w:p w:rsidR="00BD28C4" w:rsidRDefault="00BD28C4">
      <w:pPr>
        <w:rPr>
          <w:b/>
          <w:sz w:val="20"/>
        </w:rPr>
      </w:pPr>
      <w:r>
        <w:rPr>
          <w:b/>
          <w:sz w:val="20"/>
        </w:rPr>
        <w:br w:type="page"/>
      </w:r>
    </w:p>
    <w:p w:rsidR="00C100E9" w:rsidRDefault="00786432" w:rsidP="00786432">
      <w:pPr>
        <w:jc w:val="center"/>
        <w:rPr>
          <w:b/>
          <w:sz w:val="20"/>
        </w:rPr>
      </w:pPr>
      <w:r>
        <w:rPr>
          <w:b/>
          <w:sz w:val="20"/>
        </w:rPr>
        <w:lastRenderedPageBreak/>
        <w:t>Table A4.7</w:t>
      </w:r>
      <w:r w:rsidRPr="00B81627">
        <w:rPr>
          <w:b/>
          <w:sz w:val="20"/>
        </w:rPr>
        <w:t xml:space="preserve">: Estimated additional cost of </w:t>
      </w:r>
      <w:r>
        <w:rPr>
          <w:b/>
          <w:sz w:val="20"/>
        </w:rPr>
        <w:t>independent Veterinary advice under proposed Code 3.6 – Options 1 to 6</w:t>
      </w:r>
    </w:p>
    <w:p w:rsidR="00786432" w:rsidRDefault="00786432" w:rsidP="00C100E9">
      <w:pPr>
        <w:jc w:val="both"/>
      </w:pPr>
    </w:p>
    <w:tbl>
      <w:tblPr>
        <w:tblW w:w="8352" w:type="dxa"/>
        <w:jc w:val="center"/>
        <w:tblLook w:val="04A0" w:firstRow="1" w:lastRow="0" w:firstColumn="1" w:lastColumn="0" w:noHBand="0" w:noVBand="1"/>
      </w:tblPr>
      <w:tblGrid>
        <w:gridCol w:w="2076"/>
        <w:gridCol w:w="1216"/>
        <w:gridCol w:w="1103"/>
        <w:gridCol w:w="1216"/>
        <w:gridCol w:w="1525"/>
        <w:gridCol w:w="1216"/>
      </w:tblGrid>
      <w:tr w:rsidR="00786432" w:rsidRPr="00BD28C4" w:rsidTr="00786432">
        <w:trPr>
          <w:trHeight w:val="540"/>
          <w:tblHeader/>
          <w:jc w:val="center"/>
        </w:trPr>
        <w:tc>
          <w:tcPr>
            <w:tcW w:w="2076" w:type="dxa"/>
            <w:tcBorders>
              <w:top w:val="single" w:sz="4" w:space="0" w:color="1F4E78"/>
              <w:left w:val="nil"/>
              <w:bottom w:val="double" w:sz="6" w:space="0" w:color="1F4E78"/>
              <w:right w:val="nil"/>
            </w:tcBorders>
            <w:shd w:val="clear" w:color="000000" w:fill="FFFFFF"/>
            <w:vAlign w:val="bottom"/>
            <w:hideMark/>
          </w:tcPr>
          <w:p w:rsidR="00786432" w:rsidRPr="00BD28C4" w:rsidRDefault="00786432"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w:t>
            </w:r>
          </w:p>
        </w:tc>
        <w:tc>
          <w:tcPr>
            <w:tcW w:w="1216" w:type="dxa"/>
            <w:tcBorders>
              <w:top w:val="single" w:sz="4" w:space="0" w:color="1F4E78"/>
              <w:left w:val="nil"/>
              <w:bottom w:val="double" w:sz="6" w:space="0" w:color="1F4E78"/>
              <w:right w:val="nil"/>
            </w:tcBorders>
            <w:shd w:val="clear" w:color="000000" w:fill="FFFFFF"/>
            <w:vAlign w:val="bottom"/>
            <w:hideMark/>
          </w:tcPr>
          <w:p w:rsidR="00786432" w:rsidRPr="00BD28C4" w:rsidRDefault="00786432"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participants affected</w:t>
            </w:r>
            <w:r w:rsidRPr="00BD28C4">
              <w:rPr>
                <w:rStyle w:val="FootnoteReference"/>
                <w:rFonts w:eastAsia="Times New Roman" w:cs="Calibri"/>
                <w:b/>
                <w:bCs/>
                <w:color w:val="53565A"/>
                <w:sz w:val="20"/>
                <w:szCs w:val="20"/>
                <w:lang w:eastAsia="en-AU"/>
              </w:rPr>
              <w:footnoteReference w:id="166"/>
            </w:r>
          </w:p>
        </w:tc>
        <w:tc>
          <w:tcPr>
            <w:tcW w:w="1103" w:type="dxa"/>
            <w:tcBorders>
              <w:top w:val="single" w:sz="4" w:space="0" w:color="1F4E78"/>
              <w:left w:val="nil"/>
              <w:bottom w:val="double" w:sz="6" w:space="0" w:color="1F4E78"/>
              <w:right w:val="nil"/>
            </w:tcBorders>
            <w:shd w:val="clear" w:color="000000" w:fill="FFFFFF"/>
          </w:tcPr>
          <w:p w:rsidR="00786432" w:rsidRPr="00BD28C4" w:rsidRDefault="00786432"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216" w:type="dxa"/>
            <w:tcBorders>
              <w:top w:val="single" w:sz="4" w:space="0" w:color="1F4E78"/>
              <w:left w:val="nil"/>
              <w:bottom w:val="double" w:sz="6" w:space="0" w:color="1F4E78"/>
              <w:right w:val="nil"/>
            </w:tcBorders>
            <w:shd w:val="clear" w:color="000000" w:fill="FFFFFF"/>
            <w:vAlign w:val="bottom"/>
            <w:hideMark/>
          </w:tcPr>
          <w:p w:rsidR="00786432" w:rsidRPr="00BD28C4" w:rsidRDefault="00786432"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525" w:type="dxa"/>
            <w:tcBorders>
              <w:top w:val="single" w:sz="4" w:space="0" w:color="1F4E78"/>
              <w:left w:val="nil"/>
              <w:bottom w:val="double" w:sz="6" w:space="0" w:color="1F4E78"/>
              <w:right w:val="nil"/>
            </w:tcBorders>
            <w:shd w:val="clear" w:color="000000" w:fill="FFFFFF"/>
            <w:vAlign w:val="bottom"/>
            <w:hideMark/>
          </w:tcPr>
          <w:p w:rsidR="00786432" w:rsidRPr="00BD28C4" w:rsidRDefault="00786432"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216" w:type="dxa"/>
            <w:tcBorders>
              <w:top w:val="single" w:sz="4" w:space="0" w:color="1F4E78"/>
              <w:left w:val="nil"/>
              <w:bottom w:val="double" w:sz="6" w:space="0" w:color="1F4E78"/>
              <w:right w:val="nil"/>
            </w:tcBorders>
            <w:shd w:val="clear" w:color="auto" w:fill="DBE5F1" w:themeFill="accent1" w:themeFillTint="33"/>
            <w:vAlign w:val="bottom"/>
            <w:hideMark/>
          </w:tcPr>
          <w:p w:rsidR="00786432" w:rsidRPr="00BD28C4" w:rsidRDefault="00786432"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786432" w:rsidRPr="00C82D7C" w:rsidTr="00786432">
        <w:trPr>
          <w:trHeight w:val="315"/>
          <w:jc w:val="center"/>
        </w:trPr>
        <w:tc>
          <w:tcPr>
            <w:tcW w:w="2076" w:type="dxa"/>
            <w:tcBorders>
              <w:top w:val="double" w:sz="6" w:space="0" w:color="1F4E78"/>
              <w:left w:val="nil"/>
              <w:right w:val="nil"/>
            </w:tcBorders>
            <w:shd w:val="clear" w:color="000000" w:fill="FFFFFF"/>
            <w:noWrap/>
            <w:vAlign w:val="center"/>
          </w:tcPr>
          <w:p w:rsidR="00786432" w:rsidRPr="00786432" w:rsidRDefault="00786432" w:rsidP="00786432">
            <w:pPr>
              <w:rPr>
                <w:rFonts w:eastAsia="Times New Roman" w:cs="Calibri"/>
                <w:b/>
                <w:bCs/>
                <w:iCs/>
                <w:sz w:val="20"/>
                <w:szCs w:val="20"/>
                <w:lang w:eastAsia="en-AU"/>
              </w:rPr>
            </w:pPr>
            <w:r w:rsidRPr="00786432">
              <w:rPr>
                <w:rFonts w:eastAsia="Times New Roman" w:cs="Calibri"/>
                <w:b/>
                <w:bCs/>
                <w:iCs/>
                <w:sz w:val="20"/>
                <w:szCs w:val="20"/>
                <w:lang w:eastAsia="en-AU"/>
              </w:rPr>
              <w:t>Option 1</w:t>
            </w:r>
          </w:p>
        </w:tc>
        <w:tc>
          <w:tcPr>
            <w:tcW w:w="1216" w:type="dxa"/>
            <w:tcBorders>
              <w:top w:val="double" w:sz="6" w:space="0" w:color="1F4E78"/>
              <w:left w:val="nil"/>
              <w:right w:val="nil"/>
            </w:tcBorders>
            <w:shd w:val="clear" w:color="000000" w:fill="FFFFFF"/>
            <w:noWrap/>
            <w:vAlign w:val="bottom"/>
          </w:tcPr>
          <w:p w:rsidR="00786432" w:rsidRPr="00C82D7C" w:rsidRDefault="00786432" w:rsidP="00973C4B">
            <w:pPr>
              <w:jc w:val="center"/>
              <w:rPr>
                <w:rFonts w:eastAsia="Times New Roman" w:cs="Calibri"/>
                <w:b/>
                <w:bCs/>
                <w:i/>
                <w:iCs/>
                <w:sz w:val="20"/>
                <w:szCs w:val="20"/>
                <w:lang w:eastAsia="en-AU"/>
              </w:rPr>
            </w:pPr>
          </w:p>
        </w:tc>
        <w:tc>
          <w:tcPr>
            <w:tcW w:w="1103" w:type="dxa"/>
            <w:tcBorders>
              <w:top w:val="double" w:sz="6" w:space="0" w:color="1F4E78"/>
              <w:left w:val="nil"/>
              <w:right w:val="nil"/>
            </w:tcBorders>
            <w:shd w:val="clear" w:color="000000" w:fill="FFFFFF"/>
          </w:tcPr>
          <w:p w:rsidR="00786432" w:rsidRPr="00C82D7C" w:rsidRDefault="00786432" w:rsidP="00973C4B">
            <w:pPr>
              <w:jc w:val="center"/>
              <w:rPr>
                <w:rFonts w:eastAsia="Times New Roman" w:cs="Calibri"/>
                <w:b/>
                <w:bCs/>
                <w:i/>
                <w:iCs/>
                <w:sz w:val="20"/>
                <w:szCs w:val="20"/>
                <w:lang w:eastAsia="en-AU"/>
              </w:rPr>
            </w:pPr>
          </w:p>
        </w:tc>
        <w:tc>
          <w:tcPr>
            <w:tcW w:w="1216" w:type="dxa"/>
            <w:tcBorders>
              <w:top w:val="double" w:sz="6" w:space="0" w:color="1F4E78"/>
              <w:left w:val="nil"/>
              <w:right w:val="nil"/>
            </w:tcBorders>
            <w:shd w:val="clear" w:color="000000" w:fill="FFFFFF"/>
            <w:noWrap/>
            <w:vAlign w:val="bottom"/>
          </w:tcPr>
          <w:p w:rsidR="00786432" w:rsidRPr="00C82D7C" w:rsidRDefault="00786432" w:rsidP="00973C4B">
            <w:pPr>
              <w:jc w:val="center"/>
              <w:rPr>
                <w:rFonts w:eastAsia="Times New Roman" w:cs="Calibri"/>
                <w:b/>
                <w:bCs/>
                <w:i/>
                <w:iCs/>
                <w:sz w:val="20"/>
                <w:szCs w:val="20"/>
                <w:lang w:eastAsia="en-AU"/>
              </w:rPr>
            </w:pPr>
          </w:p>
        </w:tc>
        <w:tc>
          <w:tcPr>
            <w:tcW w:w="1525" w:type="dxa"/>
            <w:tcBorders>
              <w:top w:val="double" w:sz="6" w:space="0" w:color="1F4E78"/>
              <w:left w:val="nil"/>
              <w:right w:val="nil"/>
            </w:tcBorders>
            <w:shd w:val="clear" w:color="000000" w:fill="FFFFFF"/>
            <w:noWrap/>
            <w:vAlign w:val="bottom"/>
          </w:tcPr>
          <w:p w:rsidR="00786432" w:rsidRPr="00C82D7C" w:rsidRDefault="00786432" w:rsidP="00973C4B">
            <w:pPr>
              <w:jc w:val="center"/>
              <w:rPr>
                <w:rFonts w:eastAsia="Times New Roman" w:cs="Calibri"/>
                <w:b/>
                <w:bCs/>
                <w:i/>
                <w:iCs/>
                <w:sz w:val="20"/>
                <w:szCs w:val="20"/>
                <w:lang w:eastAsia="en-AU"/>
              </w:rPr>
            </w:pPr>
          </w:p>
        </w:tc>
        <w:tc>
          <w:tcPr>
            <w:tcW w:w="1216" w:type="dxa"/>
            <w:tcBorders>
              <w:top w:val="double" w:sz="6" w:space="0" w:color="1F4E78"/>
              <w:left w:val="nil"/>
              <w:right w:val="nil"/>
            </w:tcBorders>
            <w:shd w:val="clear" w:color="auto" w:fill="DBE5F1" w:themeFill="accent1" w:themeFillTint="33"/>
            <w:noWrap/>
            <w:vAlign w:val="bottom"/>
          </w:tcPr>
          <w:p w:rsidR="00786432" w:rsidRPr="00C82D7C" w:rsidRDefault="00786432" w:rsidP="00973C4B">
            <w:pPr>
              <w:jc w:val="center"/>
              <w:rPr>
                <w:rFonts w:eastAsia="Times New Roman" w:cs="Calibri"/>
                <w:b/>
                <w:bCs/>
                <w:i/>
                <w:iCs/>
                <w:sz w:val="20"/>
                <w:szCs w:val="20"/>
                <w:lang w:eastAsia="en-AU"/>
              </w:rPr>
            </w:pPr>
          </w:p>
        </w:tc>
      </w:tr>
      <w:tr w:rsidR="00786432" w:rsidRPr="00C82D7C" w:rsidTr="00786432">
        <w:trPr>
          <w:trHeight w:val="315"/>
          <w:jc w:val="center"/>
        </w:trPr>
        <w:tc>
          <w:tcPr>
            <w:tcW w:w="2076" w:type="dxa"/>
            <w:tcBorders>
              <w:left w:val="nil"/>
              <w:bottom w:val="single" w:sz="4" w:space="0" w:color="1F497D" w:themeColor="text2"/>
              <w:right w:val="nil"/>
            </w:tcBorders>
            <w:shd w:val="clear" w:color="000000" w:fill="FFFFFF"/>
            <w:noWrap/>
            <w:vAlign w:val="center"/>
          </w:tcPr>
          <w:p w:rsidR="00786432" w:rsidRPr="00786432" w:rsidRDefault="00786432" w:rsidP="00786432">
            <w:pPr>
              <w:rPr>
                <w:rFonts w:eastAsia="Times New Roman" w:cs="Calibri"/>
                <w:bCs/>
                <w:iCs/>
                <w:sz w:val="20"/>
                <w:szCs w:val="20"/>
                <w:lang w:eastAsia="en-AU"/>
              </w:rPr>
            </w:pPr>
            <w:r w:rsidRPr="00786432">
              <w:rPr>
                <w:bCs/>
                <w:iCs/>
                <w:sz w:val="20"/>
                <w:szCs w:val="20"/>
              </w:rPr>
              <w:t>Owners who are vets</w:t>
            </w: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Pr>
                <w:bCs/>
                <w:iCs/>
                <w:sz w:val="20"/>
                <w:szCs w:val="20"/>
              </w:rPr>
              <w:t>0</w:t>
            </w:r>
          </w:p>
        </w:tc>
        <w:tc>
          <w:tcPr>
            <w:tcW w:w="1103" w:type="dxa"/>
            <w:tcBorders>
              <w:left w:val="nil"/>
              <w:bottom w:val="single" w:sz="4" w:space="0" w:color="1F497D" w:themeColor="text2"/>
              <w:right w:val="nil"/>
            </w:tcBorders>
            <w:shd w:val="clear" w:color="000000" w:fill="FFFFFF"/>
          </w:tcPr>
          <w:p w:rsidR="00786432" w:rsidRPr="00786432" w:rsidRDefault="00786432" w:rsidP="00786432">
            <w:pPr>
              <w:jc w:val="center"/>
              <w:rPr>
                <w:bCs/>
                <w:iCs/>
                <w:sz w:val="20"/>
                <w:szCs w:val="20"/>
              </w:rPr>
            </w:pP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$0</w:t>
            </w:r>
          </w:p>
        </w:tc>
        <w:tc>
          <w:tcPr>
            <w:tcW w:w="1525"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$0</w:t>
            </w:r>
          </w:p>
        </w:tc>
        <w:tc>
          <w:tcPr>
            <w:tcW w:w="1216" w:type="dxa"/>
            <w:tcBorders>
              <w:left w:val="nil"/>
              <w:bottom w:val="single" w:sz="4" w:space="0" w:color="1F497D" w:themeColor="text2"/>
              <w:right w:val="nil"/>
            </w:tcBorders>
            <w:shd w:val="clear" w:color="auto" w:fill="DBE5F1" w:themeFill="accent1" w:themeFillTint="33"/>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$0</w:t>
            </w:r>
          </w:p>
        </w:tc>
      </w:tr>
      <w:tr w:rsidR="00786432" w:rsidRPr="00C82D7C" w:rsidTr="00786432">
        <w:trPr>
          <w:trHeight w:val="315"/>
          <w:jc w:val="center"/>
        </w:trPr>
        <w:tc>
          <w:tcPr>
            <w:tcW w:w="2076" w:type="dxa"/>
            <w:tcBorders>
              <w:top w:val="single" w:sz="4" w:space="0" w:color="1F497D" w:themeColor="text2"/>
              <w:left w:val="nil"/>
              <w:right w:val="nil"/>
            </w:tcBorders>
            <w:shd w:val="clear" w:color="000000" w:fill="FFFFFF"/>
            <w:noWrap/>
            <w:vAlign w:val="center"/>
          </w:tcPr>
          <w:p w:rsidR="00786432" w:rsidRPr="00786432" w:rsidRDefault="00786432" w:rsidP="00786432">
            <w:pPr>
              <w:rPr>
                <w:rFonts w:eastAsia="Times New Roman" w:cs="Calibri"/>
                <w:b/>
                <w:bCs/>
                <w:iCs/>
                <w:sz w:val="20"/>
                <w:szCs w:val="20"/>
                <w:lang w:eastAsia="en-AU"/>
              </w:rPr>
            </w:pPr>
            <w:r w:rsidRPr="00786432">
              <w:rPr>
                <w:rFonts w:eastAsia="Times New Roman" w:cs="Calibri"/>
                <w:b/>
                <w:bCs/>
                <w:iCs/>
                <w:sz w:val="20"/>
                <w:szCs w:val="20"/>
                <w:lang w:eastAsia="en-AU"/>
              </w:rPr>
              <w:t>Option 2</w:t>
            </w: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103" w:type="dxa"/>
            <w:tcBorders>
              <w:top w:val="single" w:sz="4" w:space="0" w:color="1F497D" w:themeColor="text2"/>
              <w:left w:val="nil"/>
              <w:right w:val="nil"/>
            </w:tcBorders>
            <w:shd w:val="clear" w:color="000000" w:fill="FFFFFF"/>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525"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auto" w:fill="DBE5F1" w:themeFill="accent1" w:themeFillTint="33"/>
            <w:noWrap/>
            <w:vAlign w:val="center"/>
          </w:tcPr>
          <w:p w:rsidR="00786432" w:rsidRPr="00C82D7C" w:rsidRDefault="00786432" w:rsidP="00786432">
            <w:pPr>
              <w:jc w:val="center"/>
              <w:rPr>
                <w:rFonts w:eastAsia="Times New Roman" w:cs="Calibri"/>
                <w:b/>
                <w:bCs/>
                <w:i/>
                <w:iCs/>
                <w:sz w:val="20"/>
                <w:szCs w:val="20"/>
                <w:lang w:eastAsia="en-AU"/>
              </w:rPr>
            </w:pPr>
          </w:p>
        </w:tc>
      </w:tr>
      <w:tr w:rsidR="00786432" w:rsidRPr="00C82D7C" w:rsidTr="00786432">
        <w:trPr>
          <w:trHeight w:val="315"/>
          <w:jc w:val="center"/>
        </w:trPr>
        <w:tc>
          <w:tcPr>
            <w:tcW w:w="2076" w:type="dxa"/>
            <w:tcBorders>
              <w:left w:val="nil"/>
              <w:bottom w:val="single" w:sz="4" w:space="0" w:color="1F497D" w:themeColor="text2"/>
              <w:right w:val="nil"/>
            </w:tcBorders>
            <w:shd w:val="clear" w:color="000000" w:fill="FFFFFF"/>
            <w:noWrap/>
            <w:vAlign w:val="center"/>
          </w:tcPr>
          <w:p w:rsidR="00786432" w:rsidRPr="00786432" w:rsidRDefault="00786432" w:rsidP="00786432">
            <w:pPr>
              <w:rPr>
                <w:rFonts w:eastAsia="Times New Roman" w:cs="Calibri"/>
                <w:bCs/>
                <w:iCs/>
                <w:sz w:val="20"/>
                <w:szCs w:val="20"/>
                <w:lang w:eastAsia="en-AU"/>
              </w:rPr>
            </w:pPr>
            <w:r w:rsidRPr="00786432">
              <w:rPr>
                <w:bCs/>
                <w:iCs/>
                <w:sz w:val="20"/>
                <w:szCs w:val="20"/>
              </w:rPr>
              <w:t>Owners who are vets</w:t>
            </w: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1</w:t>
            </w:r>
          </w:p>
        </w:tc>
        <w:tc>
          <w:tcPr>
            <w:tcW w:w="1103" w:type="dxa"/>
            <w:tcBorders>
              <w:left w:val="nil"/>
              <w:bottom w:val="single" w:sz="4" w:space="0" w:color="1F497D" w:themeColor="text2"/>
              <w:right w:val="nil"/>
            </w:tcBorders>
            <w:shd w:val="clear" w:color="000000" w:fill="FFFFFF"/>
            <w:vAlign w:val="center"/>
          </w:tcPr>
          <w:p w:rsidR="00786432" w:rsidRPr="00786432" w:rsidRDefault="00786432" w:rsidP="00786432">
            <w:pPr>
              <w:jc w:val="center"/>
              <w:rPr>
                <w:bCs/>
                <w:iCs/>
                <w:sz w:val="20"/>
                <w:szCs w:val="20"/>
              </w:rPr>
            </w:pPr>
            <w:r>
              <w:rPr>
                <w:bCs/>
                <w:iCs/>
                <w:sz w:val="20"/>
                <w:szCs w:val="20"/>
              </w:rPr>
              <w:t>6</w:t>
            </w: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$133</w:t>
            </w:r>
          </w:p>
        </w:tc>
        <w:tc>
          <w:tcPr>
            <w:tcW w:w="1525"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$1,326</w:t>
            </w:r>
          </w:p>
        </w:tc>
        <w:tc>
          <w:tcPr>
            <w:tcW w:w="1216" w:type="dxa"/>
            <w:tcBorders>
              <w:left w:val="nil"/>
              <w:bottom w:val="single" w:sz="4" w:space="0" w:color="1F497D" w:themeColor="text2"/>
              <w:right w:val="nil"/>
            </w:tcBorders>
            <w:shd w:val="clear" w:color="auto" w:fill="DBE5F1" w:themeFill="accent1" w:themeFillTint="33"/>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$1,119</w:t>
            </w:r>
          </w:p>
        </w:tc>
      </w:tr>
      <w:tr w:rsidR="00786432" w:rsidRPr="00C82D7C" w:rsidTr="00786432">
        <w:trPr>
          <w:trHeight w:val="315"/>
          <w:jc w:val="center"/>
        </w:trPr>
        <w:tc>
          <w:tcPr>
            <w:tcW w:w="2076" w:type="dxa"/>
            <w:tcBorders>
              <w:top w:val="single" w:sz="4" w:space="0" w:color="1F497D" w:themeColor="text2"/>
              <w:left w:val="nil"/>
              <w:right w:val="nil"/>
            </w:tcBorders>
            <w:shd w:val="clear" w:color="000000" w:fill="FFFFFF"/>
            <w:noWrap/>
            <w:vAlign w:val="center"/>
          </w:tcPr>
          <w:p w:rsidR="00786432" w:rsidRPr="00786432" w:rsidRDefault="00786432" w:rsidP="00786432">
            <w:pPr>
              <w:rPr>
                <w:rFonts w:eastAsia="Times New Roman" w:cs="Calibri"/>
                <w:b/>
                <w:bCs/>
                <w:iCs/>
                <w:sz w:val="20"/>
                <w:szCs w:val="20"/>
                <w:lang w:eastAsia="en-AU"/>
              </w:rPr>
            </w:pPr>
            <w:r w:rsidRPr="00786432">
              <w:rPr>
                <w:rFonts w:eastAsia="Times New Roman" w:cs="Calibri"/>
                <w:b/>
                <w:bCs/>
                <w:iCs/>
                <w:sz w:val="20"/>
                <w:szCs w:val="20"/>
                <w:lang w:eastAsia="en-AU"/>
              </w:rPr>
              <w:t>Options 3, 5 and 6</w:t>
            </w: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103" w:type="dxa"/>
            <w:tcBorders>
              <w:top w:val="single" w:sz="4" w:space="0" w:color="1F497D" w:themeColor="text2"/>
              <w:left w:val="nil"/>
              <w:right w:val="nil"/>
            </w:tcBorders>
            <w:shd w:val="clear" w:color="000000" w:fill="FFFFFF"/>
            <w:vAlign w:val="center"/>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525"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auto" w:fill="DBE5F1" w:themeFill="accent1" w:themeFillTint="33"/>
            <w:noWrap/>
            <w:vAlign w:val="center"/>
          </w:tcPr>
          <w:p w:rsidR="00786432" w:rsidRPr="00C82D7C" w:rsidRDefault="00786432" w:rsidP="00786432">
            <w:pPr>
              <w:jc w:val="center"/>
              <w:rPr>
                <w:rFonts w:eastAsia="Times New Roman" w:cs="Calibri"/>
                <w:b/>
                <w:bCs/>
                <w:i/>
                <w:iCs/>
                <w:sz w:val="20"/>
                <w:szCs w:val="20"/>
                <w:lang w:eastAsia="en-AU"/>
              </w:rPr>
            </w:pPr>
          </w:p>
        </w:tc>
      </w:tr>
      <w:tr w:rsidR="00786432" w:rsidRPr="00C82D7C" w:rsidTr="00786432">
        <w:trPr>
          <w:trHeight w:val="315"/>
          <w:jc w:val="center"/>
        </w:trPr>
        <w:tc>
          <w:tcPr>
            <w:tcW w:w="2076" w:type="dxa"/>
            <w:tcBorders>
              <w:left w:val="nil"/>
              <w:bottom w:val="single" w:sz="4" w:space="0" w:color="1F497D" w:themeColor="text2"/>
              <w:right w:val="nil"/>
            </w:tcBorders>
            <w:shd w:val="clear" w:color="000000" w:fill="FFFFFF"/>
            <w:noWrap/>
            <w:vAlign w:val="center"/>
          </w:tcPr>
          <w:p w:rsidR="00786432" w:rsidRPr="00786432" w:rsidRDefault="00786432" w:rsidP="00786432">
            <w:pPr>
              <w:rPr>
                <w:rFonts w:eastAsia="Times New Roman" w:cs="Calibri"/>
                <w:bCs/>
                <w:iCs/>
                <w:sz w:val="20"/>
                <w:szCs w:val="20"/>
                <w:lang w:eastAsia="en-AU"/>
              </w:rPr>
            </w:pPr>
            <w:r w:rsidRPr="00786432">
              <w:rPr>
                <w:bCs/>
                <w:iCs/>
                <w:sz w:val="20"/>
                <w:szCs w:val="20"/>
              </w:rPr>
              <w:t>Owners who are vets</w:t>
            </w: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4</w:t>
            </w:r>
          </w:p>
        </w:tc>
        <w:tc>
          <w:tcPr>
            <w:tcW w:w="1103" w:type="dxa"/>
            <w:tcBorders>
              <w:left w:val="nil"/>
              <w:bottom w:val="single" w:sz="4" w:space="0" w:color="1F497D" w:themeColor="text2"/>
              <w:right w:val="nil"/>
            </w:tcBorders>
            <w:shd w:val="clear" w:color="000000" w:fill="FFFFFF"/>
            <w:vAlign w:val="center"/>
          </w:tcPr>
          <w:p w:rsidR="00786432" w:rsidRPr="00786432" w:rsidRDefault="00786432" w:rsidP="00786432">
            <w:pPr>
              <w:jc w:val="center"/>
              <w:rPr>
                <w:bCs/>
                <w:iCs/>
                <w:sz w:val="20"/>
                <w:szCs w:val="20"/>
              </w:rPr>
            </w:pPr>
            <w:r>
              <w:rPr>
                <w:bCs/>
                <w:iCs/>
                <w:sz w:val="20"/>
                <w:szCs w:val="20"/>
              </w:rPr>
              <w:t>23</w:t>
            </w:r>
          </w:p>
        </w:tc>
        <w:tc>
          <w:tcPr>
            <w:tcW w:w="1216"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$508</w:t>
            </w:r>
          </w:p>
        </w:tc>
        <w:tc>
          <w:tcPr>
            <w:tcW w:w="1525" w:type="dxa"/>
            <w:tcBorders>
              <w:left w:val="nil"/>
              <w:bottom w:val="single" w:sz="4" w:space="0" w:color="1F497D" w:themeColor="text2"/>
              <w:right w:val="nil"/>
            </w:tcBorders>
            <w:shd w:val="clear" w:color="000000" w:fill="FFFFFF"/>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$5,076</w:t>
            </w:r>
          </w:p>
        </w:tc>
        <w:tc>
          <w:tcPr>
            <w:tcW w:w="1216" w:type="dxa"/>
            <w:tcBorders>
              <w:left w:val="nil"/>
              <w:bottom w:val="single" w:sz="4" w:space="0" w:color="1F497D" w:themeColor="text2"/>
              <w:right w:val="nil"/>
            </w:tcBorders>
            <w:shd w:val="clear" w:color="auto" w:fill="DBE5F1" w:themeFill="accent1" w:themeFillTint="33"/>
            <w:noWrap/>
            <w:vAlign w:val="center"/>
          </w:tcPr>
          <w:p w:rsidR="00786432" w:rsidRPr="00786432" w:rsidRDefault="00786432" w:rsidP="00786432">
            <w:pPr>
              <w:jc w:val="center"/>
              <w:rPr>
                <w:rFonts w:eastAsia="Times New Roman" w:cs="Calibri"/>
                <w:bCs/>
                <w:iCs/>
                <w:sz w:val="20"/>
                <w:szCs w:val="20"/>
                <w:lang w:eastAsia="en-AU"/>
              </w:rPr>
            </w:pPr>
            <w:r w:rsidRPr="00786432">
              <w:rPr>
                <w:bCs/>
                <w:iCs/>
                <w:sz w:val="20"/>
                <w:szCs w:val="20"/>
              </w:rPr>
              <w:t>$4,282</w:t>
            </w:r>
          </w:p>
        </w:tc>
      </w:tr>
      <w:tr w:rsidR="00786432" w:rsidRPr="00C82D7C" w:rsidTr="00786432">
        <w:trPr>
          <w:trHeight w:val="315"/>
          <w:jc w:val="center"/>
        </w:trPr>
        <w:tc>
          <w:tcPr>
            <w:tcW w:w="2076" w:type="dxa"/>
            <w:tcBorders>
              <w:top w:val="single" w:sz="4" w:space="0" w:color="1F497D" w:themeColor="text2"/>
              <w:left w:val="nil"/>
              <w:right w:val="nil"/>
            </w:tcBorders>
            <w:shd w:val="clear" w:color="000000" w:fill="FFFFFF"/>
            <w:noWrap/>
            <w:vAlign w:val="center"/>
          </w:tcPr>
          <w:p w:rsidR="00786432" w:rsidRPr="00786432" w:rsidRDefault="00786432" w:rsidP="00786432">
            <w:pPr>
              <w:rPr>
                <w:rFonts w:eastAsia="Times New Roman" w:cs="Calibri"/>
                <w:b/>
                <w:bCs/>
                <w:iCs/>
                <w:sz w:val="20"/>
                <w:szCs w:val="20"/>
                <w:lang w:eastAsia="en-AU"/>
              </w:rPr>
            </w:pPr>
            <w:r w:rsidRPr="00786432">
              <w:rPr>
                <w:rFonts w:eastAsia="Times New Roman" w:cs="Calibri"/>
                <w:b/>
                <w:bCs/>
                <w:iCs/>
                <w:sz w:val="20"/>
                <w:szCs w:val="20"/>
                <w:lang w:eastAsia="en-AU"/>
              </w:rPr>
              <w:t>Option 4</w:t>
            </w: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103" w:type="dxa"/>
            <w:tcBorders>
              <w:top w:val="single" w:sz="4" w:space="0" w:color="1F497D" w:themeColor="text2"/>
              <w:left w:val="nil"/>
              <w:right w:val="nil"/>
            </w:tcBorders>
            <w:shd w:val="clear" w:color="000000" w:fill="FFFFFF"/>
            <w:vAlign w:val="center"/>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525" w:type="dxa"/>
            <w:tcBorders>
              <w:top w:val="single" w:sz="4" w:space="0" w:color="1F497D" w:themeColor="text2"/>
              <w:left w:val="nil"/>
              <w:right w:val="nil"/>
            </w:tcBorders>
            <w:shd w:val="clear" w:color="000000" w:fill="FFFFFF"/>
            <w:noWrap/>
            <w:vAlign w:val="center"/>
          </w:tcPr>
          <w:p w:rsidR="00786432" w:rsidRPr="00C82D7C" w:rsidRDefault="00786432" w:rsidP="00786432">
            <w:pPr>
              <w:jc w:val="center"/>
              <w:rPr>
                <w:rFonts w:eastAsia="Times New Roman" w:cs="Calibri"/>
                <w:b/>
                <w:bCs/>
                <w:i/>
                <w:iCs/>
                <w:sz w:val="20"/>
                <w:szCs w:val="20"/>
                <w:lang w:eastAsia="en-AU"/>
              </w:rPr>
            </w:pPr>
          </w:p>
        </w:tc>
        <w:tc>
          <w:tcPr>
            <w:tcW w:w="1216" w:type="dxa"/>
            <w:tcBorders>
              <w:top w:val="single" w:sz="4" w:space="0" w:color="1F497D" w:themeColor="text2"/>
              <w:left w:val="nil"/>
              <w:right w:val="nil"/>
            </w:tcBorders>
            <w:shd w:val="clear" w:color="auto" w:fill="DBE5F1" w:themeFill="accent1" w:themeFillTint="33"/>
            <w:noWrap/>
            <w:vAlign w:val="center"/>
          </w:tcPr>
          <w:p w:rsidR="00786432" w:rsidRPr="00C82D7C" w:rsidRDefault="00786432" w:rsidP="00786432">
            <w:pPr>
              <w:jc w:val="center"/>
              <w:rPr>
                <w:rFonts w:eastAsia="Times New Roman" w:cs="Calibri"/>
                <w:b/>
                <w:bCs/>
                <w:i/>
                <w:iCs/>
                <w:sz w:val="20"/>
                <w:szCs w:val="20"/>
                <w:lang w:eastAsia="en-AU"/>
              </w:rPr>
            </w:pPr>
          </w:p>
        </w:tc>
      </w:tr>
      <w:tr w:rsidR="00786432" w:rsidRPr="00C82D7C" w:rsidTr="00786432">
        <w:trPr>
          <w:trHeight w:val="315"/>
          <w:jc w:val="center"/>
        </w:trPr>
        <w:tc>
          <w:tcPr>
            <w:tcW w:w="2076" w:type="dxa"/>
            <w:tcBorders>
              <w:left w:val="nil"/>
              <w:bottom w:val="single" w:sz="4" w:space="0" w:color="1F497D" w:themeColor="text2"/>
              <w:right w:val="nil"/>
            </w:tcBorders>
            <w:shd w:val="clear" w:color="000000" w:fill="FFFFFF"/>
            <w:noWrap/>
            <w:vAlign w:val="center"/>
            <w:hideMark/>
          </w:tcPr>
          <w:p w:rsidR="00786432" w:rsidRPr="00786432" w:rsidRDefault="00786432" w:rsidP="00786432">
            <w:pPr>
              <w:rPr>
                <w:rFonts w:eastAsia="Times New Roman" w:cs="Calibri"/>
                <w:bCs/>
                <w:iCs/>
                <w:sz w:val="20"/>
                <w:szCs w:val="20"/>
                <w:lang w:eastAsia="en-AU"/>
              </w:rPr>
            </w:pPr>
            <w:r w:rsidRPr="00786432">
              <w:rPr>
                <w:bCs/>
                <w:iCs/>
                <w:sz w:val="20"/>
                <w:szCs w:val="20"/>
              </w:rPr>
              <w:t>Owners who are vets</w:t>
            </w:r>
          </w:p>
        </w:tc>
        <w:tc>
          <w:tcPr>
            <w:tcW w:w="1216" w:type="dxa"/>
            <w:tcBorders>
              <w:left w:val="nil"/>
              <w:bottom w:val="single" w:sz="4" w:space="0" w:color="1F497D" w:themeColor="text2"/>
              <w:right w:val="nil"/>
            </w:tcBorders>
            <w:shd w:val="clear" w:color="000000" w:fill="FFFFFF"/>
            <w:noWrap/>
            <w:vAlign w:val="center"/>
            <w:hideMark/>
          </w:tcPr>
          <w:p w:rsidR="00786432" w:rsidRPr="00786432" w:rsidRDefault="00786432" w:rsidP="00786432">
            <w:pPr>
              <w:jc w:val="center"/>
              <w:rPr>
                <w:rFonts w:eastAsia="Times New Roman" w:cs="Calibri"/>
                <w:bCs/>
                <w:iCs/>
                <w:sz w:val="20"/>
                <w:szCs w:val="20"/>
                <w:lang w:eastAsia="en-AU"/>
              </w:rPr>
            </w:pPr>
            <w:r w:rsidRPr="00786432">
              <w:rPr>
                <w:bCs/>
                <w:iCs/>
                <w:sz w:val="20"/>
                <w:szCs w:val="20"/>
              </w:rPr>
              <w:t>3</w:t>
            </w:r>
          </w:p>
        </w:tc>
        <w:tc>
          <w:tcPr>
            <w:tcW w:w="1103" w:type="dxa"/>
            <w:tcBorders>
              <w:left w:val="nil"/>
              <w:bottom w:val="single" w:sz="4" w:space="0" w:color="1F497D" w:themeColor="text2"/>
              <w:right w:val="nil"/>
            </w:tcBorders>
            <w:shd w:val="clear" w:color="000000" w:fill="FFFFFF"/>
            <w:vAlign w:val="center"/>
          </w:tcPr>
          <w:p w:rsidR="00786432" w:rsidRPr="00786432" w:rsidRDefault="00786432" w:rsidP="00786432">
            <w:pPr>
              <w:jc w:val="center"/>
              <w:rPr>
                <w:bCs/>
                <w:iCs/>
                <w:sz w:val="20"/>
                <w:szCs w:val="20"/>
              </w:rPr>
            </w:pPr>
            <w:r>
              <w:rPr>
                <w:bCs/>
                <w:iCs/>
                <w:sz w:val="20"/>
                <w:szCs w:val="20"/>
              </w:rPr>
              <w:t>15</w:t>
            </w:r>
          </w:p>
        </w:tc>
        <w:tc>
          <w:tcPr>
            <w:tcW w:w="1216" w:type="dxa"/>
            <w:tcBorders>
              <w:left w:val="nil"/>
              <w:bottom w:val="single" w:sz="4" w:space="0" w:color="1F497D" w:themeColor="text2"/>
              <w:right w:val="nil"/>
            </w:tcBorders>
            <w:shd w:val="clear" w:color="000000" w:fill="FFFFFF"/>
            <w:noWrap/>
            <w:vAlign w:val="center"/>
            <w:hideMark/>
          </w:tcPr>
          <w:p w:rsidR="00786432" w:rsidRPr="00786432" w:rsidRDefault="00786432" w:rsidP="00786432">
            <w:pPr>
              <w:jc w:val="center"/>
              <w:rPr>
                <w:rFonts w:eastAsia="Times New Roman" w:cs="Calibri"/>
                <w:bCs/>
                <w:iCs/>
                <w:sz w:val="20"/>
                <w:szCs w:val="20"/>
                <w:lang w:eastAsia="en-AU"/>
              </w:rPr>
            </w:pPr>
            <w:r w:rsidRPr="00786432">
              <w:rPr>
                <w:bCs/>
                <w:iCs/>
                <w:sz w:val="20"/>
                <w:szCs w:val="20"/>
              </w:rPr>
              <w:t>$320</w:t>
            </w:r>
          </w:p>
        </w:tc>
        <w:tc>
          <w:tcPr>
            <w:tcW w:w="1525" w:type="dxa"/>
            <w:tcBorders>
              <w:left w:val="nil"/>
              <w:bottom w:val="single" w:sz="4" w:space="0" w:color="1F497D" w:themeColor="text2"/>
              <w:right w:val="nil"/>
            </w:tcBorders>
            <w:shd w:val="clear" w:color="000000" w:fill="FFFFFF"/>
            <w:noWrap/>
            <w:vAlign w:val="center"/>
            <w:hideMark/>
          </w:tcPr>
          <w:p w:rsidR="00786432" w:rsidRPr="00786432" w:rsidRDefault="00786432" w:rsidP="00786432">
            <w:pPr>
              <w:jc w:val="center"/>
              <w:rPr>
                <w:rFonts w:eastAsia="Times New Roman" w:cs="Calibri"/>
                <w:bCs/>
                <w:iCs/>
                <w:sz w:val="20"/>
                <w:szCs w:val="20"/>
                <w:lang w:eastAsia="en-AU"/>
              </w:rPr>
            </w:pPr>
            <w:r w:rsidRPr="00786432">
              <w:rPr>
                <w:bCs/>
                <w:iCs/>
                <w:sz w:val="20"/>
                <w:szCs w:val="20"/>
              </w:rPr>
              <w:t>$3,201</w:t>
            </w:r>
          </w:p>
        </w:tc>
        <w:tc>
          <w:tcPr>
            <w:tcW w:w="1216" w:type="dxa"/>
            <w:tcBorders>
              <w:left w:val="nil"/>
              <w:bottom w:val="single" w:sz="4" w:space="0" w:color="1F497D" w:themeColor="text2"/>
              <w:right w:val="nil"/>
            </w:tcBorders>
            <w:shd w:val="clear" w:color="auto" w:fill="DBE5F1" w:themeFill="accent1" w:themeFillTint="33"/>
            <w:noWrap/>
            <w:vAlign w:val="center"/>
            <w:hideMark/>
          </w:tcPr>
          <w:p w:rsidR="00786432" w:rsidRPr="00786432" w:rsidRDefault="00786432" w:rsidP="00786432">
            <w:pPr>
              <w:jc w:val="center"/>
              <w:rPr>
                <w:rFonts w:eastAsia="Times New Roman" w:cs="Calibri"/>
                <w:bCs/>
                <w:iCs/>
                <w:sz w:val="20"/>
                <w:szCs w:val="20"/>
                <w:lang w:eastAsia="en-AU"/>
              </w:rPr>
            </w:pPr>
            <w:r w:rsidRPr="00786432">
              <w:rPr>
                <w:bCs/>
                <w:iCs/>
                <w:sz w:val="20"/>
                <w:szCs w:val="20"/>
              </w:rPr>
              <w:t>$2,701</w:t>
            </w:r>
          </w:p>
        </w:tc>
      </w:tr>
    </w:tbl>
    <w:p w:rsidR="00C100E9" w:rsidRDefault="00C100E9" w:rsidP="00C100E9">
      <w:pPr>
        <w:jc w:val="both"/>
      </w:pPr>
    </w:p>
    <w:p w:rsidR="00A02A54" w:rsidRPr="005F3BA9" w:rsidRDefault="00A02A54" w:rsidP="00A02A54">
      <w:pPr>
        <w:pStyle w:val="Heading2"/>
      </w:pPr>
      <w:bookmarkStart w:id="219" w:name="_Toc469529208"/>
      <w:bookmarkStart w:id="220" w:name="_Toc477190232"/>
      <w:r w:rsidRPr="005F3BA9">
        <w:t>A4.5 – Estimation of costs and dogs affected by proposed standard 4.1 (Health management plans) – Options 1 to 6</w:t>
      </w:r>
      <w:bookmarkEnd w:id="219"/>
      <w:bookmarkEnd w:id="220"/>
    </w:p>
    <w:p w:rsidR="00614F9E" w:rsidRDefault="00614F9E" w:rsidP="00C100E9">
      <w:pPr>
        <w:jc w:val="both"/>
      </w:pPr>
      <w:r>
        <w:t>Under proposed standard 4.1 there would be two types of costs arising from health management plans including one-off veterinary costs and annual veterinarian costs.</w:t>
      </w:r>
    </w:p>
    <w:p w:rsidR="00614F9E" w:rsidRDefault="00614F9E" w:rsidP="00C100E9">
      <w:pPr>
        <w:jc w:val="both"/>
      </w:pPr>
    </w:p>
    <w:p w:rsidR="00C100E9" w:rsidRDefault="00C100E9" w:rsidP="00C100E9">
      <w:pPr>
        <w:jc w:val="both"/>
      </w:pPr>
      <w:r>
        <w:t xml:space="preserve">The </w:t>
      </w:r>
      <w:r w:rsidR="00614F9E">
        <w:t xml:space="preserve">estimation of </w:t>
      </w:r>
      <w:r w:rsidR="00614F9E" w:rsidRPr="001327D9">
        <w:rPr>
          <w:i/>
        </w:rPr>
        <w:t>one-off veterinary costs</w:t>
      </w:r>
      <w:r w:rsidR="00614F9E">
        <w:t xml:space="preserve"> under </w:t>
      </w:r>
      <w:r>
        <w:t>health management plans</w:t>
      </w:r>
      <w:r w:rsidR="009B310A">
        <w:t xml:space="preserve"> in Table A4.8</w:t>
      </w:r>
      <w:r>
        <w:t xml:space="preserve"> uses data from Table 4</w:t>
      </w:r>
      <w:r w:rsidR="00614F9E">
        <w:t xml:space="preserve"> and Table A4.3, as well as,</w:t>
      </w:r>
      <w:r>
        <w:t xml:space="preserve"> 1</w:t>
      </w:r>
      <w:r w:rsidRPr="001327D9">
        <w:rPr>
          <w:vertAlign w:val="superscript"/>
        </w:rPr>
        <w:t>st</w:t>
      </w:r>
      <w:r>
        <w:t xml:space="preserve"> hour charge out rates for veterinarians in Table A3.1 (see Appendix 3) </w:t>
      </w:r>
      <w:r w:rsidR="009B310A">
        <w:t xml:space="preserve">– assumes different size plans (small, medium or large) for different participants (depending on how many dogs they manage) </w:t>
      </w:r>
      <w:r>
        <w:t>and the following formula:</w:t>
      </w:r>
    </w:p>
    <w:p w:rsidR="00C100E9" w:rsidRDefault="00C100E9" w:rsidP="00C100E9">
      <w:pPr>
        <w:jc w:val="both"/>
      </w:pPr>
    </w:p>
    <w:p w:rsidR="00C100E9" w:rsidRPr="000A6D5E" w:rsidRDefault="00614F9E" w:rsidP="00C100E9">
      <w:pPr>
        <w:jc w:val="center"/>
        <w:rPr>
          <w:i/>
          <w:sz w:val="20"/>
        </w:rPr>
      </w:pPr>
      <w:r>
        <w:rPr>
          <w:i/>
          <w:sz w:val="20"/>
        </w:rPr>
        <w:t>{</w:t>
      </w:r>
      <w:r w:rsidR="00C100E9" w:rsidRPr="000A6D5E">
        <w:rPr>
          <w:i/>
          <w:sz w:val="20"/>
        </w:rPr>
        <w:t>0.5hrs x $125/hr x participants with 1 to 5 dogs + 1hr x $125/hr x participants with 6 to 29 dogs + 2hrs x $125/hr x participants with 30 or more dogs</w:t>
      </w:r>
      <w:r w:rsidR="002244B9">
        <w:rPr>
          <w:i/>
          <w:sz w:val="20"/>
        </w:rPr>
        <w:t xml:space="preserve"> (see Table 4)</w:t>
      </w:r>
      <w:r>
        <w:rPr>
          <w:i/>
          <w:sz w:val="20"/>
        </w:rPr>
        <w:t>} x % of</w:t>
      </w:r>
      <w:r w:rsidRPr="00E63EC4">
        <w:rPr>
          <w:i/>
          <w:sz w:val="20"/>
        </w:rPr>
        <w:t xml:space="preserve"> total participants</w:t>
      </w:r>
      <w:r>
        <w:rPr>
          <w:i/>
          <w:sz w:val="20"/>
        </w:rPr>
        <w:t xml:space="preserve"> </w:t>
      </w:r>
      <w:r w:rsidRPr="00E63EC4">
        <w:rPr>
          <w:i/>
          <w:sz w:val="20"/>
        </w:rPr>
        <w:t>affected by behaviour change</w:t>
      </w:r>
      <w:r>
        <w:rPr>
          <w:i/>
          <w:sz w:val="20"/>
        </w:rPr>
        <w:t xml:space="preserve"> (see last column of Table A4.3 for option</w:t>
      </w:r>
      <w:r w:rsidR="00A17D92">
        <w:rPr>
          <w:i/>
          <w:sz w:val="20"/>
        </w:rPr>
        <w:t>s</w:t>
      </w:r>
      <w:r>
        <w:rPr>
          <w:i/>
          <w:sz w:val="20"/>
        </w:rPr>
        <w:t xml:space="preserve"> 1 to 6)</w:t>
      </w:r>
      <w:r w:rsidR="00C100E9" w:rsidRPr="000A6D5E">
        <w:rPr>
          <w:i/>
          <w:sz w:val="20"/>
        </w:rPr>
        <w:t>.</w:t>
      </w:r>
    </w:p>
    <w:p w:rsidR="00C100E9" w:rsidRDefault="00C100E9" w:rsidP="00C100E9">
      <w:pPr>
        <w:jc w:val="both"/>
      </w:pPr>
    </w:p>
    <w:p w:rsidR="00C100E9" w:rsidRDefault="00C100E9" w:rsidP="00C100E9">
      <w:pPr>
        <w:jc w:val="both"/>
      </w:pPr>
      <w:r>
        <w:t xml:space="preserve">The </w:t>
      </w:r>
      <w:r w:rsidRPr="002244B9">
        <w:rPr>
          <w:i/>
        </w:rPr>
        <w:t>annual cost of a veterinarian</w:t>
      </w:r>
      <w:r w:rsidR="002244B9">
        <w:t xml:space="preserve"> under health management plans</w:t>
      </w:r>
      <w:r>
        <w:t xml:space="preserve"> is estimated using the number of participants in each of the categories</w:t>
      </w:r>
      <w:r w:rsidR="002244B9">
        <w:t xml:space="preserve"> (see Table 4); the % of participants affected by behaviour change (See Table A4.2)</w:t>
      </w:r>
      <w:r>
        <w:t xml:space="preserve"> and 15 minutes of time at $120/hr (see Table A3.1 of Appendix 3) and the following formula:</w:t>
      </w:r>
    </w:p>
    <w:p w:rsidR="00C100E9" w:rsidRDefault="00C100E9" w:rsidP="00C100E9">
      <w:pPr>
        <w:jc w:val="center"/>
        <w:rPr>
          <w:b/>
        </w:rPr>
      </w:pPr>
    </w:p>
    <w:p w:rsidR="00C100E9" w:rsidRPr="009E30A8" w:rsidRDefault="002244B9" w:rsidP="00C100E9">
      <w:pPr>
        <w:jc w:val="center"/>
        <w:rPr>
          <w:i/>
          <w:sz w:val="20"/>
        </w:rPr>
      </w:pPr>
      <w:r>
        <w:rPr>
          <w:i/>
          <w:sz w:val="20"/>
        </w:rPr>
        <w:t>{</w:t>
      </w:r>
      <w:r w:rsidR="00C100E9" w:rsidRPr="009E30A8">
        <w:rPr>
          <w:i/>
          <w:sz w:val="20"/>
        </w:rPr>
        <w:t>0.25hrs x $120/hr (participants with 1 to 5 dogs + participants with 6 to 29 dogs + pa</w:t>
      </w:r>
      <w:r>
        <w:rPr>
          <w:i/>
          <w:sz w:val="20"/>
        </w:rPr>
        <w:t>rticipants with 30 or more dogs) (see Table 4)} x</w:t>
      </w:r>
      <w:r w:rsidRPr="002244B9">
        <w:rPr>
          <w:i/>
          <w:sz w:val="20"/>
        </w:rPr>
        <w:t xml:space="preserve"> </w:t>
      </w:r>
      <w:r>
        <w:rPr>
          <w:i/>
          <w:sz w:val="20"/>
        </w:rPr>
        <w:t>% of</w:t>
      </w:r>
      <w:r w:rsidRPr="00E63EC4">
        <w:rPr>
          <w:i/>
          <w:sz w:val="20"/>
        </w:rPr>
        <w:t xml:space="preserve"> total participants</w:t>
      </w:r>
      <w:r>
        <w:rPr>
          <w:i/>
          <w:sz w:val="20"/>
        </w:rPr>
        <w:t xml:space="preserve"> </w:t>
      </w:r>
      <w:r w:rsidRPr="00E63EC4">
        <w:rPr>
          <w:i/>
          <w:sz w:val="20"/>
        </w:rPr>
        <w:t>affected by behaviour change</w:t>
      </w:r>
      <w:r>
        <w:rPr>
          <w:i/>
          <w:sz w:val="20"/>
        </w:rPr>
        <w:t xml:space="preserve"> (see last column of Table A4.3 for each option 1 to 6)</w:t>
      </w:r>
      <w:r w:rsidRPr="000A6D5E">
        <w:rPr>
          <w:i/>
          <w:sz w:val="20"/>
        </w:rPr>
        <w:t>.</w:t>
      </w:r>
    </w:p>
    <w:p w:rsidR="006F6397" w:rsidRDefault="006F6397" w:rsidP="00C100E9">
      <w:pPr>
        <w:jc w:val="both"/>
      </w:pPr>
    </w:p>
    <w:p w:rsidR="00C100E9" w:rsidRDefault="00D07B87" w:rsidP="00C100E9">
      <w:pPr>
        <w:jc w:val="both"/>
      </w:pPr>
      <w:r>
        <w:t xml:space="preserve">The number of dogs affected under each option is estimated </w:t>
      </w:r>
      <w:r w:rsidR="006F6397">
        <w:t>as</w:t>
      </w:r>
      <w:r>
        <w:t xml:space="preserve"> 560 dogs</w:t>
      </w:r>
      <w:r w:rsidR="006F6397">
        <w:t xml:space="preserve"> under Option 1;</w:t>
      </w:r>
      <w:r>
        <w:t xml:space="preserve"> 3,707 dogs </w:t>
      </w:r>
      <w:r w:rsidR="006F6397">
        <w:t>under Option 2;</w:t>
      </w:r>
      <w:r>
        <w:t xml:space="preserve"> 14,185 dogs under Options 3, 5 and 6</w:t>
      </w:r>
      <w:r w:rsidR="006F6397">
        <w:t>;</w:t>
      </w:r>
      <w:r>
        <w:t xml:space="preserve"> and 8,946 dogs under Option 4 and </w:t>
      </w:r>
      <w:r w:rsidR="00A24CBE">
        <w:t>uses data from</w:t>
      </w:r>
      <w:r w:rsidR="00A208E7">
        <w:t xml:space="preserve"> the third column in Table 6</w:t>
      </w:r>
      <w:r w:rsidR="00A24CBE">
        <w:t xml:space="preserve"> and</w:t>
      </w:r>
      <w:r w:rsidR="006F6397">
        <w:t xml:space="preserve"> the</w:t>
      </w:r>
      <w:r w:rsidR="00A24CBE">
        <w:t xml:space="preserve"> </w:t>
      </w:r>
      <w:r w:rsidR="00A208E7">
        <w:t xml:space="preserve">last column in </w:t>
      </w:r>
      <w:r w:rsidR="006F6397">
        <w:t>Table A4.3</w:t>
      </w:r>
      <w:r w:rsidR="00A24CBE">
        <w:t xml:space="preserve"> </w:t>
      </w:r>
      <w:r w:rsidR="00A208E7">
        <w:t>against each o</w:t>
      </w:r>
      <w:r w:rsidR="006F6397">
        <w:t xml:space="preserve">f the category of participants, as well as </w:t>
      </w:r>
      <w:r>
        <w:t>the following formula:</w:t>
      </w:r>
    </w:p>
    <w:p w:rsidR="00D07B87" w:rsidRDefault="00D07B87" w:rsidP="00C100E9">
      <w:pPr>
        <w:jc w:val="both"/>
      </w:pPr>
    </w:p>
    <w:p w:rsidR="009B310A" w:rsidRPr="009E30A8" w:rsidRDefault="00890020" w:rsidP="009B310A">
      <w:pPr>
        <w:jc w:val="center"/>
        <w:rPr>
          <w:i/>
          <w:sz w:val="20"/>
        </w:rPr>
      </w:pPr>
      <w:r>
        <w:rPr>
          <w:i/>
          <w:sz w:val="20"/>
        </w:rPr>
        <w:lastRenderedPageBreak/>
        <w:t xml:space="preserve">Estimated No. dogs affected = </w:t>
      </w:r>
      <w:r w:rsidR="009B310A">
        <w:rPr>
          <w:i/>
          <w:sz w:val="20"/>
        </w:rPr>
        <w:t>{</w:t>
      </w:r>
      <w:r w:rsidR="006F6786" w:rsidRPr="006F6786">
        <w:rPr>
          <w:i/>
          <w:sz w:val="20"/>
        </w:rPr>
        <w:t>Apportionment o</w:t>
      </w:r>
      <w:r w:rsidR="006F6786">
        <w:rPr>
          <w:i/>
          <w:sz w:val="20"/>
        </w:rPr>
        <w:t>f registered greyhounds 2015-16</w:t>
      </w:r>
      <w:r w:rsidR="009B310A">
        <w:rPr>
          <w:i/>
          <w:sz w:val="20"/>
        </w:rPr>
        <w:t>) (see Table 4)} x</w:t>
      </w:r>
      <w:r w:rsidR="009B310A" w:rsidRPr="002244B9">
        <w:rPr>
          <w:i/>
          <w:sz w:val="20"/>
        </w:rPr>
        <w:t xml:space="preserve"> </w:t>
      </w:r>
      <w:r w:rsidR="009B310A">
        <w:rPr>
          <w:i/>
          <w:sz w:val="20"/>
        </w:rPr>
        <w:t>% of</w:t>
      </w:r>
      <w:r w:rsidR="009B310A" w:rsidRPr="00E63EC4">
        <w:rPr>
          <w:i/>
          <w:sz w:val="20"/>
        </w:rPr>
        <w:t xml:space="preserve"> total participants</w:t>
      </w:r>
      <w:r w:rsidR="009B310A">
        <w:rPr>
          <w:i/>
          <w:sz w:val="20"/>
        </w:rPr>
        <w:t xml:space="preserve"> </w:t>
      </w:r>
      <w:r w:rsidR="009B310A" w:rsidRPr="00E63EC4">
        <w:rPr>
          <w:i/>
          <w:sz w:val="20"/>
        </w:rPr>
        <w:t>affected by behaviour change</w:t>
      </w:r>
      <w:r w:rsidR="009B310A">
        <w:rPr>
          <w:i/>
          <w:sz w:val="20"/>
        </w:rPr>
        <w:t xml:space="preserve"> (see last column of Table A4.3 for option</w:t>
      </w:r>
      <w:r w:rsidR="00A17D92">
        <w:rPr>
          <w:i/>
          <w:sz w:val="20"/>
        </w:rPr>
        <w:t>s</w:t>
      </w:r>
      <w:r w:rsidR="009B310A">
        <w:rPr>
          <w:i/>
          <w:sz w:val="20"/>
        </w:rPr>
        <w:t xml:space="preserve"> 1 to 6)</w:t>
      </w:r>
      <w:r w:rsidR="009B310A" w:rsidRPr="000A6D5E">
        <w:rPr>
          <w:i/>
          <w:sz w:val="20"/>
        </w:rPr>
        <w:t>.</w:t>
      </w:r>
    </w:p>
    <w:p w:rsidR="00D07B87" w:rsidRDefault="00D07B87" w:rsidP="00C100E9">
      <w:pPr>
        <w:jc w:val="both"/>
      </w:pPr>
    </w:p>
    <w:p w:rsidR="00C100E9" w:rsidRDefault="009B310A" w:rsidP="00C100E9">
      <w:pPr>
        <w:jc w:val="both"/>
      </w:pPr>
      <w:r>
        <w:t>As shown in table A4.8</w:t>
      </w:r>
      <w:r w:rsidR="00C100E9">
        <w:t xml:space="preserve"> the 10-year additional cost of health management plans under proposed standard 4.1 is estimated to be $</w:t>
      </w:r>
      <w:r>
        <w:t xml:space="preserve">0.67m, $0.94m and $1.39m </w:t>
      </w:r>
      <w:r w:rsidR="00C100E9">
        <w:t>in 2016 dollars</w:t>
      </w:r>
      <w:r>
        <w:t xml:space="preserve"> for Options 1, 2 and 4, respectively</w:t>
      </w:r>
      <w:r w:rsidR="00C100E9">
        <w:t>.</w:t>
      </w:r>
      <w:r w:rsidR="007B521C">
        <w:t xml:space="preserve"> </w:t>
      </w:r>
      <w:r>
        <w:t>Under Options 3, 5 and 6 the incremental costs would be around</w:t>
      </w:r>
      <w:r w:rsidR="009041C3">
        <w:t xml:space="preserve"> $1.84m in present value dollars.</w:t>
      </w:r>
    </w:p>
    <w:p w:rsidR="00C100E9" w:rsidRDefault="00C100E9" w:rsidP="00C100E9">
      <w:pPr>
        <w:jc w:val="both"/>
      </w:pPr>
    </w:p>
    <w:p w:rsidR="00FB5BF1" w:rsidRPr="00D07B87" w:rsidRDefault="00C100E9" w:rsidP="00FB5BF1">
      <w:pPr>
        <w:jc w:val="center"/>
        <w:rPr>
          <w:b/>
          <w:sz w:val="20"/>
          <w:szCs w:val="20"/>
        </w:rPr>
      </w:pPr>
      <w:r w:rsidRPr="00D07B87">
        <w:rPr>
          <w:b/>
          <w:sz w:val="20"/>
          <w:szCs w:val="20"/>
        </w:rPr>
        <w:t>Table A</w:t>
      </w:r>
      <w:r w:rsidR="009B310A">
        <w:rPr>
          <w:b/>
          <w:sz w:val="20"/>
          <w:szCs w:val="20"/>
        </w:rPr>
        <w:t>4.8</w:t>
      </w:r>
      <w:r w:rsidRPr="00D07B87">
        <w:rPr>
          <w:b/>
          <w:sz w:val="20"/>
          <w:szCs w:val="20"/>
        </w:rPr>
        <w:t>: Estimated 10-year additional costs of health management plans for participants</w:t>
      </w:r>
      <w:r w:rsidR="009B310A">
        <w:rPr>
          <w:b/>
          <w:sz w:val="20"/>
          <w:szCs w:val="20"/>
        </w:rPr>
        <w:t xml:space="preserve"> under proposed standard 4.1</w:t>
      </w:r>
      <w:r w:rsidR="00FB5BF1">
        <w:rPr>
          <w:b/>
          <w:sz w:val="20"/>
          <w:szCs w:val="20"/>
        </w:rPr>
        <w:t xml:space="preserve"> – Options 1 to 6</w:t>
      </w:r>
    </w:p>
    <w:p w:rsidR="00C100E9" w:rsidRDefault="00C100E9" w:rsidP="00C100E9">
      <w:pPr>
        <w:jc w:val="both"/>
      </w:pPr>
    </w:p>
    <w:tbl>
      <w:tblPr>
        <w:tblW w:w="9536" w:type="dxa"/>
        <w:jc w:val="center"/>
        <w:tblLook w:val="04A0" w:firstRow="1" w:lastRow="0" w:firstColumn="1" w:lastColumn="0" w:noHBand="0" w:noVBand="1"/>
      </w:tblPr>
      <w:tblGrid>
        <w:gridCol w:w="1560"/>
        <w:gridCol w:w="1207"/>
        <w:gridCol w:w="1344"/>
        <w:gridCol w:w="1207"/>
        <w:gridCol w:w="978"/>
        <w:gridCol w:w="978"/>
        <w:gridCol w:w="1131"/>
        <w:gridCol w:w="1131"/>
      </w:tblGrid>
      <w:tr w:rsidR="00C100E9" w:rsidRPr="00BD28C4" w:rsidTr="001A6795">
        <w:trPr>
          <w:trHeight w:val="540"/>
          <w:tblHeader/>
          <w:jc w:val="center"/>
        </w:trPr>
        <w:tc>
          <w:tcPr>
            <w:tcW w:w="1560"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207" w:type="dxa"/>
            <w:tcBorders>
              <w:top w:val="single" w:sz="4" w:space="0" w:color="1F4E78"/>
              <w:left w:val="nil"/>
              <w:bottom w:val="double" w:sz="6" w:space="0" w:color="1F4E78"/>
              <w:right w:val="nil"/>
            </w:tcBorders>
            <w:shd w:val="clear" w:color="000000" w:fill="FFFFFF"/>
            <w:vAlign w:val="bottom"/>
            <w:hideMark/>
          </w:tcPr>
          <w:p w:rsidR="00C100E9" w:rsidRPr="00BD28C4" w:rsidRDefault="00D07B87"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xml:space="preserve">Estimated No. </w:t>
            </w:r>
            <w:r w:rsidR="00C100E9" w:rsidRPr="00BD28C4">
              <w:rPr>
                <w:rFonts w:eastAsia="Times New Roman" w:cs="Calibri"/>
                <w:b/>
                <w:bCs/>
                <w:color w:val="53565A"/>
                <w:sz w:val="20"/>
                <w:szCs w:val="20"/>
                <w:lang w:eastAsia="en-AU"/>
              </w:rPr>
              <w:t>Participants</w:t>
            </w:r>
            <w:r w:rsidRPr="00BD28C4">
              <w:rPr>
                <w:rFonts w:eastAsia="Times New Roman" w:cs="Calibri"/>
                <w:b/>
                <w:bCs/>
                <w:color w:val="53565A"/>
                <w:sz w:val="20"/>
                <w:szCs w:val="20"/>
                <w:lang w:eastAsia="en-AU"/>
              </w:rPr>
              <w:t xml:space="preserve"> affected</w:t>
            </w:r>
            <w:r w:rsidR="00C100E9" w:rsidRPr="00BD28C4">
              <w:rPr>
                <w:rFonts w:eastAsia="Times New Roman" w:cs="Calibri"/>
                <w:b/>
                <w:bCs/>
                <w:color w:val="53565A"/>
                <w:sz w:val="20"/>
                <w:szCs w:val="20"/>
                <w:lang w:eastAsia="en-AU"/>
              </w:rPr>
              <w:t xml:space="preserve"> with 1 to 5 dogs</w:t>
            </w:r>
          </w:p>
        </w:tc>
        <w:tc>
          <w:tcPr>
            <w:tcW w:w="1344" w:type="dxa"/>
            <w:tcBorders>
              <w:top w:val="single" w:sz="4" w:space="0" w:color="1F4E78"/>
              <w:left w:val="nil"/>
              <w:bottom w:val="double" w:sz="6" w:space="0" w:color="1F4E78"/>
              <w:right w:val="nil"/>
            </w:tcBorders>
            <w:shd w:val="clear" w:color="000000" w:fill="FFFFFF"/>
            <w:vAlign w:val="bottom"/>
            <w:hideMark/>
          </w:tcPr>
          <w:p w:rsidR="00C100E9" w:rsidRPr="00BD28C4" w:rsidRDefault="00D07B87"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xml:space="preserve">Estimated No. </w:t>
            </w:r>
            <w:r w:rsidR="00C100E9" w:rsidRPr="00BD28C4">
              <w:rPr>
                <w:rFonts w:eastAsia="Times New Roman" w:cs="Calibri"/>
                <w:b/>
                <w:bCs/>
                <w:color w:val="53565A"/>
                <w:sz w:val="20"/>
                <w:szCs w:val="20"/>
                <w:lang w:eastAsia="en-AU"/>
              </w:rPr>
              <w:t>Participants</w:t>
            </w:r>
            <w:r w:rsidRPr="00BD28C4">
              <w:rPr>
                <w:rFonts w:eastAsia="Times New Roman" w:cs="Calibri"/>
                <w:b/>
                <w:bCs/>
                <w:color w:val="53565A"/>
                <w:sz w:val="20"/>
                <w:szCs w:val="20"/>
                <w:lang w:eastAsia="en-AU"/>
              </w:rPr>
              <w:t xml:space="preserve"> affected</w:t>
            </w:r>
            <w:r w:rsidR="00C100E9" w:rsidRPr="00BD28C4">
              <w:rPr>
                <w:rFonts w:eastAsia="Times New Roman" w:cs="Calibri"/>
                <w:b/>
                <w:bCs/>
                <w:color w:val="53565A"/>
                <w:sz w:val="20"/>
                <w:szCs w:val="20"/>
                <w:lang w:eastAsia="en-AU"/>
              </w:rPr>
              <w:t xml:space="preserve"> with 6 to 29 dogs</w:t>
            </w:r>
          </w:p>
        </w:tc>
        <w:tc>
          <w:tcPr>
            <w:tcW w:w="1207" w:type="dxa"/>
            <w:tcBorders>
              <w:top w:val="single" w:sz="4" w:space="0" w:color="1F4E78"/>
              <w:left w:val="nil"/>
              <w:bottom w:val="double" w:sz="6" w:space="0" w:color="1F4E78"/>
              <w:right w:val="nil"/>
            </w:tcBorders>
            <w:shd w:val="clear" w:color="000000" w:fill="FFFFFF"/>
            <w:vAlign w:val="bottom"/>
            <w:hideMark/>
          </w:tcPr>
          <w:p w:rsidR="00C100E9" w:rsidRPr="00BD28C4" w:rsidRDefault="00D07B87"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xml:space="preserve">Estimated No. </w:t>
            </w:r>
            <w:r w:rsidR="00C100E9" w:rsidRPr="00BD28C4">
              <w:rPr>
                <w:rFonts w:eastAsia="Times New Roman" w:cs="Calibri"/>
                <w:b/>
                <w:bCs/>
                <w:color w:val="53565A"/>
                <w:sz w:val="20"/>
                <w:szCs w:val="20"/>
                <w:lang w:eastAsia="en-AU"/>
              </w:rPr>
              <w:t>Participants</w:t>
            </w:r>
            <w:r w:rsidRPr="00BD28C4">
              <w:rPr>
                <w:rFonts w:eastAsia="Times New Roman" w:cs="Calibri"/>
                <w:b/>
                <w:bCs/>
                <w:color w:val="53565A"/>
                <w:sz w:val="20"/>
                <w:szCs w:val="20"/>
                <w:lang w:eastAsia="en-AU"/>
              </w:rPr>
              <w:t xml:space="preserve"> affected</w:t>
            </w:r>
            <w:r w:rsidR="00C100E9" w:rsidRPr="00BD28C4">
              <w:rPr>
                <w:rFonts w:eastAsia="Times New Roman" w:cs="Calibri"/>
                <w:b/>
                <w:bCs/>
                <w:color w:val="53565A"/>
                <w:sz w:val="20"/>
                <w:szCs w:val="20"/>
                <w:lang w:eastAsia="en-AU"/>
              </w:rPr>
              <w:t xml:space="preserve"> with 30 or more dogs</w:t>
            </w:r>
          </w:p>
        </w:tc>
        <w:tc>
          <w:tcPr>
            <w:tcW w:w="97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One-off cost of vet</w:t>
            </w:r>
          </w:p>
        </w:tc>
        <w:tc>
          <w:tcPr>
            <w:tcW w:w="97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 of vet</w:t>
            </w:r>
          </w:p>
        </w:tc>
        <w:tc>
          <w:tcPr>
            <w:tcW w:w="1131"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Total 10-year cost</w:t>
            </w:r>
          </w:p>
        </w:tc>
        <w:tc>
          <w:tcPr>
            <w:tcW w:w="1131"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C100E9" w:rsidRPr="00BD28C4" w:rsidTr="001A6795">
        <w:trPr>
          <w:trHeight w:val="540"/>
          <w:jc w:val="center"/>
        </w:trPr>
        <w:tc>
          <w:tcPr>
            <w:tcW w:w="1560" w:type="dxa"/>
            <w:tcBorders>
              <w:top w:val="nil"/>
              <w:left w:val="nil"/>
              <w:bottom w:val="nil"/>
              <w:right w:val="nil"/>
            </w:tcBorders>
            <w:shd w:val="clear" w:color="000000" w:fill="FFFFFF"/>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Time required</w:t>
            </w:r>
          </w:p>
        </w:tc>
        <w:tc>
          <w:tcPr>
            <w:tcW w:w="1207"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Small plan (0.5 hours)</w:t>
            </w:r>
          </w:p>
        </w:tc>
        <w:tc>
          <w:tcPr>
            <w:tcW w:w="1344"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Medium plan (1hour)</w:t>
            </w:r>
          </w:p>
        </w:tc>
        <w:tc>
          <w:tcPr>
            <w:tcW w:w="1207"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Large plan (2hrs)</w:t>
            </w:r>
          </w:p>
        </w:tc>
        <w:tc>
          <w:tcPr>
            <w:tcW w:w="978"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0.5 to 2hrs</w:t>
            </w:r>
          </w:p>
        </w:tc>
        <w:tc>
          <w:tcPr>
            <w:tcW w:w="978"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15 minutes</w:t>
            </w:r>
          </w:p>
        </w:tc>
        <w:tc>
          <w:tcPr>
            <w:tcW w:w="1131" w:type="dxa"/>
            <w:tcBorders>
              <w:top w:val="nil"/>
              <w:left w:val="nil"/>
              <w:bottom w:val="nil"/>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w:t>
            </w:r>
          </w:p>
        </w:tc>
        <w:tc>
          <w:tcPr>
            <w:tcW w:w="1131" w:type="dxa"/>
            <w:tcBorders>
              <w:top w:val="nil"/>
              <w:left w:val="nil"/>
              <w:bottom w:val="nil"/>
              <w:right w:val="nil"/>
            </w:tcBorders>
            <w:shd w:val="clear" w:color="auto" w:fill="DBE5F1" w:themeFill="accent1" w:themeFillTint="33"/>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 </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2244B9" w:rsidRDefault="002244B9" w:rsidP="00973C4B">
            <w:pPr>
              <w:rPr>
                <w:rFonts w:eastAsia="Times New Roman" w:cs="Calibri"/>
                <w:b/>
                <w:sz w:val="20"/>
                <w:szCs w:val="20"/>
                <w:lang w:eastAsia="en-AU"/>
              </w:rPr>
            </w:pPr>
            <w:r w:rsidRPr="002244B9">
              <w:rPr>
                <w:rFonts w:eastAsia="Times New Roman" w:cs="Calibri"/>
                <w:b/>
                <w:sz w:val="20"/>
                <w:szCs w:val="20"/>
                <w:lang w:eastAsia="en-AU"/>
              </w:rPr>
              <w:t>Option 1</w:t>
            </w:r>
          </w:p>
        </w:tc>
        <w:tc>
          <w:tcPr>
            <w:tcW w:w="1207"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344"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207"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nil"/>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973C4B">
            <w:pPr>
              <w:jc w:val="center"/>
              <w:rPr>
                <w:rFonts w:eastAsia="Times New Roman" w:cs="Calibri"/>
                <w:sz w:val="20"/>
                <w:szCs w:val="20"/>
                <w:lang w:eastAsia="en-AU"/>
              </w:rPr>
            </w:pP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9</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169</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$21,704</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$21,380</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$235,504</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$202,051</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trainers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r>
      <w:tr w:rsidR="002244B9" w:rsidRPr="00492E18" w:rsidTr="001A6795">
        <w:trPr>
          <w:trHeight w:val="80"/>
          <w:jc w:val="center"/>
        </w:trPr>
        <w:tc>
          <w:tcPr>
            <w:tcW w:w="1560"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trainers</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33</w:t>
            </w:r>
          </w:p>
        </w:tc>
        <w:tc>
          <w:tcPr>
            <w:tcW w:w="1344"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379</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$49,409</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$49,438</w:t>
            </w:r>
          </w:p>
        </w:tc>
        <w:tc>
          <w:tcPr>
            <w:tcW w:w="1131"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$543,789</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$466,435</w:t>
            </w:r>
          </w:p>
        </w:tc>
      </w:tr>
      <w:tr w:rsidR="002244B9" w:rsidRPr="00492E18" w:rsidTr="001A6795">
        <w:trPr>
          <w:trHeight w:val="70"/>
          <w:jc w:val="center"/>
        </w:trPr>
        <w:tc>
          <w:tcPr>
            <w:tcW w:w="1560"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43</w:t>
            </w:r>
          </w:p>
        </w:tc>
        <w:tc>
          <w:tcPr>
            <w:tcW w:w="1344"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548</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0</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$71,112</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$70,818</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$779,293</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$668,486</w:t>
            </w:r>
          </w:p>
        </w:tc>
      </w:tr>
      <w:tr w:rsidR="002244B9" w:rsidRPr="00492E18" w:rsidTr="001A6795">
        <w:trPr>
          <w:trHeight w:val="70"/>
          <w:jc w:val="center"/>
        </w:trPr>
        <w:tc>
          <w:tcPr>
            <w:tcW w:w="1560" w:type="dxa"/>
            <w:tcBorders>
              <w:top w:val="single" w:sz="4" w:space="0" w:color="1F497D" w:themeColor="text2"/>
              <w:left w:val="nil"/>
              <w:bottom w:val="nil"/>
              <w:right w:val="nil"/>
            </w:tcBorders>
            <w:shd w:val="clear" w:color="000000" w:fill="FFFFFF"/>
            <w:noWrap/>
            <w:vAlign w:val="bottom"/>
          </w:tcPr>
          <w:p w:rsidR="002244B9" w:rsidRPr="002244B9" w:rsidRDefault="002244B9" w:rsidP="00973C4B">
            <w:pPr>
              <w:rPr>
                <w:rFonts w:eastAsia="Times New Roman" w:cs="Calibri"/>
                <w:b/>
                <w:sz w:val="20"/>
                <w:szCs w:val="20"/>
                <w:lang w:eastAsia="en-AU"/>
              </w:rPr>
            </w:pPr>
            <w:r w:rsidRPr="002244B9">
              <w:rPr>
                <w:rFonts w:eastAsia="Times New Roman" w:cs="Calibri"/>
                <w:b/>
                <w:sz w:val="20"/>
                <w:szCs w:val="20"/>
                <w:lang w:eastAsia="en-AU"/>
              </w:rPr>
              <w:t>Option 2</w:t>
            </w: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344"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2244B9" w:rsidRPr="00492E18" w:rsidRDefault="002244B9" w:rsidP="00973C4B">
            <w:pPr>
              <w:jc w:val="center"/>
              <w:rPr>
                <w:rFonts w:eastAsia="Times New Roman" w:cs="Calibri"/>
                <w:sz w:val="20"/>
                <w:szCs w:val="20"/>
                <w:lang w:eastAsia="en-AU"/>
              </w:rPr>
            </w:pP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$1,026</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$582</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$6,846</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$5,935</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58</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173</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$25,319</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$27,806</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$303,382</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$259,875</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trainers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15</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6</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$3,470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$2,562</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$29,091</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$25,082</w:t>
            </w:r>
          </w:p>
        </w:tc>
      </w:tr>
      <w:tr w:rsidR="002244B9" w:rsidRPr="00492E18" w:rsidTr="001A6795">
        <w:trPr>
          <w:trHeight w:val="80"/>
          <w:jc w:val="center"/>
        </w:trPr>
        <w:tc>
          <w:tcPr>
            <w:tcW w:w="1560"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trainers</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202</w:t>
            </w:r>
          </w:p>
        </w:tc>
        <w:tc>
          <w:tcPr>
            <w:tcW w:w="1344"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379</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$59,974</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$69,722</w:t>
            </w:r>
          </w:p>
        </w:tc>
        <w:tc>
          <w:tcPr>
            <w:tcW w:w="1131"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$757,198</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$648,106</w:t>
            </w:r>
          </w:p>
        </w:tc>
      </w:tr>
      <w:tr w:rsidR="002244B9" w:rsidRPr="00492E18" w:rsidTr="001A6795">
        <w:trPr>
          <w:trHeight w:val="70"/>
          <w:jc w:val="center"/>
        </w:trPr>
        <w:tc>
          <w:tcPr>
            <w:tcW w:w="1560"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261</w:t>
            </w:r>
          </w:p>
        </w:tc>
        <w:tc>
          <w:tcPr>
            <w:tcW w:w="1344"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568</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10</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$89,788</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$100,673</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$1,096,517</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$938,998</w:t>
            </w:r>
          </w:p>
        </w:tc>
      </w:tr>
      <w:tr w:rsidR="002244B9" w:rsidRPr="00492E18" w:rsidTr="001A6795">
        <w:trPr>
          <w:trHeight w:val="70"/>
          <w:jc w:val="center"/>
        </w:trPr>
        <w:tc>
          <w:tcPr>
            <w:tcW w:w="1560" w:type="dxa"/>
            <w:tcBorders>
              <w:top w:val="single" w:sz="4" w:space="0" w:color="1F497D" w:themeColor="text2"/>
              <w:left w:val="nil"/>
              <w:bottom w:val="nil"/>
              <w:right w:val="nil"/>
            </w:tcBorders>
            <w:shd w:val="clear" w:color="000000" w:fill="FFFFFF"/>
            <w:noWrap/>
            <w:vAlign w:val="bottom"/>
          </w:tcPr>
          <w:p w:rsidR="002244B9" w:rsidRPr="002244B9" w:rsidRDefault="002244B9" w:rsidP="00973C4B">
            <w:pPr>
              <w:rPr>
                <w:rFonts w:eastAsia="Times New Roman" w:cs="Calibri"/>
                <w:b/>
                <w:sz w:val="20"/>
                <w:szCs w:val="20"/>
                <w:lang w:eastAsia="en-AU"/>
              </w:rPr>
            </w:pPr>
            <w:r w:rsidRPr="002244B9">
              <w:rPr>
                <w:rFonts w:eastAsia="Times New Roman" w:cs="Calibri"/>
                <w:b/>
                <w:sz w:val="20"/>
                <w:szCs w:val="20"/>
                <w:lang w:eastAsia="en-AU"/>
              </w:rPr>
              <w:t>Options 3, 5 and 6</w:t>
            </w: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344"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2244B9" w:rsidRPr="00492E18" w:rsidRDefault="002244B9" w:rsidP="00973C4B">
            <w:pPr>
              <w:jc w:val="center"/>
              <w:rPr>
                <w:rFonts w:eastAsia="Times New Roman" w:cs="Calibri"/>
                <w:sz w:val="20"/>
                <w:szCs w:val="20"/>
                <w:lang w:eastAsia="en-AU"/>
              </w:rPr>
            </w:pP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6</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13</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$3,926</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$2,227</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$26,198</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$22,713</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breeders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223</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188</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$37,422</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$49,319</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$530,613</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$453,445</w:t>
            </w:r>
          </w:p>
        </w:tc>
      </w:tr>
      <w:tr w:rsidR="002244B9" w:rsidRPr="00492E18" w:rsidTr="001A6795">
        <w:trPr>
          <w:trHeight w:val="80"/>
          <w:jc w:val="center"/>
        </w:trPr>
        <w:tc>
          <w:tcPr>
            <w:tcW w:w="1560" w:type="dxa"/>
            <w:tcBorders>
              <w:top w:val="nil"/>
              <w:left w:val="nil"/>
              <w:bottom w:val="nil"/>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Large trainers</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57</w:t>
            </w:r>
          </w:p>
        </w:tc>
        <w:tc>
          <w:tcPr>
            <w:tcW w:w="1207"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25</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$13,277</w:t>
            </w:r>
          </w:p>
        </w:tc>
        <w:tc>
          <w:tcPr>
            <w:tcW w:w="978"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$9,805</w:t>
            </w:r>
          </w:p>
        </w:tc>
        <w:tc>
          <w:tcPr>
            <w:tcW w:w="1131" w:type="dxa"/>
            <w:tcBorders>
              <w:top w:val="nil"/>
              <w:left w:val="nil"/>
              <w:bottom w:val="nil"/>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$111,325</w:t>
            </w:r>
          </w:p>
        </w:tc>
        <w:tc>
          <w:tcPr>
            <w:tcW w:w="1131" w:type="dxa"/>
            <w:tcBorders>
              <w:top w:val="nil"/>
              <w:left w:val="nil"/>
              <w:bottom w:val="nil"/>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$95,984</w:t>
            </w:r>
          </w:p>
        </w:tc>
      </w:tr>
      <w:tr w:rsidR="002244B9" w:rsidRPr="00492E18" w:rsidTr="001A6795">
        <w:trPr>
          <w:trHeight w:val="80"/>
          <w:jc w:val="center"/>
        </w:trPr>
        <w:tc>
          <w:tcPr>
            <w:tcW w:w="1560"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sz w:val="20"/>
                <w:szCs w:val="20"/>
              </w:rPr>
              <w:t>Small trainers</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775</w:t>
            </w:r>
          </w:p>
        </w:tc>
        <w:tc>
          <w:tcPr>
            <w:tcW w:w="1344"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379</w:t>
            </w:r>
          </w:p>
        </w:tc>
        <w:tc>
          <w:tcPr>
            <w:tcW w:w="1207"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0</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$95,744</w:t>
            </w:r>
          </w:p>
        </w:tc>
        <w:tc>
          <w:tcPr>
            <w:tcW w:w="978"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$138,402</w:t>
            </w:r>
          </w:p>
        </w:tc>
        <w:tc>
          <w:tcPr>
            <w:tcW w:w="1131" w:type="dxa"/>
            <w:tcBorders>
              <w:top w:val="nil"/>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sz w:val="20"/>
                <w:szCs w:val="20"/>
              </w:rPr>
              <w:t>$1,479,766</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sz w:val="20"/>
                <w:szCs w:val="20"/>
              </w:rPr>
              <w:t>$1,263,213</w:t>
            </w:r>
          </w:p>
        </w:tc>
      </w:tr>
      <w:tr w:rsidR="002244B9" w:rsidRPr="00492E18" w:rsidTr="001A6795">
        <w:trPr>
          <w:trHeight w:val="70"/>
          <w:jc w:val="center"/>
        </w:trPr>
        <w:tc>
          <w:tcPr>
            <w:tcW w:w="1560"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rPr>
                <w:rFonts w:eastAsia="Times New Roman" w:cs="Calibri"/>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998</w:t>
            </w:r>
          </w:p>
        </w:tc>
        <w:tc>
          <w:tcPr>
            <w:tcW w:w="1344"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629</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37</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$150,370</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$199,753</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$2,147,903</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244B9" w:rsidRPr="00492E18" w:rsidRDefault="002244B9" w:rsidP="002244B9">
            <w:pPr>
              <w:jc w:val="center"/>
              <w:rPr>
                <w:rFonts w:eastAsia="Times New Roman" w:cs="Calibri"/>
                <w:sz w:val="20"/>
                <w:szCs w:val="20"/>
                <w:lang w:eastAsia="en-AU"/>
              </w:rPr>
            </w:pPr>
            <w:r>
              <w:rPr>
                <w:b/>
                <w:bCs/>
                <w:i/>
                <w:iCs/>
                <w:sz w:val="20"/>
                <w:szCs w:val="20"/>
              </w:rPr>
              <w:t>$1,835,355</w:t>
            </w:r>
          </w:p>
        </w:tc>
      </w:tr>
      <w:tr w:rsidR="002244B9" w:rsidRPr="00492E18" w:rsidTr="001A6795">
        <w:trPr>
          <w:trHeight w:val="70"/>
          <w:jc w:val="center"/>
        </w:trPr>
        <w:tc>
          <w:tcPr>
            <w:tcW w:w="1560" w:type="dxa"/>
            <w:tcBorders>
              <w:top w:val="single" w:sz="4" w:space="0" w:color="1F497D" w:themeColor="text2"/>
              <w:left w:val="nil"/>
              <w:bottom w:val="nil"/>
              <w:right w:val="nil"/>
            </w:tcBorders>
            <w:shd w:val="clear" w:color="000000" w:fill="FFFFFF"/>
            <w:noWrap/>
            <w:vAlign w:val="bottom"/>
          </w:tcPr>
          <w:p w:rsidR="002244B9" w:rsidRPr="00492E18" w:rsidRDefault="00C23052" w:rsidP="00973C4B">
            <w:pPr>
              <w:rPr>
                <w:rFonts w:eastAsia="Times New Roman" w:cs="Calibri"/>
                <w:sz w:val="20"/>
                <w:szCs w:val="20"/>
                <w:lang w:eastAsia="en-AU"/>
              </w:rPr>
            </w:pPr>
            <w:r>
              <w:rPr>
                <w:rFonts w:eastAsia="Times New Roman" w:cs="Calibri"/>
                <w:sz w:val="20"/>
                <w:szCs w:val="20"/>
                <w:lang w:eastAsia="en-AU"/>
              </w:rPr>
              <w:t>Option 4</w:t>
            </w: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344"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207"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2244B9" w:rsidRPr="00492E18" w:rsidRDefault="002244B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2244B9" w:rsidRPr="00492E18" w:rsidRDefault="002244B9" w:rsidP="00973C4B">
            <w:pPr>
              <w:jc w:val="center"/>
              <w:rPr>
                <w:rFonts w:eastAsia="Times New Roman" w:cs="Calibri"/>
                <w:sz w:val="20"/>
                <w:szCs w:val="20"/>
                <w:lang w:eastAsia="en-AU"/>
              </w:rPr>
            </w:pPr>
          </w:p>
        </w:tc>
      </w:tr>
      <w:tr w:rsidR="00C23052" w:rsidRPr="00492E18" w:rsidTr="001A6795">
        <w:trPr>
          <w:trHeight w:val="80"/>
          <w:jc w:val="center"/>
        </w:trPr>
        <w:tc>
          <w:tcPr>
            <w:tcW w:w="1560" w:type="dxa"/>
            <w:tcBorders>
              <w:top w:val="nil"/>
              <w:left w:val="nil"/>
              <w:bottom w:val="nil"/>
              <w:right w:val="nil"/>
            </w:tcBorders>
            <w:shd w:val="clear" w:color="000000" w:fill="FFFFFF"/>
            <w:noWrap/>
            <w:vAlign w:val="bottom"/>
          </w:tcPr>
          <w:p w:rsidR="00C23052" w:rsidRPr="00492E18" w:rsidRDefault="00C23052" w:rsidP="00C23052">
            <w:pPr>
              <w:rPr>
                <w:rFonts w:eastAsia="Times New Roman" w:cs="Calibri"/>
                <w:sz w:val="20"/>
                <w:szCs w:val="20"/>
                <w:lang w:eastAsia="en-AU"/>
              </w:rPr>
            </w:pPr>
            <w:r>
              <w:rPr>
                <w:sz w:val="20"/>
                <w:szCs w:val="20"/>
              </w:rPr>
              <w:t>Large breeders</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4</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8</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$2,476</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$1,405</w:t>
            </w:r>
          </w:p>
        </w:tc>
        <w:tc>
          <w:tcPr>
            <w:tcW w:w="1131"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$16,522</w:t>
            </w:r>
          </w:p>
        </w:tc>
        <w:tc>
          <w:tcPr>
            <w:tcW w:w="1131" w:type="dxa"/>
            <w:tcBorders>
              <w:top w:val="nil"/>
              <w:left w:val="nil"/>
              <w:bottom w:val="nil"/>
              <w:right w:val="nil"/>
            </w:tcBorders>
            <w:shd w:val="clear" w:color="auto" w:fill="DBE5F1" w:themeFill="accent1" w:themeFillTint="33"/>
            <w:noWrap/>
            <w:vAlign w:val="bottom"/>
          </w:tcPr>
          <w:p w:rsidR="00C23052" w:rsidRPr="00492E18" w:rsidRDefault="00C23052" w:rsidP="00C23052">
            <w:pPr>
              <w:jc w:val="center"/>
              <w:rPr>
                <w:rFonts w:eastAsia="Times New Roman" w:cs="Calibri"/>
                <w:sz w:val="20"/>
                <w:szCs w:val="20"/>
                <w:lang w:eastAsia="en-AU"/>
              </w:rPr>
            </w:pPr>
            <w:r>
              <w:rPr>
                <w:sz w:val="20"/>
                <w:szCs w:val="20"/>
              </w:rPr>
              <w:t>$14,324</w:t>
            </w:r>
          </w:p>
        </w:tc>
      </w:tr>
      <w:tr w:rsidR="00C23052" w:rsidRPr="00492E18" w:rsidTr="001A6795">
        <w:trPr>
          <w:trHeight w:val="80"/>
          <w:jc w:val="center"/>
        </w:trPr>
        <w:tc>
          <w:tcPr>
            <w:tcW w:w="1560" w:type="dxa"/>
            <w:tcBorders>
              <w:top w:val="nil"/>
              <w:left w:val="nil"/>
              <w:bottom w:val="nil"/>
              <w:right w:val="nil"/>
            </w:tcBorders>
            <w:shd w:val="clear" w:color="000000" w:fill="FFFFFF"/>
            <w:noWrap/>
            <w:vAlign w:val="bottom"/>
          </w:tcPr>
          <w:p w:rsidR="00C23052" w:rsidRPr="00492E18" w:rsidRDefault="00C23052" w:rsidP="00C23052">
            <w:pPr>
              <w:rPr>
                <w:rFonts w:eastAsia="Times New Roman" w:cs="Calibri"/>
                <w:sz w:val="20"/>
                <w:szCs w:val="20"/>
                <w:lang w:eastAsia="en-AU"/>
              </w:rPr>
            </w:pPr>
            <w:r>
              <w:rPr>
                <w:sz w:val="20"/>
                <w:szCs w:val="20"/>
              </w:rPr>
              <w:t>Small breeders</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141</w:t>
            </w:r>
          </w:p>
        </w:tc>
        <w:tc>
          <w:tcPr>
            <w:tcW w:w="1344"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181</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0</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$31,370</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$38,562</w:t>
            </w:r>
          </w:p>
        </w:tc>
        <w:tc>
          <w:tcPr>
            <w:tcW w:w="1131"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$416,993</w:t>
            </w:r>
          </w:p>
        </w:tc>
        <w:tc>
          <w:tcPr>
            <w:tcW w:w="1131" w:type="dxa"/>
            <w:tcBorders>
              <w:top w:val="nil"/>
              <w:left w:val="nil"/>
              <w:bottom w:val="nil"/>
              <w:right w:val="nil"/>
            </w:tcBorders>
            <w:shd w:val="clear" w:color="auto" w:fill="DBE5F1" w:themeFill="accent1" w:themeFillTint="33"/>
            <w:noWrap/>
            <w:vAlign w:val="bottom"/>
          </w:tcPr>
          <w:p w:rsidR="00C23052" w:rsidRPr="00492E18" w:rsidRDefault="00C23052" w:rsidP="00C23052">
            <w:pPr>
              <w:jc w:val="center"/>
              <w:rPr>
                <w:rFonts w:eastAsia="Times New Roman" w:cs="Calibri"/>
                <w:sz w:val="20"/>
                <w:szCs w:val="20"/>
                <w:lang w:eastAsia="en-AU"/>
              </w:rPr>
            </w:pPr>
            <w:r>
              <w:rPr>
                <w:sz w:val="20"/>
                <w:szCs w:val="20"/>
              </w:rPr>
              <w:t>$356,656</w:t>
            </w:r>
          </w:p>
        </w:tc>
      </w:tr>
      <w:tr w:rsidR="00C23052" w:rsidRPr="00492E18" w:rsidTr="001A6795">
        <w:trPr>
          <w:trHeight w:val="80"/>
          <w:jc w:val="center"/>
        </w:trPr>
        <w:tc>
          <w:tcPr>
            <w:tcW w:w="1560" w:type="dxa"/>
            <w:tcBorders>
              <w:top w:val="nil"/>
              <w:left w:val="nil"/>
              <w:bottom w:val="nil"/>
              <w:right w:val="nil"/>
            </w:tcBorders>
            <w:shd w:val="clear" w:color="000000" w:fill="FFFFFF"/>
            <w:noWrap/>
            <w:vAlign w:val="bottom"/>
          </w:tcPr>
          <w:p w:rsidR="00C23052" w:rsidRPr="00492E18" w:rsidRDefault="00C23052" w:rsidP="00C23052">
            <w:pPr>
              <w:rPr>
                <w:rFonts w:eastAsia="Times New Roman" w:cs="Calibri"/>
                <w:sz w:val="20"/>
                <w:szCs w:val="20"/>
                <w:lang w:eastAsia="en-AU"/>
              </w:rPr>
            </w:pPr>
            <w:r>
              <w:rPr>
                <w:sz w:val="20"/>
                <w:szCs w:val="20"/>
              </w:rPr>
              <w:t>Large trainers</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0</w:t>
            </w:r>
          </w:p>
        </w:tc>
        <w:tc>
          <w:tcPr>
            <w:tcW w:w="1344"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36</w:t>
            </w:r>
          </w:p>
        </w:tc>
        <w:tc>
          <w:tcPr>
            <w:tcW w:w="1207"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15</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$8,373</w:t>
            </w:r>
          </w:p>
        </w:tc>
        <w:tc>
          <w:tcPr>
            <w:tcW w:w="978"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$6,183</w:t>
            </w:r>
          </w:p>
        </w:tc>
        <w:tc>
          <w:tcPr>
            <w:tcW w:w="1131" w:type="dxa"/>
            <w:tcBorders>
              <w:top w:val="nil"/>
              <w:left w:val="nil"/>
              <w:bottom w:val="nil"/>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$70,206</w:t>
            </w:r>
          </w:p>
        </w:tc>
        <w:tc>
          <w:tcPr>
            <w:tcW w:w="1131" w:type="dxa"/>
            <w:tcBorders>
              <w:top w:val="nil"/>
              <w:left w:val="nil"/>
              <w:bottom w:val="nil"/>
              <w:right w:val="nil"/>
            </w:tcBorders>
            <w:shd w:val="clear" w:color="auto" w:fill="DBE5F1" w:themeFill="accent1" w:themeFillTint="33"/>
            <w:noWrap/>
            <w:vAlign w:val="bottom"/>
          </w:tcPr>
          <w:p w:rsidR="00C23052" w:rsidRPr="00492E18" w:rsidRDefault="00C23052" w:rsidP="00C23052">
            <w:pPr>
              <w:jc w:val="center"/>
              <w:rPr>
                <w:rFonts w:eastAsia="Times New Roman" w:cs="Calibri"/>
                <w:sz w:val="20"/>
                <w:szCs w:val="20"/>
                <w:lang w:eastAsia="en-AU"/>
              </w:rPr>
            </w:pPr>
            <w:r>
              <w:rPr>
                <w:sz w:val="20"/>
                <w:szCs w:val="20"/>
              </w:rPr>
              <w:t>$60,531</w:t>
            </w:r>
          </w:p>
        </w:tc>
      </w:tr>
      <w:tr w:rsidR="00C23052" w:rsidRPr="00492E18" w:rsidTr="001A6795">
        <w:trPr>
          <w:trHeight w:val="80"/>
          <w:jc w:val="center"/>
        </w:trPr>
        <w:tc>
          <w:tcPr>
            <w:tcW w:w="1560"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rPr>
                <w:rFonts w:eastAsia="Times New Roman" w:cs="Calibri"/>
                <w:sz w:val="20"/>
                <w:szCs w:val="20"/>
                <w:lang w:eastAsia="en-AU"/>
              </w:rPr>
            </w:pPr>
            <w:r>
              <w:rPr>
                <w:sz w:val="20"/>
                <w:szCs w:val="20"/>
              </w:rPr>
              <w:t>Small trainers</w:t>
            </w:r>
          </w:p>
        </w:tc>
        <w:tc>
          <w:tcPr>
            <w:tcW w:w="1207"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489</w:t>
            </w:r>
          </w:p>
        </w:tc>
        <w:tc>
          <w:tcPr>
            <w:tcW w:w="1344"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379</w:t>
            </w:r>
          </w:p>
        </w:tc>
        <w:tc>
          <w:tcPr>
            <w:tcW w:w="1207"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0</w:t>
            </w:r>
          </w:p>
        </w:tc>
        <w:tc>
          <w:tcPr>
            <w:tcW w:w="978"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$77,858</w:t>
            </w:r>
          </w:p>
        </w:tc>
        <w:tc>
          <w:tcPr>
            <w:tcW w:w="978"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$104,061</w:t>
            </w:r>
          </w:p>
        </w:tc>
        <w:tc>
          <w:tcPr>
            <w:tcW w:w="1131" w:type="dxa"/>
            <w:tcBorders>
              <w:top w:val="nil"/>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sz w:val="20"/>
                <w:szCs w:val="20"/>
              </w:rPr>
              <w:t>$1,118,467</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C23052" w:rsidRPr="00492E18" w:rsidRDefault="00C23052" w:rsidP="00C23052">
            <w:pPr>
              <w:jc w:val="center"/>
              <w:rPr>
                <w:rFonts w:eastAsia="Times New Roman" w:cs="Calibri"/>
                <w:sz w:val="20"/>
                <w:szCs w:val="20"/>
                <w:lang w:eastAsia="en-AU"/>
              </w:rPr>
            </w:pPr>
            <w:r>
              <w:rPr>
                <w:sz w:val="20"/>
                <w:szCs w:val="20"/>
              </w:rPr>
              <w:t>$955,646</w:t>
            </w:r>
          </w:p>
        </w:tc>
      </w:tr>
      <w:tr w:rsidR="00C23052" w:rsidRPr="00492E18" w:rsidTr="001A6795">
        <w:trPr>
          <w:trHeight w:val="70"/>
          <w:jc w:val="center"/>
        </w:trPr>
        <w:tc>
          <w:tcPr>
            <w:tcW w:w="1560"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rPr>
                <w:rFonts w:eastAsia="Times New Roman" w:cs="Calibri"/>
                <w:sz w:val="20"/>
                <w:szCs w:val="20"/>
                <w:lang w:eastAsia="en-AU"/>
              </w:rPr>
            </w:pPr>
            <w:r>
              <w:rPr>
                <w:b/>
                <w:bCs/>
                <w:i/>
                <w:iCs/>
                <w:sz w:val="20"/>
                <w:szCs w:val="20"/>
              </w:rPr>
              <w:t>Total</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629</w:t>
            </w:r>
          </w:p>
        </w:tc>
        <w:tc>
          <w:tcPr>
            <w:tcW w:w="1344"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599</w:t>
            </w:r>
          </w:p>
        </w:tc>
        <w:tc>
          <w:tcPr>
            <w:tcW w:w="1207"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24</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$120,078</w:t>
            </w:r>
          </w:p>
        </w:tc>
        <w:tc>
          <w:tcPr>
            <w:tcW w:w="978"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$150,211</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$1,622,188</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23052" w:rsidRPr="00492E18" w:rsidRDefault="00C23052" w:rsidP="00C23052">
            <w:pPr>
              <w:jc w:val="center"/>
              <w:rPr>
                <w:rFonts w:eastAsia="Times New Roman" w:cs="Calibri"/>
                <w:sz w:val="20"/>
                <w:szCs w:val="20"/>
                <w:lang w:eastAsia="en-AU"/>
              </w:rPr>
            </w:pPr>
            <w:r>
              <w:rPr>
                <w:b/>
                <w:bCs/>
                <w:i/>
                <w:iCs/>
                <w:sz w:val="20"/>
                <w:szCs w:val="20"/>
              </w:rPr>
              <w:t>$1,387,157</w:t>
            </w:r>
          </w:p>
        </w:tc>
      </w:tr>
    </w:tbl>
    <w:p w:rsidR="00C100E9" w:rsidRDefault="00C100E9" w:rsidP="00C100E9">
      <w:pPr>
        <w:jc w:val="both"/>
      </w:pPr>
    </w:p>
    <w:p w:rsidR="004506D7" w:rsidRDefault="004506D7">
      <w:pPr>
        <w:rPr>
          <w:rFonts w:asciiTheme="majorHAnsi" w:eastAsiaTheme="majorEastAsia" w:hAnsiTheme="majorHAnsi" w:cstheme="majorBidi"/>
          <w:b/>
          <w:color w:val="365F91" w:themeColor="accent1" w:themeShade="BF"/>
          <w:sz w:val="26"/>
          <w:szCs w:val="26"/>
        </w:rPr>
      </w:pPr>
      <w:r>
        <w:br w:type="page"/>
      </w:r>
    </w:p>
    <w:p w:rsidR="00971C9E" w:rsidRPr="005F3BA9" w:rsidRDefault="00971C9E" w:rsidP="00971C9E">
      <w:pPr>
        <w:pStyle w:val="Heading2"/>
      </w:pPr>
      <w:bookmarkStart w:id="221" w:name="_Toc469529209"/>
      <w:bookmarkStart w:id="222" w:name="_Toc477190233"/>
      <w:r w:rsidRPr="005F3BA9">
        <w:lastRenderedPageBreak/>
        <w:t>A4.6 – Estimation of costs and dogs affected by proposed standard 5 (Record keeping) – Options 1 to 6</w:t>
      </w:r>
      <w:bookmarkEnd w:id="221"/>
      <w:bookmarkEnd w:id="222"/>
    </w:p>
    <w:p w:rsidR="00DA6084" w:rsidRDefault="00DA6084" w:rsidP="00C100E9">
      <w:pPr>
        <w:jc w:val="both"/>
      </w:pPr>
      <w:r>
        <w:t>Under proposed standard 5, a participant would need to ensure that establishment records are kept (stored) for a period of no less than 12 months after a greyhound has left the property.</w:t>
      </w:r>
    </w:p>
    <w:p w:rsidR="00DA6084" w:rsidRDefault="00DA6084" w:rsidP="00C100E9">
      <w:pPr>
        <w:jc w:val="both"/>
      </w:pPr>
    </w:p>
    <w:p w:rsidR="00DA6084" w:rsidRDefault="00C100E9" w:rsidP="00DA6084">
      <w:pPr>
        <w:jc w:val="both"/>
      </w:pPr>
      <w:r>
        <w:t xml:space="preserve">The estimated number of dogs affected under proposed standard 5 is estimated using the product of the number of dogs apportioned to each category of participant (see Table 6) </w:t>
      </w:r>
      <w:r w:rsidR="00DA6084">
        <w:t>and the last column in Table A4.3 against each of the category of participants, as well as the following formula:</w:t>
      </w:r>
    </w:p>
    <w:p w:rsidR="00DA6084" w:rsidRDefault="00DA6084" w:rsidP="00DA6084">
      <w:pPr>
        <w:jc w:val="both"/>
      </w:pPr>
    </w:p>
    <w:p w:rsidR="00DA6084" w:rsidRPr="009E30A8" w:rsidRDefault="006F6786" w:rsidP="00DA6084">
      <w:pPr>
        <w:jc w:val="center"/>
        <w:rPr>
          <w:i/>
          <w:sz w:val="20"/>
        </w:rPr>
      </w:pPr>
      <w:r>
        <w:rPr>
          <w:i/>
          <w:sz w:val="20"/>
        </w:rPr>
        <w:t xml:space="preserve">Estimated No. dogs affected = </w:t>
      </w:r>
      <w:r w:rsidR="00DA6084">
        <w:rPr>
          <w:i/>
          <w:sz w:val="20"/>
        </w:rPr>
        <w:t>{</w:t>
      </w:r>
      <w:r w:rsidRPr="006F6786">
        <w:rPr>
          <w:i/>
          <w:sz w:val="20"/>
        </w:rPr>
        <w:t>Apportionment o</w:t>
      </w:r>
      <w:r>
        <w:rPr>
          <w:i/>
          <w:sz w:val="20"/>
        </w:rPr>
        <w:t>f registered greyhounds 2015-16</w:t>
      </w:r>
      <w:r w:rsidR="00DA6084">
        <w:rPr>
          <w:i/>
          <w:sz w:val="20"/>
        </w:rPr>
        <w:t>) (see Table 4)} x</w:t>
      </w:r>
      <w:r w:rsidR="00DA6084" w:rsidRPr="002244B9">
        <w:rPr>
          <w:i/>
          <w:sz w:val="20"/>
        </w:rPr>
        <w:t xml:space="preserve"> </w:t>
      </w:r>
      <w:r w:rsidR="00DA6084">
        <w:rPr>
          <w:i/>
          <w:sz w:val="20"/>
        </w:rPr>
        <w:t>% of</w:t>
      </w:r>
      <w:r w:rsidR="00DA6084" w:rsidRPr="00E63EC4">
        <w:rPr>
          <w:i/>
          <w:sz w:val="20"/>
        </w:rPr>
        <w:t xml:space="preserve"> total participants</w:t>
      </w:r>
      <w:r w:rsidR="00DA6084">
        <w:rPr>
          <w:i/>
          <w:sz w:val="20"/>
        </w:rPr>
        <w:t xml:space="preserve"> </w:t>
      </w:r>
      <w:r w:rsidR="00DA6084" w:rsidRPr="00E63EC4">
        <w:rPr>
          <w:i/>
          <w:sz w:val="20"/>
        </w:rPr>
        <w:t>affected by behaviour change</w:t>
      </w:r>
      <w:r w:rsidR="00DA6084">
        <w:rPr>
          <w:i/>
          <w:sz w:val="20"/>
        </w:rPr>
        <w:t xml:space="preserve"> (see las</w:t>
      </w:r>
      <w:r w:rsidR="00A17D92">
        <w:rPr>
          <w:i/>
          <w:sz w:val="20"/>
        </w:rPr>
        <w:t xml:space="preserve">t column of Table A4.3 for </w:t>
      </w:r>
      <w:r w:rsidR="00DA6084">
        <w:rPr>
          <w:i/>
          <w:sz w:val="20"/>
        </w:rPr>
        <w:t>option</w:t>
      </w:r>
      <w:r w:rsidR="00A17D92">
        <w:rPr>
          <w:i/>
          <w:sz w:val="20"/>
        </w:rPr>
        <w:t>s</w:t>
      </w:r>
      <w:r w:rsidR="00DA6084">
        <w:rPr>
          <w:i/>
          <w:sz w:val="20"/>
        </w:rPr>
        <w:t xml:space="preserve"> 1 to 6)</w:t>
      </w:r>
      <w:r w:rsidR="00DA6084" w:rsidRPr="000A6D5E">
        <w:rPr>
          <w:i/>
          <w:sz w:val="20"/>
        </w:rPr>
        <w:t>.</w:t>
      </w:r>
    </w:p>
    <w:p w:rsidR="00DA6084" w:rsidRDefault="00DA6084" w:rsidP="00C100E9">
      <w:pPr>
        <w:jc w:val="both"/>
      </w:pPr>
    </w:p>
    <w:p w:rsidR="00C100E9" w:rsidRDefault="00C100E9" w:rsidP="00C100E9">
      <w:pPr>
        <w:jc w:val="both"/>
      </w:pPr>
      <w:r>
        <w:t>The annual cost assumes 5 minutes of record keeping per dog affected at an hourly charge rate of $68.13 for an operations manager (see Tab</w:t>
      </w:r>
      <w:r w:rsidR="00BC7FAE">
        <w:t xml:space="preserve">le A3.1 of Appendix 3). </w:t>
      </w:r>
      <w:r>
        <w:t>The 10-year additional cost of record keeping for participants under proposed sta</w:t>
      </w:r>
      <w:r w:rsidR="00BC7FAE">
        <w:t>ndard 5 is estimated to be $0.68</w:t>
      </w:r>
      <w:r>
        <w:t xml:space="preserve">m </w:t>
      </w:r>
      <w:r w:rsidR="00BC7FAE">
        <w:t xml:space="preserve">for Options 3, 5 and 6, $0.03m for Option 1; </w:t>
      </w:r>
      <w:r w:rsidR="00EA6906">
        <w:t>$</w:t>
      </w:r>
      <w:r w:rsidR="00BC7FAE">
        <w:t>0.18m for Option 2 and $0.43m for Option 4 –</w:t>
      </w:r>
      <w:r w:rsidR="00BC7FAE" w:rsidRPr="00BC7FAE">
        <w:t xml:space="preserve"> </w:t>
      </w:r>
      <w:r w:rsidR="00BC7FAE">
        <w:t>in 2016 dollars, as shown in Table A4.9</w:t>
      </w:r>
      <w:r>
        <w:t>.</w:t>
      </w:r>
    </w:p>
    <w:p w:rsidR="00C100E9" w:rsidRDefault="00C100E9" w:rsidP="00C100E9">
      <w:pPr>
        <w:jc w:val="both"/>
      </w:pPr>
    </w:p>
    <w:p w:rsidR="00C100E9" w:rsidRPr="00ED02F7" w:rsidRDefault="00C100E9" w:rsidP="00C100E9">
      <w:pPr>
        <w:jc w:val="center"/>
        <w:rPr>
          <w:b/>
          <w:sz w:val="20"/>
        </w:rPr>
      </w:pPr>
      <w:r w:rsidRPr="00ED02F7">
        <w:rPr>
          <w:b/>
          <w:sz w:val="20"/>
        </w:rPr>
        <w:t>Table A</w:t>
      </w:r>
      <w:r w:rsidR="00BC7FAE">
        <w:rPr>
          <w:b/>
          <w:sz w:val="20"/>
        </w:rPr>
        <w:t>4.9</w:t>
      </w:r>
      <w:r w:rsidRPr="00ED02F7">
        <w:rPr>
          <w:b/>
          <w:sz w:val="20"/>
        </w:rPr>
        <w:t>: Estimated 10-year additional costs of record keeping for participants</w:t>
      </w:r>
      <w:r w:rsidR="00ED02F7" w:rsidRPr="00ED02F7">
        <w:rPr>
          <w:b/>
          <w:sz w:val="20"/>
        </w:rPr>
        <w:t xml:space="preserve"> under proposed standard 5 – Options 1 to 6</w:t>
      </w:r>
    </w:p>
    <w:p w:rsidR="00C100E9" w:rsidRDefault="00C100E9" w:rsidP="00C100E9">
      <w:pPr>
        <w:jc w:val="both"/>
      </w:pPr>
    </w:p>
    <w:tbl>
      <w:tblPr>
        <w:tblW w:w="7938" w:type="dxa"/>
        <w:jc w:val="center"/>
        <w:tblLook w:val="04A0" w:firstRow="1" w:lastRow="0" w:firstColumn="1" w:lastColumn="0" w:noHBand="0" w:noVBand="1"/>
      </w:tblPr>
      <w:tblGrid>
        <w:gridCol w:w="2236"/>
        <w:gridCol w:w="1816"/>
        <w:gridCol w:w="1076"/>
        <w:gridCol w:w="1656"/>
        <w:gridCol w:w="1154"/>
      </w:tblGrid>
      <w:tr w:rsidR="00C100E9" w:rsidRPr="00BD28C4" w:rsidTr="00A17D92">
        <w:trPr>
          <w:trHeight w:val="540"/>
          <w:tblHeader/>
          <w:jc w:val="center"/>
        </w:trPr>
        <w:tc>
          <w:tcPr>
            <w:tcW w:w="223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883A27">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w:t>
            </w:r>
          </w:p>
        </w:tc>
        <w:tc>
          <w:tcPr>
            <w:tcW w:w="1816"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883A2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07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883A2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65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883A2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154"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883A27">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ED02F7" w:rsidRPr="00431853" w:rsidTr="00A17D92">
        <w:trPr>
          <w:trHeight w:val="35"/>
          <w:jc w:val="center"/>
        </w:trPr>
        <w:tc>
          <w:tcPr>
            <w:tcW w:w="2236" w:type="dxa"/>
            <w:tcBorders>
              <w:top w:val="nil"/>
              <w:left w:val="nil"/>
              <w:bottom w:val="nil"/>
              <w:right w:val="nil"/>
            </w:tcBorders>
            <w:shd w:val="clear" w:color="000000" w:fill="FFFFFF"/>
            <w:noWrap/>
            <w:vAlign w:val="bottom"/>
          </w:tcPr>
          <w:p w:rsidR="00ED02F7" w:rsidRPr="00883A27" w:rsidRDefault="00ED02F7" w:rsidP="00883A27">
            <w:pPr>
              <w:rPr>
                <w:rFonts w:eastAsia="Times New Roman" w:cs="Calibri"/>
                <w:b/>
                <w:sz w:val="20"/>
                <w:szCs w:val="20"/>
                <w:lang w:eastAsia="en-AU"/>
              </w:rPr>
            </w:pPr>
            <w:r w:rsidRPr="00883A27">
              <w:rPr>
                <w:rFonts w:eastAsia="Times New Roman" w:cs="Calibri"/>
                <w:b/>
                <w:sz w:val="20"/>
                <w:szCs w:val="20"/>
                <w:lang w:eastAsia="en-AU"/>
              </w:rPr>
              <w:t>Option 1</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223</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$1,263</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$12,633</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$10,657</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$0</w:t>
            </w:r>
          </w:p>
        </w:tc>
      </w:tr>
      <w:tr w:rsidR="00ED02F7"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338</w:t>
            </w:r>
          </w:p>
        </w:tc>
        <w:tc>
          <w:tcPr>
            <w:tcW w:w="107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$1,918</w:t>
            </w:r>
          </w:p>
        </w:tc>
        <w:tc>
          <w:tcPr>
            <w:tcW w:w="165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$19,175</w:t>
            </w:r>
          </w:p>
        </w:tc>
        <w:tc>
          <w:tcPr>
            <w:tcW w:w="1154" w:type="dxa"/>
            <w:tcBorders>
              <w:top w:val="nil"/>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$16,175</w:t>
            </w:r>
          </w:p>
        </w:tc>
      </w:tr>
      <w:tr w:rsidR="00ED02F7" w:rsidRPr="00431853" w:rsidTr="00A17D92">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560</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$3,181</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$31,809</w:t>
            </w:r>
          </w:p>
        </w:tc>
        <w:tc>
          <w:tcPr>
            <w:tcW w:w="115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$26,832</w:t>
            </w:r>
          </w:p>
        </w:tc>
      </w:tr>
      <w:tr w:rsidR="00ED02F7"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ED02F7" w:rsidRPr="00883A27" w:rsidRDefault="00ED02F7" w:rsidP="00883A27">
            <w:pPr>
              <w:rPr>
                <w:rFonts w:eastAsia="Times New Roman" w:cs="Calibri"/>
                <w:b/>
                <w:sz w:val="20"/>
                <w:szCs w:val="20"/>
                <w:lang w:eastAsia="en-AU"/>
              </w:rPr>
            </w:pPr>
            <w:r w:rsidRPr="00883A27">
              <w:rPr>
                <w:rFonts w:eastAsia="Times New Roman" w:cs="Calibri"/>
                <w:b/>
                <w:sz w:val="20"/>
                <w:szCs w:val="20"/>
                <w:lang w:eastAsia="en-AU"/>
              </w:rPr>
              <w:t>Option 2</w:t>
            </w:r>
          </w:p>
        </w:tc>
        <w:tc>
          <w:tcPr>
            <w:tcW w:w="181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154" w:type="dxa"/>
            <w:tcBorders>
              <w:top w:val="single" w:sz="4" w:space="0" w:color="1F497D" w:themeColor="text2"/>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71</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$405</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$4,052</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$3,418</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1,430</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$8,121</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$81,210</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$68,503</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159</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$905</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$9,049</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$7,633</w:t>
            </w:r>
          </w:p>
        </w:tc>
      </w:tr>
      <w:tr w:rsidR="00ED02F7"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2,046</w:t>
            </w:r>
          </w:p>
        </w:tc>
        <w:tc>
          <w:tcPr>
            <w:tcW w:w="107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$11,614</w:t>
            </w:r>
          </w:p>
        </w:tc>
        <w:tc>
          <w:tcPr>
            <w:tcW w:w="165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$116,144</w:t>
            </w:r>
          </w:p>
        </w:tc>
        <w:tc>
          <w:tcPr>
            <w:tcW w:w="1154" w:type="dxa"/>
            <w:tcBorders>
              <w:top w:val="nil"/>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$97,971</w:t>
            </w:r>
          </w:p>
        </w:tc>
      </w:tr>
      <w:tr w:rsidR="00ED02F7" w:rsidRPr="00431853" w:rsidTr="00A17D92">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3,707</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$21,046</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$210,455</w:t>
            </w:r>
          </w:p>
        </w:tc>
        <w:tc>
          <w:tcPr>
            <w:tcW w:w="115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$177,526</w:t>
            </w:r>
          </w:p>
        </w:tc>
      </w:tr>
      <w:tr w:rsidR="00ED02F7"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ED02F7" w:rsidRPr="00883A27" w:rsidRDefault="00ED02F7" w:rsidP="00883A27">
            <w:pPr>
              <w:rPr>
                <w:rFonts w:eastAsia="Times New Roman" w:cs="Calibri"/>
                <w:b/>
                <w:sz w:val="20"/>
                <w:szCs w:val="20"/>
                <w:lang w:eastAsia="en-AU"/>
              </w:rPr>
            </w:pPr>
            <w:r w:rsidRPr="00883A27">
              <w:rPr>
                <w:rFonts w:eastAsia="Times New Roman" w:cs="Calibri"/>
                <w:b/>
                <w:sz w:val="20"/>
                <w:szCs w:val="20"/>
                <w:lang w:eastAsia="en-AU"/>
              </w:rPr>
              <w:t>Options 3, 5 and 6</w:t>
            </w:r>
          </w:p>
        </w:tc>
        <w:tc>
          <w:tcPr>
            <w:tcW w:w="181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154" w:type="dxa"/>
            <w:tcBorders>
              <w:top w:val="single" w:sz="4" w:space="0" w:color="1F497D" w:themeColor="text2"/>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273</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$1,551</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$15,508</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$13,082</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5,474</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$31,078</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$310,776</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$262,150</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610</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$3,463</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$34,629</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$29,211</w:t>
            </w:r>
          </w:p>
        </w:tc>
      </w:tr>
      <w:tr w:rsidR="00ED02F7"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7,828</w:t>
            </w:r>
          </w:p>
        </w:tc>
        <w:tc>
          <w:tcPr>
            <w:tcW w:w="107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$44,446</w:t>
            </w:r>
          </w:p>
        </w:tc>
        <w:tc>
          <w:tcPr>
            <w:tcW w:w="165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$444,465</w:t>
            </w:r>
          </w:p>
        </w:tc>
        <w:tc>
          <w:tcPr>
            <w:tcW w:w="1154" w:type="dxa"/>
            <w:tcBorders>
              <w:top w:val="nil"/>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$374,921</w:t>
            </w:r>
          </w:p>
        </w:tc>
      </w:tr>
      <w:tr w:rsidR="00ED02F7" w:rsidRPr="00431853" w:rsidTr="00A17D92">
        <w:trPr>
          <w:trHeight w:val="8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14,185</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$80,538</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$805,378</w:t>
            </w:r>
          </w:p>
        </w:tc>
        <w:tc>
          <w:tcPr>
            <w:tcW w:w="115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$679,363</w:t>
            </w:r>
          </w:p>
        </w:tc>
      </w:tr>
      <w:tr w:rsidR="00ED02F7"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ED02F7" w:rsidRPr="00883A27" w:rsidRDefault="00ED02F7" w:rsidP="00883A27">
            <w:pPr>
              <w:rPr>
                <w:rFonts w:eastAsia="Times New Roman" w:cs="Calibri"/>
                <w:b/>
                <w:sz w:val="20"/>
                <w:szCs w:val="20"/>
                <w:lang w:eastAsia="en-AU"/>
              </w:rPr>
            </w:pPr>
            <w:r w:rsidRPr="00883A27">
              <w:rPr>
                <w:rFonts w:eastAsia="Times New Roman" w:cs="Calibri"/>
                <w:b/>
                <w:sz w:val="20"/>
                <w:szCs w:val="20"/>
                <w:lang w:eastAsia="en-AU"/>
              </w:rPr>
              <w:t>Option 4</w:t>
            </w:r>
          </w:p>
        </w:tc>
        <w:tc>
          <w:tcPr>
            <w:tcW w:w="181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p>
        </w:tc>
        <w:tc>
          <w:tcPr>
            <w:tcW w:w="1154" w:type="dxa"/>
            <w:tcBorders>
              <w:top w:val="single" w:sz="4" w:space="0" w:color="1F497D" w:themeColor="text2"/>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172</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$978</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$9,780</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$8,250</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3,452</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$19,599</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$195,988</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$165,323</w:t>
            </w:r>
          </w:p>
        </w:tc>
      </w:tr>
      <w:tr w:rsidR="00ED02F7" w:rsidRPr="00431853" w:rsidTr="00A17D92">
        <w:trPr>
          <w:trHeight w:val="80"/>
          <w:jc w:val="center"/>
        </w:trPr>
        <w:tc>
          <w:tcPr>
            <w:tcW w:w="2236" w:type="dxa"/>
            <w:tcBorders>
              <w:top w:val="nil"/>
              <w:left w:val="nil"/>
              <w:bottom w:val="nil"/>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385</w:t>
            </w:r>
          </w:p>
        </w:tc>
        <w:tc>
          <w:tcPr>
            <w:tcW w:w="107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$2,184</w:t>
            </w:r>
          </w:p>
        </w:tc>
        <w:tc>
          <w:tcPr>
            <w:tcW w:w="1656" w:type="dxa"/>
            <w:tcBorders>
              <w:top w:val="nil"/>
              <w:left w:val="nil"/>
              <w:bottom w:val="nil"/>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$21,838</w:t>
            </w:r>
          </w:p>
        </w:tc>
        <w:tc>
          <w:tcPr>
            <w:tcW w:w="1154" w:type="dxa"/>
            <w:tcBorders>
              <w:top w:val="nil"/>
              <w:left w:val="nil"/>
              <w:bottom w:val="nil"/>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$18,421</w:t>
            </w:r>
          </w:p>
        </w:tc>
      </w:tr>
      <w:tr w:rsidR="00ED02F7"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4,937</w:t>
            </w:r>
          </w:p>
        </w:tc>
        <w:tc>
          <w:tcPr>
            <w:tcW w:w="107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$28,030</w:t>
            </w:r>
          </w:p>
        </w:tc>
        <w:tc>
          <w:tcPr>
            <w:tcW w:w="1656" w:type="dxa"/>
            <w:tcBorders>
              <w:top w:val="nil"/>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$280,297</w:t>
            </w:r>
          </w:p>
        </w:tc>
        <w:tc>
          <w:tcPr>
            <w:tcW w:w="1154" w:type="dxa"/>
            <w:tcBorders>
              <w:top w:val="nil"/>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sz w:val="20"/>
                <w:szCs w:val="20"/>
              </w:rPr>
              <w:t>$236,440</w:t>
            </w:r>
          </w:p>
        </w:tc>
      </w:tr>
      <w:tr w:rsidR="00ED02F7" w:rsidRPr="00431853" w:rsidTr="00A17D92">
        <w:trPr>
          <w:trHeight w:val="24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8,946</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$50,790</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$507,904</w:t>
            </w:r>
          </w:p>
        </w:tc>
        <w:tc>
          <w:tcPr>
            <w:tcW w:w="115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D02F7" w:rsidRPr="00431853" w:rsidRDefault="00ED02F7" w:rsidP="00883A27">
            <w:pPr>
              <w:jc w:val="center"/>
              <w:rPr>
                <w:rFonts w:eastAsia="Times New Roman" w:cs="Calibri"/>
                <w:sz w:val="20"/>
                <w:szCs w:val="20"/>
                <w:lang w:eastAsia="en-AU"/>
              </w:rPr>
            </w:pPr>
            <w:r>
              <w:rPr>
                <w:rFonts w:cs="Calibri"/>
                <w:b/>
                <w:bCs/>
                <w:i/>
                <w:iCs/>
                <w:sz w:val="20"/>
                <w:szCs w:val="20"/>
              </w:rPr>
              <w:t>$428,434</w:t>
            </w:r>
          </w:p>
        </w:tc>
      </w:tr>
    </w:tbl>
    <w:p w:rsidR="00883A27" w:rsidRPr="005F3BA9" w:rsidRDefault="005D03D4" w:rsidP="00D946BC">
      <w:pPr>
        <w:pStyle w:val="Heading2"/>
      </w:pPr>
      <w:bookmarkStart w:id="223" w:name="_Toc469529210"/>
      <w:bookmarkStart w:id="224" w:name="_Toc477190234"/>
      <w:r w:rsidRPr="005F3BA9">
        <w:lastRenderedPageBreak/>
        <w:t>A4.7 – Estimation of costs and dogs affected by proposed standard 5</w:t>
      </w:r>
      <w:r w:rsidR="006F6786" w:rsidRPr="005F3BA9">
        <w:t>.2.1</w:t>
      </w:r>
      <w:r w:rsidRPr="005F3BA9">
        <w:t xml:space="preserve"> (</w:t>
      </w:r>
      <w:r w:rsidR="00A17D92" w:rsidRPr="005F3BA9">
        <w:t>Records</w:t>
      </w:r>
      <w:r w:rsidRPr="005F3BA9">
        <w:t xml:space="preserve"> of health and transfer) – Options 1 to 6</w:t>
      </w:r>
      <w:bookmarkEnd w:id="223"/>
      <w:bookmarkEnd w:id="224"/>
    </w:p>
    <w:p w:rsidR="00890020" w:rsidRDefault="00C100E9" w:rsidP="00890020">
      <w:pPr>
        <w:jc w:val="both"/>
      </w:pPr>
      <w:r>
        <w:t>Under proposed standard 5.2.1, participants would need to record supplements, drugs, transfers, rehoming activities, and disposals in relation to dogs under their care at an estimated at 3 minutes per dog and would need to provide a statement of health and management when a dog leaves a property to go to another at 5 minutes per dog – at total of 0.133hrs per dog.</w:t>
      </w:r>
      <w:r w:rsidR="007B521C">
        <w:t xml:space="preserve"> </w:t>
      </w:r>
      <w:r w:rsidR="00890020">
        <w:t>The estimated number of dogs affected under proposed standard 5.2.1 is estimated using the product of the number of dogs apportioned to each category of participant (see Table 6) and the last column in Table A4.3 against each of the category of participants, as well as the following formula:</w:t>
      </w:r>
    </w:p>
    <w:p w:rsidR="00890020" w:rsidRDefault="00890020" w:rsidP="00890020">
      <w:pPr>
        <w:jc w:val="both"/>
      </w:pPr>
    </w:p>
    <w:p w:rsidR="00890020" w:rsidRPr="009E30A8" w:rsidRDefault="00890020" w:rsidP="00890020">
      <w:pPr>
        <w:jc w:val="center"/>
        <w:rPr>
          <w:i/>
          <w:sz w:val="20"/>
        </w:rPr>
      </w:pPr>
      <w:r>
        <w:rPr>
          <w:i/>
          <w:sz w:val="20"/>
        </w:rPr>
        <w:t>Estimated No. dogs affected = {</w:t>
      </w:r>
      <w:r w:rsidR="006F6786" w:rsidRPr="006F6786">
        <w:rPr>
          <w:i/>
          <w:sz w:val="20"/>
        </w:rPr>
        <w:t>Apportionment o</w:t>
      </w:r>
      <w:r w:rsidR="006F6786">
        <w:rPr>
          <w:i/>
          <w:sz w:val="20"/>
        </w:rPr>
        <w:t>f registered greyhounds 2015-16</w:t>
      </w:r>
      <w:r>
        <w:rPr>
          <w:i/>
          <w:sz w:val="20"/>
        </w:rPr>
        <w:t>) (see Table 4)} x</w:t>
      </w:r>
      <w:r w:rsidRPr="002244B9">
        <w:rPr>
          <w:i/>
          <w:sz w:val="20"/>
        </w:rPr>
        <w:t xml:space="preserve"> </w:t>
      </w:r>
      <w:r>
        <w:rPr>
          <w:i/>
          <w:sz w:val="20"/>
        </w:rPr>
        <w:t>% of</w:t>
      </w:r>
      <w:r w:rsidRPr="00E63EC4">
        <w:rPr>
          <w:i/>
          <w:sz w:val="20"/>
        </w:rPr>
        <w:t xml:space="preserve"> total participants</w:t>
      </w:r>
      <w:r>
        <w:rPr>
          <w:i/>
          <w:sz w:val="20"/>
        </w:rPr>
        <w:t xml:space="preserve"> </w:t>
      </w:r>
      <w:r w:rsidRPr="00E63EC4">
        <w:rPr>
          <w:i/>
          <w:sz w:val="20"/>
        </w:rPr>
        <w:t>affected by behaviour change</w:t>
      </w:r>
      <w:r>
        <w:rPr>
          <w:i/>
          <w:sz w:val="20"/>
        </w:rPr>
        <w:t xml:space="preserve"> (see las</w:t>
      </w:r>
      <w:r w:rsidR="00A17D92">
        <w:rPr>
          <w:i/>
          <w:sz w:val="20"/>
        </w:rPr>
        <w:t xml:space="preserve">t column of Table A4.3 for </w:t>
      </w:r>
      <w:r>
        <w:rPr>
          <w:i/>
          <w:sz w:val="20"/>
        </w:rPr>
        <w:t>option</w:t>
      </w:r>
      <w:r w:rsidR="00A17D92">
        <w:rPr>
          <w:i/>
          <w:sz w:val="20"/>
        </w:rPr>
        <w:t>s</w:t>
      </w:r>
      <w:r>
        <w:rPr>
          <w:i/>
          <w:sz w:val="20"/>
        </w:rPr>
        <w:t xml:space="preserve"> 1 to 6)</w:t>
      </w:r>
      <w:r w:rsidRPr="000A6D5E">
        <w:rPr>
          <w:i/>
          <w:sz w:val="20"/>
        </w:rPr>
        <w:t>.</w:t>
      </w:r>
    </w:p>
    <w:p w:rsidR="00890020" w:rsidRDefault="00890020" w:rsidP="00C100E9">
      <w:pPr>
        <w:jc w:val="both"/>
      </w:pPr>
    </w:p>
    <w:p w:rsidR="00C100E9" w:rsidRDefault="00C100E9" w:rsidP="00C100E9">
      <w:pPr>
        <w:jc w:val="both"/>
      </w:pPr>
      <w:r>
        <w:t>The annual cost is estimated taking the product of the estimated number of dogs affected, 0.133hrs per dog and an hourly charge out rate of $68.13 for an operations manager (see Table A3.1 of Appendix 3).</w:t>
      </w:r>
      <w:r w:rsidR="007B521C">
        <w:t xml:space="preserve"> </w:t>
      </w:r>
      <w:r w:rsidR="000D54BF">
        <w:t>The 10-year additional cost of record keeping for participants under proposed sta</w:t>
      </w:r>
      <w:r w:rsidR="00EA6906">
        <w:t>ndard 5 is estimated to be $1.09</w:t>
      </w:r>
      <w:r w:rsidR="000D54BF">
        <w:t xml:space="preserve">m </w:t>
      </w:r>
      <w:r w:rsidR="00EA6906">
        <w:t>for Options 3, 5 and 6, $0.04m for Option 1; $0.2</w:t>
      </w:r>
      <w:r w:rsidR="000D54BF">
        <w:t xml:space="preserve">8m for Option 2 and </w:t>
      </w:r>
      <w:r w:rsidR="00EA6906">
        <w:t>$0.69</w:t>
      </w:r>
      <w:r w:rsidR="000D54BF">
        <w:t>m for Option 4 –</w:t>
      </w:r>
      <w:r w:rsidR="000D54BF" w:rsidRPr="00BC7FAE">
        <w:t xml:space="preserve"> </w:t>
      </w:r>
      <w:r w:rsidR="000D54BF">
        <w:t>in 2016 dollars, as shown in Table A4.9.</w:t>
      </w:r>
    </w:p>
    <w:p w:rsidR="00C100E9" w:rsidRDefault="00C100E9" w:rsidP="00C100E9">
      <w:pPr>
        <w:jc w:val="both"/>
      </w:pPr>
    </w:p>
    <w:p w:rsidR="00C100E9" w:rsidRPr="00A17D92" w:rsidRDefault="00C100E9" w:rsidP="00C100E9">
      <w:pPr>
        <w:jc w:val="center"/>
        <w:rPr>
          <w:b/>
          <w:sz w:val="20"/>
        </w:rPr>
      </w:pPr>
      <w:r w:rsidRPr="00A17D92">
        <w:rPr>
          <w:b/>
          <w:sz w:val="20"/>
        </w:rPr>
        <w:t>Table A</w:t>
      </w:r>
      <w:r w:rsidR="000D54BF">
        <w:rPr>
          <w:b/>
          <w:sz w:val="20"/>
        </w:rPr>
        <w:t>4.10</w:t>
      </w:r>
      <w:r w:rsidRPr="00A17D92">
        <w:rPr>
          <w:b/>
          <w:sz w:val="20"/>
        </w:rPr>
        <w:t>: Estimated 10-year additional costs of records of health and transfer for participants</w:t>
      </w:r>
      <w:r w:rsidR="00A17D92">
        <w:rPr>
          <w:b/>
          <w:sz w:val="20"/>
        </w:rPr>
        <w:t xml:space="preserve"> under proposed standard 5.2.1 – Options 1 to 6</w:t>
      </w:r>
    </w:p>
    <w:p w:rsidR="00C100E9" w:rsidRDefault="00C100E9" w:rsidP="00C100E9">
      <w:pPr>
        <w:jc w:val="both"/>
      </w:pPr>
    </w:p>
    <w:tbl>
      <w:tblPr>
        <w:tblW w:w="8080" w:type="dxa"/>
        <w:jc w:val="center"/>
        <w:tblLook w:val="04A0" w:firstRow="1" w:lastRow="0" w:firstColumn="1" w:lastColumn="0" w:noHBand="0" w:noVBand="1"/>
      </w:tblPr>
      <w:tblGrid>
        <w:gridCol w:w="2236"/>
        <w:gridCol w:w="1816"/>
        <w:gridCol w:w="1076"/>
        <w:gridCol w:w="1656"/>
        <w:gridCol w:w="1296"/>
      </w:tblGrid>
      <w:tr w:rsidR="00A17D92" w:rsidRPr="00BD28C4" w:rsidTr="0099378D">
        <w:trPr>
          <w:trHeight w:val="70"/>
          <w:tblHeader/>
          <w:jc w:val="center"/>
        </w:trPr>
        <w:tc>
          <w:tcPr>
            <w:tcW w:w="2236" w:type="dxa"/>
            <w:tcBorders>
              <w:top w:val="single" w:sz="4" w:space="0" w:color="1F4E78"/>
              <w:left w:val="nil"/>
              <w:bottom w:val="double" w:sz="6" w:space="0" w:color="1F4E78"/>
              <w:right w:val="nil"/>
            </w:tcBorders>
            <w:shd w:val="clear" w:color="000000" w:fill="FFFFFF"/>
            <w:noWrap/>
            <w:vAlign w:val="bottom"/>
            <w:hideMark/>
          </w:tcPr>
          <w:p w:rsidR="00A17D92" w:rsidRPr="00BD28C4" w:rsidRDefault="00A17D92" w:rsidP="00C41DF9">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w:t>
            </w:r>
          </w:p>
        </w:tc>
        <w:tc>
          <w:tcPr>
            <w:tcW w:w="1816" w:type="dxa"/>
            <w:tcBorders>
              <w:top w:val="single" w:sz="4" w:space="0" w:color="1F4E78"/>
              <w:left w:val="nil"/>
              <w:bottom w:val="double" w:sz="6" w:space="0" w:color="1F4E78"/>
              <w:right w:val="nil"/>
            </w:tcBorders>
            <w:shd w:val="clear" w:color="000000" w:fill="FFFFFF"/>
            <w:vAlign w:val="bottom"/>
            <w:hideMark/>
          </w:tcPr>
          <w:p w:rsidR="00A17D92" w:rsidRPr="00BD28C4" w:rsidRDefault="00A17D92" w:rsidP="00C41DF9">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076" w:type="dxa"/>
            <w:tcBorders>
              <w:top w:val="single" w:sz="4" w:space="0" w:color="1F4E78"/>
              <w:left w:val="nil"/>
              <w:bottom w:val="double" w:sz="6" w:space="0" w:color="1F4E78"/>
              <w:right w:val="nil"/>
            </w:tcBorders>
            <w:shd w:val="clear" w:color="000000" w:fill="FFFFFF"/>
            <w:noWrap/>
            <w:vAlign w:val="bottom"/>
            <w:hideMark/>
          </w:tcPr>
          <w:p w:rsidR="00A17D92" w:rsidRPr="00BD28C4" w:rsidRDefault="00A17D92" w:rsidP="00C41DF9">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656" w:type="dxa"/>
            <w:tcBorders>
              <w:top w:val="single" w:sz="4" w:space="0" w:color="1F4E78"/>
              <w:left w:val="nil"/>
              <w:bottom w:val="double" w:sz="6" w:space="0" w:color="1F4E78"/>
              <w:right w:val="nil"/>
            </w:tcBorders>
            <w:shd w:val="clear" w:color="000000" w:fill="FFFFFF"/>
            <w:noWrap/>
            <w:vAlign w:val="bottom"/>
            <w:hideMark/>
          </w:tcPr>
          <w:p w:rsidR="00A17D92" w:rsidRPr="00BD28C4" w:rsidRDefault="00A17D92" w:rsidP="00C41DF9">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296" w:type="dxa"/>
            <w:tcBorders>
              <w:top w:val="single" w:sz="4" w:space="0" w:color="1F4E78"/>
              <w:left w:val="nil"/>
              <w:bottom w:val="double" w:sz="6" w:space="0" w:color="1F4E78"/>
              <w:right w:val="nil"/>
            </w:tcBorders>
            <w:shd w:val="clear" w:color="auto" w:fill="DBE5F1" w:themeFill="accent1" w:themeFillTint="33"/>
            <w:noWrap/>
            <w:vAlign w:val="bottom"/>
            <w:hideMark/>
          </w:tcPr>
          <w:p w:rsidR="00A17D92" w:rsidRPr="00BD28C4" w:rsidRDefault="00A17D92" w:rsidP="00C41DF9">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A17D92" w:rsidRPr="00431853" w:rsidTr="00A17D92">
        <w:trPr>
          <w:trHeight w:val="35"/>
          <w:jc w:val="center"/>
        </w:trPr>
        <w:tc>
          <w:tcPr>
            <w:tcW w:w="2236" w:type="dxa"/>
            <w:tcBorders>
              <w:top w:val="nil"/>
              <w:left w:val="nil"/>
              <w:bottom w:val="nil"/>
              <w:right w:val="nil"/>
            </w:tcBorders>
            <w:shd w:val="clear" w:color="000000" w:fill="FFFFFF"/>
            <w:noWrap/>
            <w:vAlign w:val="bottom"/>
          </w:tcPr>
          <w:p w:rsidR="00A17D92" w:rsidRPr="00883A27" w:rsidRDefault="00A17D92" w:rsidP="00C41DF9">
            <w:pPr>
              <w:rPr>
                <w:rFonts w:eastAsia="Times New Roman" w:cs="Calibri"/>
                <w:b/>
                <w:sz w:val="20"/>
                <w:szCs w:val="20"/>
                <w:lang w:eastAsia="en-AU"/>
              </w:rPr>
            </w:pPr>
            <w:r w:rsidRPr="00883A27">
              <w:rPr>
                <w:rFonts w:eastAsia="Times New Roman" w:cs="Calibri"/>
                <w:b/>
                <w:sz w:val="20"/>
                <w:szCs w:val="20"/>
                <w:lang w:eastAsia="en-AU"/>
              </w:rPr>
              <w:t>Option 1</w:t>
            </w:r>
          </w:p>
        </w:tc>
        <w:tc>
          <w:tcPr>
            <w:tcW w:w="1816" w:type="dxa"/>
            <w:tcBorders>
              <w:top w:val="nil"/>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076" w:type="dxa"/>
            <w:tcBorders>
              <w:top w:val="nil"/>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656" w:type="dxa"/>
            <w:tcBorders>
              <w:top w:val="nil"/>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296" w:type="dxa"/>
            <w:tcBorders>
              <w:top w:val="nil"/>
              <w:left w:val="nil"/>
              <w:bottom w:val="nil"/>
              <w:right w:val="nil"/>
            </w:tcBorders>
            <w:shd w:val="clear" w:color="auto" w:fill="DBE5F1" w:themeFill="accent1" w:themeFillTint="33"/>
            <w:noWrap/>
            <w:vAlign w:val="bottom"/>
          </w:tcPr>
          <w:p w:rsidR="00A17D92" w:rsidRPr="00431853" w:rsidRDefault="00A17D92" w:rsidP="00C41DF9">
            <w:pPr>
              <w:jc w:val="center"/>
              <w:rPr>
                <w:rFonts w:eastAsia="Times New Roman" w:cs="Calibri"/>
                <w:sz w:val="20"/>
                <w:szCs w:val="20"/>
                <w:lang w:eastAsia="en-AU"/>
              </w:rPr>
            </w:pPr>
          </w:p>
        </w:tc>
      </w:tr>
      <w:tr w:rsidR="00EA6906" w:rsidRPr="00431853" w:rsidTr="00EA6906">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223</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$2,021</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$20,213</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$17,051</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$0</w:t>
            </w:r>
          </w:p>
        </w:tc>
      </w:tr>
      <w:tr w:rsidR="00EA6906"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338</w:t>
            </w:r>
          </w:p>
        </w:tc>
        <w:tc>
          <w:tcPr>
            <w:tcW w:w="107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$3,068</w:t>
            </w:r>
          </w:p>
        </w:tc>
        <w:tc>
          <w:tcPr>
            <w:tcW w:w="165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$30,680</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$25,880</w:t>
            </w:r>
          </w:p>
        </w:tc>
      </w:tr>
      <w:tr w:rsidR="00EA6906" w:rsidRPr="00431853" w:rsidTr="00A17D92">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560</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$5,089</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$50,894</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$42,930</w:t>
            </w:r>
          </w:p>
        </w:tc>
      </w:tr>
      <w:tr w:rsidR="00A17D92"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A17D92" w:rsidRPr="00883A27" w:rsidRDefault="00A17D92" w:rsidP="00C41DF9">
            <w:pPr>
              <w:rPr>
                <w:rFonts w:eastAsia="Times New Roman" w:cs="Calibri"/>
                <w:b/>
                <w:sz w:val="20"/>
                <w:szCs w:val="20"/>
                <w:lang w:eastAsia="en-AU"/>
              </w:rPr>
            </w:pPr>
            <w:r w:rsidRPr="00883A27">
              <w:rPr>
                <w:rFonts w:eastAsia="Times New Roman" w:cs="Calibri"/>
                <w:b/>
                <w:sz w:val="20"/>
                <w:szCs w:val="20"/>
                <w:lang w:eastAsia="en-AU"/>
              </w:rPr>
              <w:t>Option 2</w:t>
            </w:r>
          </w:p>
        </w:tc>
        <w:tc>
          <w:tcPr>
            <w:tcW w:w="181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A17D92" w:rsidRPr="00431853" w:rsidRDefault="00A17D92" w:rsidP="00C41DF9">
            <w:pPr>
              <w:jc w:val="center"/>
              <w:rPr>
                <w:rFonts w:eastAsia="Times New Roman" w:cs="Calibri"/>
                <w:sz w:val="20"/>
                <w:szCs w:val="20"/>
                <w:lang w:eastAsia="en-AU"/>
              </w:rPr>
            </w:pP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71</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$648</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$6,484</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$5,469</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1,430</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$12,994</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$129,936</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$109,605</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159</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$1,448</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$14,478</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$12,213</w:t>
            </w:r>
          </w:p>
        </w:tc>
      </w:tr>
      <w:tr w:rsidR="00EA6906"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2,046</w:t>
            </w:r>
          </w:p>
        </w:tc>
        <w:tc>
          <w:tcPr>
            <w:tcW w:w="107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$18,583</w:t>
            </w:r>
          </w:p>
        </w:tc>
        <w:tc>
          <w:tcPr>
            <w:tcW w:w="165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$185,831</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$156,754</w:t>
            </w:r>
          </w:p>
        </w:tc>
      </w:tr>
      <w:tr w:rsidR="00EA6906" w:rsidRPr="00431853" w:rsidTr="00A17D92">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3,707</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$33,673</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$336,729</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$284,042</w:t>
            </w:r>
          </w:p>
        </w:tc>
      </w:tr>
      <w:tr w:rsidR="00A17D92"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A17D92" w:rsidRPr="00883A27" w:rsidRDefault="00A17D92" w:rsidP="00C41DF9">
            <w:pPr>
              <w:rPr>
                <w:rFonts w:eastAsia="Times New Roman" w:cs="Calibri"/>
                <w:b/>
                <w:sz w:val="20"/>
                <w:szCs w:val="20"/>
                <w:lang w:eastAsia="en-AU"/>
              </w:rPr>
            </w:pPr>
            <w:r w:rsidRPr="00883A27">
              <w:rPr>
                <w:rFonts w:eastAsia="Times New Roman" w:cs="Calibri"/>
                <w:b/>
                <w:sz w:val="20"/>
                <w:szCs w:val="20"/>
                <w:lang w:eastAsia="en-AU"/>
              </w:rPr>
              <w:t>Options 3, 5 and 6</w:t>
            </w:r>
          </w:p>
        </w:tc>
        <w:tc>
          <w:tcPr>
            <w:tcW w:w="181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A17D92" w:rsidRPr="00431853" w:rsidRDefault="00A17D92" w:rsidP="00C41DF9">
            <w:pPr>
              <w:jc w:val="center"/>
              <w:rPr>
                <w:rFonts w:eastAsia="Times New Roman" w:cs="Calibri"/>
                <w:sz w:val="20"/>
                <w:szCs w:val="20"/>
                <w:lang w:eastAsia="en-AU"/>
              </w:rPr>
            </w:pP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273</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$2,481</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$24,813</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$20,931</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5,474</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$49,724</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$497,242</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$419,440</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610</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$5,541</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$55,406</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$46,737</w:t>
            </w:r>
          </w:p>
        </w:tc>
      </w:tr>
      <w:tr w:rsidR="00EA6906"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7,828</w:t>
            </w:r>
          </w:p>
        </w:tc>
        <w:tc>
          <w:tcPr>
            <w:tcW w:w="107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$71,114</w:t>
            </w:r>
          </w:p>
        </w:tc>
        <w:tc>
          <w:tcPr>
            <w:tcW w:w="165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$711,143</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$599,873</w:t>
            </w:r>
          </w:p>
        </w:tc>
      </w:tr>
      <w:tr w:rsidR="00EA6906" w:rsidRPr="00431853" w:rsidTr="00A17D92">
        <w:trPr>
          <w:trHeight w:val="8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14,185</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$128,860</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$1,288,605</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$1,086,981</w:t>
            </w:r>
          </w:p>
        </w:tc>
      </w:tr>
      <w:tr w:rsidR="00A17D92" w:rsidRPr="00431853" w:rsidTr="00A17D92">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A17D92" w:rsidRPr="00883A27" w:rsidRDefault="00A17D92" w:rsidP="00C41DF9">
            <w:pPr>
              <w:rPr>
                <w:rFonts w:eastAsia="Times New Roman" w:cs="Calibri"/>
                <w:b/>
                <w:sz w:val="20"/>
                <w:szCs w:val="20"/>
                <w:lang w:eastAsia="en-AU"/>
              </w:rPr>
            </w:pPr>
            <w:r w:rsidRPr="00883A27">
              <w:rPr>
                <w:rFonts w:eastAsia="Times New Roman" w:cs="Calibri"/>
                <w:b/>
                <w:sz w:val="20"/>
                <w:szCs w:val="20"/>
                <w:lang w:eastAsia="en-AU"/>
              </w:rPr>
              <w:t>Option 4</w:t>
            </w:r>
          </w:p>
        </w:tc>
        <w:tc>
          <w:tcPr>
            <w:tcW w:w="181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07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A17D92" w:rsidRPr="00431853" w:rsidRDefault="00A17D92" w:rsidP="00C41DF9">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A17D92" w:rsidRPr="00431853" w:rsidRDefault="00A17D92" w:rsidP="00C41DF9">
            <w:pPr>
              <w:jc w:val="center"/>
              <w:rPr>
                <w:rFonts w:eastAsia="Times New Roman" w:cs="Calibri"/>
                <w:sz w:val="20"/>
                <w:szCs w:val="20"/>
                <w:lang w:eastAsia="en-AU"/>
              </w:rPr>
            </w:pP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172</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$1,565</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$15,648</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$13,200</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3,452</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$31,358</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$313,581</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$264,516</w:t>
            </w:r>
          </w:p>
        </w:tc>
      </w:tr>
      <w:tr w:rsidR="00EA6906" w:rsidRPr="00431853" w:rsidTr="00A17D92">
        <w:trPr>
          <w:trHeight w:val="80"/>
          <w:jc w:val="center"/>
        </w:trPr>
        <w:tc>
          <w:tcPr>
            <w:tcW w:w="2236" w:type="dxa"/>
            <w:tcBorders>
              <w:top w:val="nil"/>
              <w:left w:val="nil"/>
              <w:bottom w:val="nil"/>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385</w:t>
            </w:r>
          </w:p>
        </w:tc>
        <w:tc>
          <w:tcPr>
            <w:tcW w:w="107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$3,494</w:t>
            </w:r>
          </w:p>
        </w:tc>
        <w:tc>
          <w:tcPr>
            <w:tcW w:w="1656" w:type="dxa"/>
            <w:tcBorders>
              <w:top w:val="nil"/>
              <w:left w:val="nil"/>
              <w:bottom w:val="nil"/>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$34,941</w:t>
            </w:r>
          </w:p>
        </w:tc>
        <w:tc>
          <w:tcPr>
            <w:tcW w:w="1296" w:type="dxa"/>
            <w:tcBorders>
              <w:top w:val="nil"/>
              <w:left w:val="nil"/>
              <w:bottom w:val="nil"/>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$29,474</w:t>
            </w:r>
          </w:p>
        </w:tc>
      </w:tr>
      <w:tr w:rsidR="00EA6906" w:rsidRPr="00431853" w:rsidTr="00A17D92">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4,937</w:t>
            </w:r>
          </w:p>
        </w:tc>
        <w:tc>
          <w:tcPr>
            <w:tcW w:w="107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$44,848</w:t>
            </w:r>
          </w:p>
        </w:tc>
        <w:tc>
          <w:tcPr>
            <w:tcW w:w="1656" w:type="dxa"/>
            <w:tcBorders>
              <w:top w:val="nil"/>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$448,476</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sz w:val="20"/>
                <w:szCs w:val="20"/>
              </w:rPr>
              <w:t>$378,304</w:t>
            </w:r>
          </w:p>
        </w:tc>
      </w:tr>
      <w:tr w:rsidR="00EA6906" w:rsidRPr="00431853" w:rsidTr="00A17D92">
        <w:trPr>
          <w:trHeight w:val="24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8,946</w:t>
            </w:r>
          </w:p>
        </w:tc>
        <w:tc>
          <w:tcPr>
            <w:tcW w:w="107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$81,265</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$812,647</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A6906" w:rsidRPr="00431853" w:rsidRDefault="00EA6906" w:rsidP="00EA6906">
            <w:pPr>
              <w:jc w:val="center"/>
              <w:rPr>
                <w:rFonts w:eastAsia="Times New Roman" w:cs="Calibri"/>
                <w:sz w:val="20"/>
                <w:szCs w:val="20"/>
                <w:lang w:eastAsia="en-AU"/>
              </w:rPr>
            </w:pPr>
            <w:r>
              <w:rPr>
                <w:rFonts w:cs="Calibri"/>
                <w:b/>
                <w:bCs/>
                <w:i/>
                <w:iCs/>
                <w:sz w:val="20"/>
                <w:szCs w:val="20"/>
              </w:rPr>
              <w:t>$685,494</w:t>
            </w:r>
          </w:p>
        </w:tc>
      </w:tr>
    </w:tbl>
    <w:p w:rsidR="00A17D92" w:rsidRDefault="00A17D92" w:rsidP="00C100E9">
      <w:pPr>
        <w:jc w:val="both"/>
      </w:pPr>
    </w:p>
    <w:p w:rsidR="007F6303" w:rsidRPr="005F3BA9" w:rsidRDefault="007F6303" w:rsidP="007F6303">
      <w:pPr>
        <w:pStyle w:val="Heading2"/>
      </w:pPr>
      <w:bookmarkStart w:id="225" w:name="_Toc469529211"/>
      <w:bookmarkStart w:id="226" w:name="_Toc477190235"/>
      <w:r w:rsidRPr="005F3BA9">
        <w:lastRenderedPageBreak/>
        <w:t>A4.8 – Estimation of costs and dogs affected by proposed standard 6.1.1 (Food) – Options 1 to 6</w:t>
      </w:r>
      <w:bookmarkEnd w:id="225"/>
      <w:bookmarkEnd w:id="226"/>
    </w:p>
    <w:p w:rsidR="007F6303" w:rsidRDefault="007F6303" w:rsidP="00C100E9">
      <w:pPr>
        <w:jc w:val="both"/>
      </w:pPr>
      <w:r>
        <w:t xml:space="preserve">Proposed standard 6.1.1 would impose the need for breeders to ensure that younger dogs have access to food receptacles </w:t>
      </w:r>
      <w:r w:rsidR="00CA6884">
        <w:t xml:space="preserve">which are regularly </w:t>
      </w:r>
      <w:r>
        <w:t>cleaned.</w:t>
      </w:r>
      <w:r w:rsidR="007B521C">
        <w:t xml:space="preserve"> </w:t>
      </w:r>
      <w:r>
        <w:t>This proposed standard would also require large facilities to ensure they have adequate storage (containers) for food.</w:t>
      </w:r>
    </w:p>
    <w:p w:rsidR="007F6303" w:rsidRDefault="007F6303" w:rsidP="00C100E9">
      <w:pPr>
        <w:jc w:val="both"/>
      </w:pPr>
    </w:p>
    <w:p w:rsidR="00C100E9" w:rsidRDefault="007F6303" w:rsidP="005E307C">
      <w:pPr>
        <w:pStyle w:val="Heading3"/>
      </w:pPr>
      <w:bookmarkStart w:id="227" w:name="_Toc469529212"/>
      <w:bookmarkStart w:id="228" w:name="_Toc477190236"/>
      <w:r>
        <w:t>A4.8.1</w:t>
      </w:r>
      <w:r w:rsidR="00C100E9">
        <w:t>: Food</w:t>
      </w:r>
      <w:r w:rsidR="00CA6884">
        <w:t xml:space="preserve"> </w:t>
      </w:r>
      <w:r>
        <w:t>receptacles and hygiene</w:t>
      </w:r>
      <w:bookmarkEnd w:id="227"/>
      <w:bookmarkEnd w:id="228"/>
    </w:p>
    <w:p w:rsidR="00CA6884" w:rsidRDefault="00C100E9" w:rsidP="00CA6884">
      <w:pPr>
        <w:jc w:val="both"/>
      </w:pPr>
      <w:r>
        <w:t>Proposed standard 6.1.1 would involve additional costs to all breeders in terms of food receptacles and hygiene.</w:t>
      </w:r>
      <w:r w:rsidR="007B521C">
        <w:t xml:space="preserve"> </w:t>
      </w:r>
      <w:r w:rsidR="00CA6884">
        <w:t>The estimated number of dogs affected under proposed standard 6.1.1 with respect to food receptacles and hygiene is estimated using the product of the number of dogs apportioned to each category of breeder (large and small) (see Table 6) and the last column in Table A4.3 against each of the category of breeder, as well as the following formula:</w:t>
      </w:r>
    </w:p>
    <w:p w:rsidR="00CA6884" w:rsidRPr="009E30A8" w:rsidRDefault="00CA6884" w:rsidP="00CA6884">
      <w:pPr>
        <w:jc w:val="center"/>
        <w:rPr>
          <w:i/>
          <w:sz w:val="20"/>
        </w:rPr>
      </w:pPr>
      <w:r>
        <w:rPr>
          <w:i/>
          <w:sz w:val="20"/>
        </w:rPr>
        <w:t>Estimated No. dogs affected = {</w:t>
      </w:r>
      <w:r w:rsidRPr="006F6786">
        <w:rPr>
          <w:i/>
          <w:sz w:val="20"/>
        </w:rPr>
        <w:t>Apportionment o</w:t>
      </w:r>
      <w:r>
        <w:rPr>
          <w:i/>
          <w:sz w:val="20"/>
        </w:rPr>
        <w:t>f registered greyhounds 2015-16) (see Table 4)} x</w:t>
      </w:r>
      <w:r w:rsidRPr="002244B9">
        <w:rPr>
          <w:i/>
          <w:sz w:val="20"/>
        </w:rPr>
        <w:t xml:space="preserve"> </w:t>
      </w:r>
      <w:r>
        <w:rPr>
          <w:i/>
          <w:sz w:val="20"/>
        </w:rPr>
        <w:t>% of</w:t>
      </w:r>
      <w:r w:rsidRPr="00E63EC4">
        <w:rPr>
          <w:i/>
          <w:sz w:val="20"/>
        </w:rPr>
        <w:t xml:space="preserve"> total </w:t>
      </w:r>
      <w:r>
        <w:rPr>
          <w:i/>
          <w:sz w:val="20"/>
        </w:rPr>
        <w:t xml:space="preserve">breeders </w:t>
      </w:r>
      <w:r w:rsidRPr="00E63EC4">
        <w:rPr>
          <w:i/>
          <w:sz w:val="20"/>
        </w:rPr>
        <w:t>affected by behaviour change</w:t>
      </w:r>
      <w:r>
        <w:rPr>
          <w:i/>
          <w:sz w:val="20"/>
        </w:rPr>
        <w:t xml:space="preserve"> (see last column of Table A4.3 for options 1 to 6)</w:t>
      </w:r>
      <w:r w:rsidRPr="000A6D5E">
        <w:rPr>
          <w:i/>
          <w:sz w:val="20"/>
        </w:rPr>
        <w:t>.</w:t>
      </w:r>
    </w:p>
    <w:p w:rsidR="00CA6884" w:rsidRDefault="00CA6884" w:rsidP="00C100E9">
      <w:pPr>
        <w:jc w:val="both"/>
      </w:pPr>
    </w:p>
    <w:p w:rsidR="00C100E9" w:rsidRDefault="00C100E9" w:rsidP="00C100E9">
      <w:pPr>
        <w:jc w:val="both"/>
      </w:pPr>
      <w:r>
        <w:t>The one-off cost of a food receptacle assumes a $10 cost for the receptacle per dog affected.</w:t>
      </w:r>
      <w:r w:rsidR="007B521C">
        <w:t xml:space="preserve"> </w:t>
      </w:r>
      <w:r>
        <w:t xml:space="preserve">The Annual cost of hygiene (dishwashing) is estimated taking the product of the dogs affected and a dishwasher cost of $13.14 </w:t>
      </w:r>
      <w:r w:rsidRPr="004845D1">
        <w:t xml:space="preserve">per year </w:t>
      </w:r>
      <w:r>
        <w:t>per dog</w:t>
      </w:r>
      <w:r w:rsidR="00CA6884">
        <w:rPr>
          <w:rStyle w:val="FootnoteReference"/>
        </w:rPr>
        <w:footnoteReference w:id="167"/>
      </w:r>
      <w:r>
        <w:t>.</w:t>
      </w:r>
      <w:r w:rsidR="007B521C">
        <w:t xml:space="preserve"> </w:t>
      </w:r>
      <w:r w:rsidR="00CA6884">
        <w:t>As shown in Table A4.11</w:t>
      </w:r>
      <w:r>
        <w:t>, t</w:t>
      </w:r>
      <w:r w:rsidR="000A1978">
        <w:t>he 10-year additional cost of record keeping for participants under proposed standard 5 is estimated to be $0.69m for Options 3, 5 and 6, $0.03m for Option 1; $0.18m for Option 2 and $0.44m for Option 4 –</w:t>
      </w:r>
      <w:r w:rsidR="000A1978" w:rsidRPr="00BC7FAE">
        <w:t xml:space="preserve"> </w:t>
      </w:r>
      <w:r w:rsidR="000A1978">
        <w:t>in 2016 dollars.</w:t>
      </w:r>
    </w:p>
    <w:p w:rsidR="00C100E9" w:rsidRDefault="00C100E9" w:rsidP="00C100E9"/>
    <w:p w:rsidR="00C100E9" w:rsidRPr="000A1978" w:rsidRDefault="00C100E9" w:rsidP="00C100E9">
      <w:pPr>
        <w:jc w:val="center"/>
        <w:rPr>
          <w:b/>
          <w:sz w:val="20"/>
          <w:szCs w:val="20"/>
        </w:rPr>
      </w:pPr>
      <w:r w:rsidRPr="000A1978">
        <w:rPr>
          <w:b/>
          <w:sz w:val="20"/>
          <w:szCs w:val="20"/>
        </w:rPr>
        <w:t>Table A</w:t>
      </w:r>
      <w:r w:rsidR="00CA6884" w:rsidRPr="000A1978">
        <w:rPr>
          <w:b/>
          <w:sz w:val="20"/>
          <w:szCs w:val="20"/>
        </w:rPr>
        <w:t>4.11</w:t>
      </w:r>
      <w:r w:rsidRPr="000A1978">
        <w:rPr>
          <w:b/>
          <w:sz w:val="20"/>
          <w:szCs w:val="20"/>
        </w:rPr>
        <w:t>: Estimated 10-year additional costs of food receptacles and hygiene for participants</w:t>
      </w:r>
      <w:r w:rsidR="00CA6884" w:rsidRPr="000A1978">
        <w:rPr>
          <w:b/>
          <w:sz w:val="20"/>
          <w:szCs w:val="20"/>
        </w:rPr>
        <w:t xml:space="preserve"> under proposed standard 6.1.1 – Options 1 to 6</w:t>
      </w:r>
    </w:p>
    <w:p w:rsidR="00C100E9" w:rsidRPr="00B25912" w:rsidRDefault="00C100E9" w:rsidP="00C100E9">
      <w:pPr>
        <w:jc w:val="center"/>
        <w:rPr>
          <w:sz w:val="16"/>
        </w:rPr>
      </w:pPr>
    </w:p>
    <w:tbl>
      <w:tblPr>
        <w:tblW w:w="8015" w:type="dxa"/>
        <w:jc w:val="center"/>
        <w:tblLook w:val="04A0" w:firstRow="1" w:lastRow="0" w:firstColumn="1" w:lastColumn="0" w:noHBand="0" w:noVBand="1"/>
      </w:tblPr>
      <w:tblGrid>
        <w:gridCol w:w="2410"/>
        <w:gridCol w:w="1051"/>
        <w:gridCol w:w="1278"/>
        <w:gridCol w:w="1167"/>
        <w:gridCol w:w="1131"/>
        <w:gridCol w:w="978"/>
      </w:tblGrid>
      <w:tr w:rsidR="00C100E9" w:rsidRPr="00BD28C4" w:rsidTr="00900830">
        <w:trPr>
          <w:trHeight w:val="189"/>
          <w:tblHeader/>
          <w:jc w:val="center"/>
        </w:trPr>
        <w:tc>
          <w:tcPr>
            <w:tcW w:w="2410"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051"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27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One-off cost of food receptacle</w:t>
            </w:r>
          </w:p>
        </w:tc>
        <w:tc>
          <w:tcPr>
            <w:tcW w:w="1167"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 of dishwasher</w:t>
            </w:r>
          </w:p>
        </w:tc>
        <w:tc>
          <w:tcPr>
            <w:tcW w:w="1131"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978"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CA6884" w:rsidRPr="004845D1" w:rsidTr="00290FD9">
        <w:trPr>
          <w:trHeight w:val="35"/>
          <w:jc w:val="center"/>
        </w:trPr>
        <w:tc>
          <w:tcPr>
            <w:tcW w:w="2410" w:type="dxa"/>
            <w:tcBorders>
              <w:top w:val="nil"/>
              <w:left w:val="nil"/>
              <w:bottom w:val="nil"/>
              <w:right w:val="nil"/>
            </w:tcBorders>
            <w:shd w:val="clear" w:color="000000" w:fill="FFFFFF"/>
            <w:noWrap/>
            <w:vAlign w:val="bottom"/>
          </w:tcPr>
          <w:p w:rsidR="00CA6884" w:rsidRPr="00CA6884" w:rsidRDefault="00CA6884" w:rsidP="00973C4B">
            <w:pPr>
              <w:rPr>
                <w:rFonts w:eastAsia="Times New Roman" w:cs="Calibri"/>
                <w:b/>
                <w:sz w:val="20"/>
                <w:szCs w:val="20"/>
                <w:lang w:eastAsia="en-AU"/>
              </w:rPr>
            </w:pPr>
            <w:r w:rsidRPr="00CA6884">
              <w:rPr>
                <w:rFonts w:eastAsia="Times New Roman" w:cs="Calibri"/>
                <w:b/>
                <w:sz w:val="20"/>
                <w:szCs w:val="20"/>
                <w:lang w:eastAsia="en-AU"/>
              </w:rPr>
              <w:t>Option 1</w:t>
            </w:r>
          </w:p>
        </w:tc>
        <w:tc>
          <w:tcPr>
            <w:tcW w:w="1051" w:type="dxa"/>
            <w:tcBorders>
              <w:top w:val="nil"/>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278" w:type="dxa"/>
            <w:tcBorders>
              <w:top w:val="nil"/>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67" w:type="dxa"/>
            <w:tcBorders>
              <w:top w:val="nil"/>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31" w:type="dxa"/>
            <w:tcBorders>
              <w:top w:val="nil"/>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978" w:type="dxa"/>
            <w:tcBorders>
              <w:top w:val="nil"/>
              <w:left w:val="nil"/>
              <w:bottom w:val="nil"/>
              <w:right w:val="nil"/>
            </w:tcBorders>
            <w:shd w:val="clear" w:color="auto" w:fill="DBE5F1" w:themeFill="accent1" w:themeFillTint="33"/>
            <w:noWrap/>
            <w:vAlign w:val="bottom"/>
          </w:tcPr>
          <w:p w:rsidR="00CA6884" w:rsidRPr="004845D1" w:rsidRDefault="00CA6884" w:rsidP="00973C4B">
            <w:pPr>
              <w:jc w:val="center"/>
              <w:rPr>
                <w:rFonts w:eastAsia="Times New Roman" w:cs="Calibri"/>
                <w:sz w:val="20"/>
                <w:szCs w:val="20"/>
                <w:lang w:eastAsia="en-AU"/>
              </w:rPr>
            </w:pPr>
          </w:p>
        </w:tc>
      </w:tr>
      <w:tr w:rsidR="00CA6884" w:rsidRPr="004845D1" w:rsidTr="00290FD9">
        <w:trPr>
          <w:trHeight w:val="80"/>
          <w:jc w:val="center"/>
        </w:trPr>
        <w:tc>
          <w:tcPr>
            <w:tcW w:w="2410" w:type="dxa"/>
            <w:tcBorders>
              <w:top w:val="nil"/>
              <w:left w:val="nil"/>
              <w:bottom w:val="nil"/>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Large breeders</w:t>
            </w:r>
          </w:p>
        </w:tc>
        <w:tc>
          <w:tcPr>
            <w:tcW w:w="105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0</w:t>
            </w:r>
            <w:r w:rsidR="004506D7">
              <w:rPr>
                <w:rFonts w:cs="Calibri"/>
                <w:sz w:val="20"/>
                <w:szCs w:val="20"/>
              </w:rPr>
              <w:t>*</w:t>
            </w:r>
          </w:p>
        </w:tc>
        <w:tc>
          <w:tcPr>
            <w:tcW w:w="1278"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$0</w:t>
            </w:r>
          </w:p>
        </w:tc>
        <w:tc>
          <w:tcPr>
            <w:tcW w:w="1167"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$0</w:t>
            </w:r>
          </w:p>
        </w:tc>
        <w:tc>
          <w:tcPr>
            <w:tcW w:w="113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$0</w:t>
            </w:r>
          </w:p>
        </w:tc>
        <w:tc>
          <w:tcPr>
            <w:tcW w:w="978" w:type="dxa"/>
            <w:tcBorders>
              <w:top w:val="nil"/>
              <w:left w:val="nil"/>
              <w:bottom w:val="nil"/>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$0</w:t>
            </w:r>
          </w:p>
        </w:tc>
      </w:tr>
      <w:tr w:rsidR="00CA6884" w:rsidRPr="004845D1" w:rsidTr="00290FD9">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Small breeders</w:t>
            </w:r>
          </w:p>
        </w:tc>
        <w:tc>
          <w:tcPr>
            <w:tcW w:w="105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223</w:t>
            </w:r>
          </w:p>
        </w:tc>
        <w:tc>
          <w:tcPr>
            <w:tcW w:w="1278"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$2,225</w:t>
            </w:r>
          </w:p>
        </w:tc>
        <w:tc>
          <w:tcPr>
            <w:tcW w:w="1167"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$2,924</w:t>
            </w:r>
          </w:p>
        </w:tc>
        <w:tc>
          <w:tcPr>
            <w:tcW w:w="113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$31,467</w:t>
            </w:r>
          </w:p>
        </w:tc>
        <w:tc>
          <w:tcPr>
            <w:tcW w:w="978" w:type="dxa"/>
            <w:tcBorders>
              <w:top w:val="nil"/>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$26,892</w:t>
            </w:r>
          </w:p>
        </w:tc>
      </w:tr>
      <w:tr w:rsidR="00CA6884" w:rsidRPr="004845D1" w:rsidTr="00290FD9">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b/>
                <w:bCs/>
                <w:i/>
                <w:iCs/>
                <w:sz w:val="20"/>
                <w:szCs w:val="20"/>
              </w:rPr>
              <w:t>Total</w:t>
            </w:r>
          </w:p>
        </w:tc>
        <w:tc>
          <w:tcPr>
            <w:tcW w:w="105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223</w:t>
            </w:r>
          </w:p>
        </w:tc>
        <w:tc>
          <w:tcPr>
            <w:tcW w:w="1278"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$2,225</w:t>
            </w:r>
          </w:p>
        </w:tc>
        <w:tc>
          <w:tcPr>
            <w:tcW w:w="1167"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$2,924</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$31,467</w:t>
            </w:r>
          </w:p>
        </w:tc>
        <w:tc>
          <w:tcPr>
            <w:tcW w:w="97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$26,892</w:t>
            </w:r>
          </w:p>
        </w:tc>
      </w:tr>
      <w:tr w:rsidR="00CA6884" w:rsidRPr="004845D1" w:rsidTr="00290FD9">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CA6884" w:rsidRPr="00CA6884" w:rsidRDefault="00CA6884" w:rsidP="00973C4B">
            <w:pPr>
              <w:rPr>
                <w:rFonts w:eastAsia="Times New Roman" w:cs="Calibri"/>
                <w:b/>
                <w:sz w:val="20"/>
                <w:szCs w:val="20"/>
                <w:lang w:eastAsia="en-AU"/>
              </w:rPr>
            </w:pPr>
            <w:r w:rsidRPr="00CA6884">
              <w:rPr>
                <w:rFonts w:eastAsia="Times New Roman" w:cs="Calibri"/>
                <w:b/>
                <w:sz w:val="20"/>
                <w:szCs w:val="20"/>
                <w:lang w:eastAsia="en-AU"/>
              </w:rPr>
              <w:t>Option 2</w:t>
            </w:r>
          </w:p>
        </w:tc>
        <w:tc>
          <w:tcPr>
            <w:tcW w:w="105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278"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67"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auto" w:fill="DBE5F1" w:themeFill="accent1" w:themeFillTint="33"/>
            <w:noWrap/>
            <w:vAlign w:val="bottom"/>
          </w:tcPr>
          <w:p w:rsidR="00CA6884" w:rsidRPr="004845D1" w:rsidRDefault="00CA6884" w:rsidP="00973C4B">
            <w:pPr>
              <w:jc w:val="center"/>
              <w:rPr>
                <w:rFonts w:eastAsia="Times New Roman" w:cs="Calibri"/>
                <w:sz w:val="20"/>
                <w:szCs w:val="20"/>
                <w:lang w:eastAsia="en-AU"/>
              </w:rPr>
            </w:pPr>
          </w:p>
        </w:tc>
      </w:tr>
      <w:tr w:rsidR="00CA6884" w:rsidRPr="004845D1" w:rsidTr="00290FD9">
        <w:trPr>
          <w:trHeight w:val="80"/>
          <w:jc w:val="center"/>
        </w:trPr>
        <w:tc>
          <w:tcPr>
            <w:tcW w:w="2410" w:type="dxa"/>
            <w:tcBorders>
              <w:top w:val="nil"/>
              <w:left w:val="nil"/>
              <w:bottom w:val="nil"/>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Large breeders</w:t>
            </w:r>
          </w:p>
        </w:tc>
        <w:tc>
          <w:tcPr>
            <w:tcW w:w="105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71</w:t>
            </w:r>
          </w:p>
        </w:tc>
        <w:tc>
          <w:tcPr>
            <w:tcW w:w="1278"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$714</w:t>
            </w:r>
          </w:p>
        </w:tc>
        <w:tc>
          <w:tcPr>
            <w:tcW w:w="1167"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$938</w:t>
            </w:r>
          </w:p>
        </w:tc>
        <w:tc>
          <w:tcPr>
            <w:tcW w:w="113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$10,094</w:t>
            </w:r>
          </w:p>
        </w:tc>
        <w:tc>
          <w:tcPr>
            <w:tcW w:w="978" w:type="dxa"/>
            <w:tcBorders>
              <w:top w:val="nil"/>
              <w:left w:val="nil"/>
              <w:bottom w:val="nil"/>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$8,626</w:t>
            </w:r>
          </w:p>
        </w:tc>
      </w:tr>
      <w:tr w:rsidR="00CA6884" w:rsidRPr="004845D1" w:rsidTr="00290FD9">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Small breeders</w:t>
            </w:r>
          </w:p>
        </w:tc>
        <w:tc>
          <w:tcPr>
            <w:tcW w:w="105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1,430</w:t>
            </w:r>
          </w:p>
        </w:tc>
        <w:tc>
          <w:tcPr>
            <w:tcW w:w="1278"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$14,303</w:t>
            </w:r>
          </w:p>
        </w:tc>
        <w:tc>
          <w:tcPr>
            <w:tcW w:w="1167"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$18,798</w:t>
            </w:r>
          </w:p>
        </w:tc>
        <w:tc>
          <w:tcPr>
            <w:tcW w:w="113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$202,279</w:t>
            </w:r>
          </w:p>
        </w:tc>
        <w:tc>
          <w:tcPr>
            <w:tcW w:w="978" w:type="dxa"/>
            <w:tcBorders>
              <w:top w:val="nil"/>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$172,867</w:t>
            </w:r>
          </w:p>
        </w:tc>
      </w:tr>
      <w:tr w:rsidR="00CA6884" w:rsidRPr="004845D1" w:rsidTr="00290FD9">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b/>
                <w:bCs/>
                <w:i/>
                <w:iCs/>
                <w:sz w:val="20"/>
                <w:szCs w:val="20"/>
              </w:rPr>
              <w:t>Total</w:t>
            </w:r>
          </w:p>
        </w:tc>
        <w:tc>
          <w:tcPr>
            <w:tcW w:w="105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1,502</w:t>
            </w:r>
          </w:p>
        </w:tc>
        <w:tc>
          <w:tcPr>
            <w:tcW w:w="1278"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$15,017</w:t>
            </w:r>
          </w:p>
        </w:tc>
        <w:tc>
          <w:tcPr>
            <w:tcW w:w="1167"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$19,736</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$212,372</w:t>
            </w:r>
          </w:p>
        </w:tc>
        <w:tc>
          <w:tcPr>
            <w:tcW w:w="97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$181,493</w:t>
            </w:r>
          </w:p>
        </w:tc>
      </w:tr>
      <w:tr w:rsidR="00CA6884" w:rsidRPr="004845D1" w:rsidTr="00290FD9">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CA6884" w:rsidRPr="00CA6884" w:rsidRDefault="00CA6884" w:rsidP="00973C4B">
            <w:pPr>
              <w:rPr>
                <w:rFonts w:eastAsia="Times New Roman" w:cs="Calibri"/>
                <w:b/>
                <w:sz w:val="20"/>
                <w:szCs w:val="20"/>
                <w:lang w:eastAsia="en-AU"/>
              </w:rPr>
            </w:pPr>
            <w:r w:rsidRPr="00CA6884">
              <w:rPr>
                <w:rFonts w:eastAsia="Times New Roman" w:cs="Calibri"/>
                <w:b/>
                <w:sz w:val="20"/>
                <w:szCs w:val="20"/>
                <w:lang w:eastAsia="en-AU"/>
              </w:rPr>
              <w:t>Options 3, 5 and 6</w:t>
            </w:r>
          </w:p>
        </w:tc>
        <w:tc>
          <w:tcPr>
            <w:tcW w:w="105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278"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67"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auto" w:fill="DBE5F1" w:themeFill="accent1" w:themeFillTint="33"/>
            <w:noWrap/>
            <w:vAlign w:val="bottom"/>
          </w:tcPr>
          <w:p w:rsidR="00CA6884" w:rsidRPr="004845D1" w:rsidRDefault="00CA6884" w:rsidP="00973C4B">
            <w:pPr>
              <w:jc w:val="center"/>
              <w:rPr>
                <w:rFonts w:eastAsia="Times New Roman" w:cs="Calibri"/>
                <w:sz w:val="20"/>
                <w:szCs w:val="20"/>
                <w:lang w:eastAsia="en-AU"/>
              </w:rPr>
            </w:pPr>
          </w:p>
        </w:tc>
      </w:tr>
      <w:tr w:rsidR="00CA6884" w:rsidRPr="004845D1" w:rsidTr="00290FD9">
        <w:trPr>
          <w:trHeight w:val="80"/>
          <w:jc w:val="center"/>
        </w:trPr>
        <w:tc>
          <w:tcPr>
            <w:tcW w:w="2410" w:type="dxa"/>
            <w:tcBorders>
              <w:top w:val="nil"/>
              <w:left w:val="nil"/>
              <w:bottom w:val="nil"/>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Large breeders</w:t>
            </w:r>
          </w:p>
        </w:tc>
        <w:tc>
          <w:tcPr>
            <w:tcW w:w="105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273</w:t>
            </w:r>
          </w:p>
        </w:tc>
        <w:tc>
          <w:tcPr>
            <w:tcW w:w="1278"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$2,731</w:t>
            </w:r>
          </w:p>
        </w:tc>
        <w:tc>
          <w:tcPr>
            <w:tcW w:w="1167"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$3,590</w:t>
            </w:r>
          </w:p>
        </w:tc>
        <w:tc>
          <w:tcPr>
            <w:tcW w:w="113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$38,628</w:t>
            </w:r>
          </w:p>
        </w:tc>
        <w:tc>
          <w:tcPr>
            <w:tcW w:w="978" w:type="dxa"/>
            <w:tcBorders>
              <w:top w:val="nil"/>
              <w:left w:val="nil"/>
              <w:bottom w:val="nil"/>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$33,011</w:t>
            </w:r>
          </w:p>
        </w:tc>
      </w:tr>
      <w:tr w:rsidR="00CA6884" w:rsidRPr="004845D1" w:rsidTr="00290FD9">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Small breeders</w:t>
            </w:r>
          </w:p>
        </w:tc>
        <w:tc>
          <w:tcPr>
            <w:tcW w:w="105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5,474</w:t>
            </w:r>
          </w:p>
        </w:tc>
        <w:tc>
          <w:tcPr>
            <w:tcW w:w="1278"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$54,737</w:t>
            </w:r>
          </w:p>
        </w:tc>
        <w:tc>
          <w:tcPr>
            <w:tcW w:w="1167"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$71,935</w:t>
            </w:r>
          </w:p>
        </w:tc>
        <w:tc>
          <w:tcPr>
            <w:tcW w:w="113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$774,087</w:t>
            </w:r>
          </w:p>
        </w:tc>
        <w:tc>
          <w:tcPr>
            <w:tcW w:w="978" w:type="dxa"/>
            <w:tcBorders>
              <w:top w:val="nil"/>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$661,532</w:t>
            </w:r>
          </w:p>
        </w:tc>
      </w:tr>
      <w:tr w:rsidR="00CA6884" w:rsidRPr="004845D1" w:rsidTr="00290FD9">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b/>
                <w:bCs/>
                <w:i/>
                <w:iCs/>
                <w:sz w:val="20"/>
                <w:szCs w:val="20"/>
              </w:rPr>
              <w:t>Total</w:t>
            </w:r>
          </w:p>
        </w:tc>
        <w:tc>
          <w:tcPr>
            <w:tcW w:w="105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5,747</w:t>
            </w:r>
          </w:p>
        </w:tc>
        <w:tc>
          <w:tcPr>
            <w:tcW w:w="1278"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$57,468</w:t>
            </w:r>
          </w:p>
        </w:tc>
        <w:tc>
          <w:tcPr>
            <w:tcW w:w="1167"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$75,525</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$812,715</w:t>
            </w:r>
          </w:p>
        </w:tc>
        <w:tc>
          <w:tcPr>
            <w:tcW w:w="97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$694,544</w:t>
            </w:r>
          </w:p>
        </w:tc>
      </w:tr>
      <w:tr w:rsidR="00CA6884" w:rsidRPr="004845D1" w:rsidTr="00290FD9">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CA6884" w:rsidRPr="00CA6884" w:rsidRDefault="00CA6884" w:rsidP="00973C4B">
            <w:pPr>
              <w:rPr>
                <w:rFonts w:eastAsia="Times New Roman" w:cs="Calibri"/>
                <w:b/>
                <w:sz w:val="20"/>
                <w:szCs w:val="20"/>
                <w:lang w:eastAsia="en-AU"/>
              </w:rPr>
            </w:pPr>
            <w:r w:rsidRPr="00CA6884">
              <w:rPr>
                <w:rFonts w:eastAsia="Times New Roman" w:cs="Calibri"/>
                <w:b/>
                <w:sz w:val="20"/>
                <w:szCs w:val="20"/>
                <w:lang w:eastAsia="en-AU"/>
              </w:rPr>
              <w:t>Option 4</w:t>
            </w:r>
          </w:p>
        </w:tc>
        <w:tc>
          <w:tcPr>
            <w:tcW w:w="105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278"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67"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CA6884" w:rsidRPr="004845D1" w:rsidRDefault="00CA6884" w:rsidP="00973C4B">
            <w:pPr>
              <w:jc w:val="center"/>
              <w:rPr>
                <w:rFonts w:eastAsia="Times New Roman" w:cs="Calibri"/>
                <w:sz w:val="20"/>
                <w:szCs w:val="20"/>
                <w:lang w:eastAsia="en-AU"/>
              </w:rPr>
            </w:pPr>
          </w:p>
        </w:tc>
        <w:tc>
          <w:tcPr>
            <w:tcW w:w="978" w:type="dxa"/>
            <w:tcBorders>
              <w:top w:val="single" w:sz="4" w:space="0" w:color="1F497D" w:themeColor="text2"/>
              <w:left w:val="nil"/>
              <w:bottom w:val="nil"/>
              <w:right w:val="nil"/>
            </w:tcBorders>
            <w:shd w:val="clear" w:color="auto" w:fill="DBE5F1" w:themeFill="accent1" w:themeFillTint="33"/>
            <w:noWrap/>
            <w:vAlign w:val="bottom"/>
          </w:tcPr>
          <w:p w:rsidR="00CA6884" w:rsidRPr="004845D1" w:rsidRDefault="00CA6884" w:rsidP="00973C4B">
            <w:pPr>
              <w:jc w:val="center"/>
              <w:rPr>
                <w:rFonts w:eastAsia="Times New Roman" w:cs="Calibri"/>
                <w:sz w:val="20"/>
                <w:szCs w:val="20"/>
                <w:lang w:eastAsia="en-AU"/>
              </w:rPr>
            </w:pPr>
          </w:p>
        </w:tc>
      </w:tr>
      <w:tr w:rsidR="00CA6884" w:rsidRPr="004845D1" w:rsidTr="00290FD9">
        <w:trPr>
          <w:trHeight w:val="80"/>
          <w:jc w:val="center"/>
        </w:trPr>
        <w:tc>
          <w:tcPr>
            <w:tcW w:w="2410" w:type="dxa"/>
            <w:tcBorders>
              <w:top w:val="nil"/>
              <w:left w:val="nil"/>
              <w:bottom w:val="nil"/>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Large breeders</w:t>
            </w:r>
          </w:p>
        </w:tc>
        <w:tc>
          <w:tcPr>
            <w:tcW w:w="105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172</w:t>
            </w:r>
          </w:p>
        </w:tc>
        <w:tc>
          <w:tcPr>
            <w:tcW w:w="1278"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$1,723</w:t>
            </w:r>
          </w:p>
        </w:tc>
        <w:tc>
          <w:tcPr>
            <w:tcW w:w="1167"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$2,264</w:t>
            </w:r>
          </w:p>
        </w:tc>
        <w:tc>
          <w:tcPr>
            <w:tcW w:w="1131" w:type="dxa"/>
            <w:tcBorders>
              <w:top w:val="nil"/>
              <w:left w:val="nil"/>
              <w:bottom w:val="nil"/>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$24,360</w:t>
            </w:r>
          </w:p>
        </w:tc>
        <w:tc>
          <w:tcPr>
            <w:tcW w:w="978" w:type="dxa"/>
            <w:tcBorders>
              <w:top w:val="nil"/>
              <w:left w:val="nil"/>
              <w:bottom w:val="nil"/>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$20,818</w:t>
            </w:r>
          </w:p>
        </w:tc>
      </w:tr>
      <w:tr w:rsidR="00CA6884" w:rsidRPr="004845D1" w:rsidTr="00290FD9">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sz w:val="20"/>
                <w:szCs w:val="20"/>
              </w:rPr>
              <w:t>Small breeders</w:t>
            </w:r>
          </w:p>
        </w:tc>
        <w:tc>
          <w:tcPr>
            <w:tcW w:w="105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3,452</w:t>
            </w:r>
          </w:p>
        </w:tc>
        <w:tc>
          <w:tcPr>
            <w:tcW w:w="1278"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$34,519</w:t>
            </w:r>
          </w:p>
        </w:tc>
        <w:tc>
          <w:tcPr>
            <w:tcW w:w="1167"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$45,365</w:t>
            </w:r>
          </w:p>
        </w:tc>
        <w:tc>
          <w:tcPr>
            <w:tcW w:w="1131" w:type="dxa"/>
            <w:tcBorders>
              <w:top w:val="nil"/>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$488,171</w:t>
            </w:r>
          </w:p>
        </w:tc>
        <w:tc>
          <w:tcPr>
            <w:tcW w:w="978" w:type="dxa"/>
            <w:tcBorders>
              <w:top w:val="nil"/>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sz w:val="20"/>
                <w:szCs w:val="20"/>
              </w:rPr>
              <w:t>$417,189</w:t>
            </w:r>
          </w:p>
        </w:tc>
      </w:tr>
      <w:tr w:rsidR="00CA6884" w:rsidRPr="004845D1" w:rsidTr="00290FD9">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rPr>
                <w:rFonts w:eastAsia="Times New Roman" w:cs="Calibri"/>
                <w:sz w:val="20"/>
                <w:szCs w:val="20"/>
                <w:lang w:eastAsia="en-AU"/>
              </w:rPr>
            </w:pPr>
            <w:r>
              <w:rPr>
                <w:rFonts w:cs="Calibri"/>
                <w:b/>
                <w:bCs/>
                <w:i/>
                <w:iCs/>
                <w:sz w:val="20"/>
                <w:szCs w:val="20"/>
              </w:rPr>
              <w:t>Total</w:t>
            </w:r>
          </w:p>
        </w:tc>
        <w:tc>
          <w:tcPr>
            <w:tcW w:w="105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3,624</w:t>
            </w:r>
          </w:p>
        </w:tc>
        <w:tc>
          <w:tcPr>
            <w:tcW w:w="1278"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$36,242</w:t>
            </w:r>
          </w:p>
        </w:tc>
        <w:tc>
          <w:tcPr>
            <w:tcW w:w="1167"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$47,629</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$512,531</w:t>
            </w:r>
          </w:p>
        </w:tc>
        <w:tc>
          <w:tcPr>
            <w:tcW w:w="97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A6884" w:rsidRPr="004845D1" w:rsidRDefault="00CA6884" w:rsidP="00CA6884">
            <w:pPr>
              <w:jc w:val="center"/>
              <w:rPr>
                <w:rFonts w:eastAsia="Times New Roman" w:cs="Calibri"/>
                <w:sz w:val="20"/>
                <w:szCs w:val="20"/>
                <w:lang w:eastAsia="en-AU"/>
              </w:rPr>
            </w:pPr>
            <w:r>
              <w:rPr>
                <w:rFonts w:cs="Calibri"/>
                <w:b/>
                <w:bCs/>
                <w:i/>
                <w:iCs/>
                <w:sz w:val="20"/>
                <w:szCs w:val="20"/>
              </w:rPr>
              <w:t>$438,007</w:t>
            </w:r>
          </w:p>
        </w:tc>
      </w:tr>
    </w:tbl>
    <w:p w:rsidR="004506D7" w:rsidRPr="004506D7" w:rsidRDefault="004506D7" w:rsidP="004506D7">
      <w:pPr>
        <w:rPr>
          <w:sz w:val="18"/>
        </w:rPr>
      </w:pPr>
      <w:r w:rsidRPr="004506D7">
        <w:rPr>
          <w:sz w:val="18"/>
        </w:rPr>
        <w:t>*Option 1 (information and media campaign) is not likely to result in any behaviour change amongst large participants due to cultural, age and attitude factors.</w:t>
      </w:r>
    </w:p>
    <w:p w:rsidR="00CA6884" w:rsidRDefault="00CA6884" w:rsidP="005E307C">
      <w:pPr>
        <w:pStyle w:val="Heading3"/>
      </w:pPr>
      <w:bookmarkStart w:id="229" w:name="_Toc469529213"/>
      <w:bookmarkStart w:id="230" w:name="_Toc477190237"/>
      <w:r>
        <w:lastRenderedPageBreak/>
        <w:t>A4.8.2: Food storage</w:t>
      </w:r>
      <w:bookmarkEnd w:id="229"/>
      <w:bookmarkEnd w:id="230"/>
    </w:p>
    <w:p w:rsidR="00556F08" w:rsidRDefault="00C100E9" w:rsidP="00740E56">
      <w:pPr>
        <w:jc w:val="both"/>
      </w:pPr>
      <w:r>
        <w:t xml:space="preserve">Proposed standard 6.1.1 would also result in additional costs for </w:t>
      </w:r>
      <w:r w:rsidR="00E00E41">
        <w:t xml:space="preserve">a proportion of </w:t>
      </w:r>
      <w:r w:rsidR="00C2045C">
        <w:t xml:space="preserve">around </w:t>
      </w:r>
      <w:r w:rsidR="00E00E41">
        <w:t xml:space="preserve">5 </w:t>
      </w:r>
      <w:r w:rsidR="00C2045C">
        <w:t>breeders and</w:t>
      </w:r>
      <w:r>
        <w:t xml:space="preserve"> </w:t>
      </w:r>
      <w:r w:rsidR="00E00E41">
        <w:t>5 large trainers</w:t>
      </w:r>
      <w:r>
        <w:t xml:space="preserve"> with</w:t>
      </w:r>
      <w:r w:rsidR="00C2045C">
        <w:t xml:space="preserve"> around</w:t>
      </w:r>
      <w:r>
        <w:t xml:space="preserve"> 100 dogs </w:t>
      </w:r>
      <w:r w:rsidR="00C2045C">
        <w:t xml:space="preserve">each </w:t>
      </w:r>
      <w:r>
        <w:t>under their care</w:t>
      </w:r>
      <w:r w:rsidR="00C2045C">
        <w:t xml:space="preserve"> (based on advice from DEDJTR)</w:t>
      </w:r>
      <w:r>
        <w:rPr>
          <w:rStyle w:val="Heading3Char"/>
        </w:rPr>
        <w:t xml:space="preserve"> </w:t>
      </w:r>
      <w:r>
        <w:t xml:space="preserve">and would require food storage facilities (one sealed container per </w:t>
      </w:r>
      <w:r w:rsidR="00E00E41">
        <w:t>dog) at a cost of $40 per dog</w:t>
      </w:r>
      <w:r w:rsidR="004506D7">
        <w:t>.</w:t>
      </w:r>
      <w:r w:rsidR="007B521C">
        <w:t xml:space="preserve"> </w:t>
      </w:r>
      <w:r w:rsidR="004F38D8">
        <w:t xml:space="preserve">The estimated number of participants affected </w:t>
      </w:r>
      <w:r w:rsidR="006B0A1E">
        <w:t xml:space="preserve">for each category </w:t>
      </w:r>
      <w:r w:rsidR="004F38D8">
        <w:t xml:space="preserve">is determined as the product of </w:t>
      </w:r>
      <w:r w:rsidR="006B0A1E">
        <w:t xml:space="preserve">50% of the total </w:t>
      </w:r>
      <w:r w:rsidR="004F38D8">
        <w:t>the number of large breeders or large trainers</w:t>
      </w:r>
      <w:r w:rsidR="006B0A1E">
        <w:t xml:space="preserve"> (i.e. </w:t>
      </w:r>
      <w:r w:rsidR="00DB63A7">
        <w:t xml:space="preserve">50% of </w:t>
      </w:r>
      <w:r w:rsidR="006B0A1E">
        <w:t>10</w:t>
      </w:r>
      <w:r w:rsidR="00DB63A7">
        <w:t xml:space="preserve"> participants</w:t>
      </w:r>
      <w:r w:rsidR="006B0A1E">
        <w:t xml:space="preserve">) </w:t>
      </w:r>
      <w:r w:rsidR="004F38D8">
        <w:t>with around 100 dogs under their care</w:t>
      </w:r>
      <w:r w:rsidR="006B0A1E">
        <w:t>;</w:t>
      </w:r>
      <w:r w:rsidR="004F38D8">
        <w:t xml:space="preserve"> </w:t>
      </w:r>
      <w:r w:rsidR="00740E56">
        <w:t xml:space="preserve">and </w:t>
      </w:r>
      <w:r w:rsidR="00740E56" w:rsidRPr="00740E56">
        <w:t>the last column in Table A</w:t>
      </w:r>
      <w:r w:rsidR="006B0A1E">
        <w:t>4.3 against each of the categories</w:t>
      </w:r>
      <w:r w:rsidR="00740E56" w:rsidRPr="00740E56">
        <w:t xml:space="preserve"> of</w:t>
      </w:r>
      <w:r w:rsidR="00740E56">
        <w:t xml:space="preserve"> large breeder and large trainer</w:t>
      </w:r>
      <w:r w:rsidR="00E00E41">
        <w:t xml:space="preserve"> –</w:t>
      </w:r>
      <w:r w:rsidR="00740E56" w:rsidRPr="00740E56">
        <w:t xml:space="preserve"> </w:t>
      </w:r>
      <w:r w:rsidR="00E00E41">
        <w:t xml:space="preserve">using the </w:t>
      </w:r>
      <w:r w:rsidR="00740E56" w:rsidRPr="00740E56">
        <w:t>following formula:</w:t>
      </w:r>
    </w:p>
    <w:p w:rsidR="00740E56" w:rsidRPr="009E30A8" w:rsidRDefault="00740E56" w:rsidP="00740E56">
      <w:pPr>
        <w:jc w:val="center"/>
        <w:rPr>
          <w:i/>
          <w:sz w:val="20"/>
        </w:rPr>
      </w:pPr>
      <w:r>
        <w:rPr>
          <w:i/>
          <w:sz w:val="20"/>
        </w:rPr>
        <w:t xml:space="preserve">Estimated No. </w:t>
      </w:r>
      <w:r w:rsidR="00E00E41">
        <w:rPr>
          <w:i/>
          <w:sz w:val="20"/>
        </w:rPr>
        <w:t xml:space="preserve">participants </w:t>
      </w:r>
      <w:r>
        <w:rPr>
          <w:i/>
          <w:sz w:val="20"/>
        </w:rPr>
        <w:t>affected = {</w:t>
      </w:r>
      <w:r w:rsidR="006B0A1E">
        <w:rPr>
          <w:i/>
          <w:sz w:val="20"/>
        </w:rPr>
        <w:t>number of large breeders and large trainers (i.e. 10)</w:t>
      </w:r>
      <w:r>
        <w:rPr>
          <w:i/>
          <w:sz w:val="20"/>
        </w:rPr>
        <w:t>} x</w:t>
      </w:r>
      <w:r w:rsidRPr="002244B9">
        <w:rPr>
          <w:i/>
          <w:sz w:val="20"/>
        </w:rPr>
        <w:t xml:space="preserve"> </w:t>
      </w:r>
      <w:r w:rsidR="006B0A1E">
        <w:rPr>
          <w:i/>
          <w:sz w:val="20"/>
        </w:rPr>
        <w:t xml:space="preserve">50% x </w:t>
      </w:r>
      <w:r>
        <w:rPr>
          <w:i/>
          <w:sz w:val="20"/>
        </w:rPr>
        <w:t>% of</w:t>
      </w:r>
      <w:r w:rsidRPr="00E63EC4">
        <w:rPr>
          <w:i/>
          <w:sz w:val="20"/>
        </w:rPr>
        <w:t xml:space="preserve"> total </w:t>
      </w:r>
      <w:r w:rsidR="00E00E41">
        <w:rPr>
          <w:i/>
          <w:sz w:val="20"/>
        </w:rPr>
        <w:t xml:space="preserve">large </w:t>
      </w:r>
      <w:r>
        <w:rPr>
          <w:i/>
          <w:sz w:val="20"/>
        </w:rPr>
        <w:t>breeders</w:t>
      </w:r>
      <w:r w:rsidR="00E00E41">
        <w:rPr>
          <w:i/>
          <w:sz w:val="20"/>
        </w:rPr>
        <w:t xml:space="preserve"> or large trainers</w:t>
      </w:r>
      <w:r>
        <w:rPr>
          <w:i/>
          <w:sz w:val="20"/>
        </w:rPr>
        <w:t xml:space="preserve"> </w:t>
      </w:r>
      <w:r w:rsidRPr="00E63EC4">
        <w:rPr>
          <w:i/>
          <w:sz w:val="20"/>
        </w:rPr>
        <w:t>affected by behaviour change</w:t>
      </w:r>
      <w:r>
        <w:rPr>
          <w:i/>
          <w:sz w:val="20"/>
        </w:rPr>
        <w:t xml:space="preserve"> (see last column of Table A4.3 for options 1 to 6)</w:t>
      </w:r>
      <w:r w:rsidRPr="000A6D5E">
        <w:rPr>
          <w:i/>
          <w:sz w:val="20"/>
        </w:rPr>
        <w:t>.</w:t>
      </w:r>
    </w:p>
    <w:p w:rsidR="00556F08" w:rsidRDefault="00556F08" w:rsidP="00C100E9"/>
    <w:p w:rsidR="00C100E9" w:rsidRDefault="00C41DF9" w:rsidP="00C63E43">
      <w:pPr>
        <w:jc w:val="both"/>
      </w:pPr>
      <w:r>
        <w:t>As shown in Table A4.12</w:t>
      </w:r>
      <w:r w:rsidR="00C100E9">
        <w:t>,</w:t>
      </w:r>
      <w:r w:rsidR="00E00E41">
        <w:t xml:space="preserve"> </w:t>
      </w:r>
      <w:r>
        <w:t>there would be an estimated 320 dogs affected under Options, 3, 5 and 6 with a 10-year additional cost of</w:t>
      </w:r>
      <w:r w:rsidR="00C63E43">
        <w:t xml:space="preserve"> $12.8K; an estimated 84 dogs affected under Option 2 with a 10-year cost of $3.3K; and an estimated 202 dogs affected under Option 4 with a </w:t>
      </w:r>
      <w:r w:rsidR="00C100E9">
        <w:t>10-year cost</w:t>
      </w:r>
      <w:r w:rsidR="00C63E43">
        <w:t xml:space="preserve"> of $8.1K</w:t>
      </w:r>
      <w:r w:rsidR="00C100E9">
        <w:t>.</w:t>
      </w:r>
    </w:p>
    <w:p w:rsidR="00C100E9" w:rsidRDefault="00C100E9" w:rsidP="00C100E9">
      <w:pPr>
        <w:jc w:val="both"/>
      </w:pPr>
    </w:p>
    <w:p w:rsidR="00E00E41" w:rsidRPr="00E00E41" w:rsidRDefault="00C100E9" w:rsidP="00E00E41">
      <w:pPr>
        <w:jc w:val="center"/>
        <w:rPr>
          <w:b/>
          <w:sz w:val="20"/>
          <w:szCs w:val="20"/>
        </w:rPr>
      </w:pPr>
      <w:r w:rsidRPr="00E00E41">
        <w:rPr>
          <w:b/>
          <w:sz w:val="20"/>
          <w:szCs w:val="20"/>
        </w:rPr>
        <w:t>Table A</w:t>
      </w:r>
      <w:r w:rsidR="00E00E41" w:rsidRPr="00E00E41">
        <w:rPr>
          <w:b/>
          <w:sz w:val="20"/>
          <w:szCs w:val="20"/>
        </w:rPr>
        <w:t>4.12</w:t>
      </w:r>
      <w:r w:rsidRPr="00E00E41">
        <w:rPr>
          <w:b/>
          <w:sz w:val="20"/>
          <w:szCs w:val="20"/>
        </w:rPr>
        <w:t>: Estimated 10-year additional costs of food storage for participants</w:t>
      </w:r>
      <w:r w:rsidR="00E00E41" w:rsidRPr="00E00E41">
        <w:rPr>
          <w:b/>
          <w:sz w:val="20"/>
          <w:szCs w:val="20"/>
        </w:rPr>
        <w:t xml:space="preserve"> under proposed standard 6.1.1 – Options 1 to 6</w:t>
      </w:r>
      <w:r w:rsidR="004506D7">
        <w:rPr>
          <w:rStyle w:val="FootnoteReference"/>
          <w:b/>
          <w:sz w:val="20"/>
          <w:szCs w:val="20"/>
        </w:rPr>
        <w:footnoteReference w:id="168"/>
      </w:r>
    </w:p>
    <w:p w:rsidR="00C100E9" w:rsidRDefault="00C100E9" w:rsidP="00C100E9">
      <w:pPr>
        <w:jc w:val="both"/>
      </w:pPr>
    </w:p>
    <w:tbl>
      <w:tblPr>
        <w:tblW w:w="8037" w:type="dxa"/>
        <w:tblLayout w:type="fixed"/>
        <w:tblCellMar>
          <w:left w:w="0" w:type="dxa"/>
          <w:right w:w="0" w:type="dxa"/>
        </w:tblCellMar>
        <w:tblLook w:val="04A0" w:firstRow="1" w:lastRow="0" w:firstColumn="1" w:lastColumn="0" w:noHBand="0" w:noVBand="1"/>
      </w:tblPr>
      <w:tblGrid>
        <w:gridCol w:w="2756"/>
        <w:gridCol w:w="1355"/>
        <w:gridCol w:w="20"/>
        <w:gridCol w:w="20"/>
        <w:gridCol w:w="952"/>
        <w:gridCol w:w="1467"/>
        <w:gridCol w:w="1467"/>
      </w:tblGrid>
      <w:tr w:rsidR="004506D7" w:rsidRPr="00BD28C4" w:rsidTr="00290FD9">
        <w:trPr>
          <w:trHeight w:val="315"/>
          <w:tblHeader/>
        </w:trPr>
        <w:tc>
          <w:tcPr>
            <w:tcW w:w="2756" w:type="dxa"/>
            <w:tcBorders>
              <w:top w:val="single" w:sz="4" w:space="0" w:color="1F4E78"/>
              <w:left w:val="nil"/>
              <w:bottom w:val="double" w:sz="6" w:space="0" w:color="1F4E78"/>
              <w:right w:val="nil"/>
            </w:tcBorders>
            <w:shd w:val="clear" w:color="000000" w:fill="FFFFFF"/>
            <w:noWrap/>
            <w:vAlign w:val="bottom"/>
            <w:hideMark/>
          </w:tcPr>
          <w:p w:rsidR="004506D7" w:rsidRPr="00BD28C4" w:rsidRDefault="004506D7" w:rsidP="00973C4B">
            <w:pPr>
              <w:rPr>
                <w:rFonts w:cs="Calibri"/>
                <w:b/>
                <w:bCs/>
                <w:color w:val="53565A"/>
                <w:sz w:val="20"/>
                <w:szCs w:val="20"/>
              </w:rPr>
            </w:pPr>
            <w:r w:rsidRPr="00BD28C4">
              <w:rPr>
                <w:rFonts w:cs="Calibri"/>
                <w:b/>
                <w:bCs/>
                <w:color w:val="53565A"/>
                <w:sz w:val="20"/>
                <w:szCs w:val="20"/>
              </w:rPr>
              <w:t>Category of participants</w:t>
            </w:r>
          </w:p>
        </w:tc>
        <w:tc>
          <w:tcPr>
            <w:tcW w:w="1355" w:type="dxa"/>
            <w:tcBorders>
              <w:top w:val="single" w:sz="4" w:space="0" w:color="1F4E78"/>
              <w:left w:val="nil"/>
              <w:bottom w:val="double" w:sz="6" w:space="0" w:color="1F4E78"/>
              <w:right w:val="nil"/>
            </w:tcBorders>
            <w:shd w:val="clear" w:color="000000" w:fill="FFFFFF"/>
            <w:noWrap/>
            <w:vAlign w:val="bottom"/>
            <w:hideMark/>
          </w:tcPr>
          <w:p w:rsidR="004506D7" w:rsidRPr="00BD28C4" w:rsidRDefault="004506D7" w:rsidP="00973C4B">
            <w:pPr>
              <w:jc w:val="center"/>
              <w:rPr>
                <w:rFonts w:cs="Calibri"/>
                <w:b/>
                <w:bCs/>
                <w:color w:val="53565A"/>
                <w:sz w:val="20"/>
                <w:szCs w:val="20"/>
              </w:rPr>
            </w:pPr>
            <w:r w:rsidRPr="00BD28C4">
              <w:rPr>
                <w:rFonts w:cs="Calibri"/>
                <w:b/>
                <w:bCs/>
                <w:color w:val="53565A"/>
                <w:sz w:val="20"/>
                <w:szCs w:val="20"/>
              </w:rPr>
              <w:t>Estimated No. participants affected</w:t>
            </w:r>
          </w:p>
        </w:tc>
        <w:tc>
          <w:tcPr>
            <w:tcW w:w="20" w:type="dxa"/>
            <w:tcBorders>
              <w:top w:val="single" w:sz="4" w:space="0" w:color="1F4E78"/>
              <w:left w:val="nil"/>
              <w:bottom w:val="double" w:sz="6" w:space="0" w:color="1F4E78"/>
              <w:right w:val="nil"/>
            </w:tcBorders>
            <w:shd w:val="clear" w:color="000000" w:fill="FFFFFF"/>
          </w:tcPr>
          <w:p w:rsidR="004506D7" w:rsidRPr="00BD28C4" w:rsidRDefault="004506D7" w:rsidP="00973C4B">
            <w:pPr>
              <w:jc w:val="center"/>
              <w:rPr>
                <w:rFonts w:cs="Calibri"/>
                <w:b/>
                <w:bCs/>
                <w:color w:val="53565A"/>
                <w:sz w:val="20"/>
                <w:szCs w:val="20"/>
              </w:rPr>
            </w:pPr>
          </w:p>
        </w:tc>
        <w:tc>
          <w:tcPr>
            <w:tcW w:w="20" w:type="dxa"/>
            <w:tcBorders>
              <w:top w:val="single" w:sz="4" w:space="0" w:color="1F4E78"/>
              <w:left w:val="nil"/>
              <w:bottom w:val="double" w:sz="6" w:space="0" w:color="1F4E78"/>
              <w:right w:val="nil"/>
            </w:tcBorders>
            <w:shd w:val="clear" w:color="000000" w:fill="FFFFFF"/>
          </w:tcPr>
          <w:p w:rsidR="004506D7" w:rsidRPr="00BD28C4" w:rsidRDefault="004506D7" w:rsidP="00973C4B">
            <w:pPr>
              <w:jc w:val="center"/>
              <w:rPr>
                <w:rFonts w:cs="Calibri"/>
                <w:b/>
                <w:bCs/>
                <w:color w:val="53565A"/>
                <w:sz w:val="20"/>
                <w:szCs w:val="20"/>
              </w:rPr>
            </w:pPr>
          </w:p>
        </w:tc>
        <w:tc>
          <w:tcPr>
            <w:tcW w:w="952" w:type="dxa"/>
            <w:tcBorders>
              <w:top w:val="single" w:sz="4" w:space="0" w:color="1F4E78"/>
              <w:left w:val="nil"/>
              <w:bottom w:val="double" w:sz="6" w:space="0" w:color="1F4E78"/>
              <w:right w:val="nil"/>
            </w:tcBorders>
            <w:shd w:val="clear" w:color="000000" w:fill="FFFFFF"/>
          </w:tcPr>
          <w:p w:rsidR="004506D7" w:rsidRPr="00BD28C4" w:rsidRDefault="004506D7" w:rsidP="00973C4B">
            <w:pPr>
              <w:jc w:val="center"/>
              <w:rPr>
                <w:rFonts w:cs="Calibri"/>
                <w:b/>
                <w:bCs/>
                <w:color w:val="53565A"/>
                <w:sz w:val="20"/>
                <w:szCs w:val="20"/>
              </w:rPr>
            </w:pPr>
            <w:r w:rsidRPr="00BD28C4">
              <w:rPr>
                <w:rFonts w:cs="Calibri"/>
                <w:b/>
                <w:bCs/>
                <w:color w:val="53565A"/>
                <w:sz w:val="20"/>
                <w:szCs w:val="20"/>
              </w:rPr>
              <w:t>Estimated No. dogs affected</w:t>
            </w:r>
          </w:p>
        </w:tc>
        <w:tc>
          <w:tcPr>
            <w:tcW w:w="1467" w:type="dxa"/>
            <w:tcBorders>
              <w:top w:val="single" w:sz="4" w:space="0" w:color="1F4E78"/>
              <w:left w:val="nil"/>
              <w:bottom w:val="double" w:sz="6" w:space="0" w:color="1F4E78"/>
              <w:right w:val="nil"/>
            </w:tcBorders>
            <w:shd w:val="clear" w:color="000000" w:fill="FFFFFF"/>
            <w:noWrap/>
            <w:vAlign w:val="bottom"/>
            <w:hideMark/>
          </w:tcPr>
          <w:p w:rsidR="004506D7" w:rsidRPr="00BD28C4" w:rsidRDefault="004506D7" w:rsidP="00973C4B">
            <w:pPr>
              <w:jc w:val="center"/>
              <w:rPr>
                <w:rFonts w:cs="Calibri"/>
                <w:b/>
                <w:bCs/>
                <w:color w:val="53565A"/>
                <w:sz w:val="20"/>
                <w:szCs w:val="20"/>
              </w:rPr>
            </w:pPr>
            <w:r w:rsidRPr="00BD28C4">
              <w:rPr>
                <w:rFonts w:cs="Calibri"/>
                <w:b/>
                <w:bCs/>
                <w:color w:val="53565A"/>
                <w:sz w:val="20"/>
                <w:szCs w:val="20"/>
              </w:rPr>
              <w:t>one off cost</w:t>
            </w:r>
          </w:p>
        </w:tc>
        <w:tc>
          <w:tcPr>
            <w:tcW w:w="1467" w:type="dxa"/>
            <w:tcBorders>
              <w:top w:val="single" w:sz="4" w:space="0" w:color="1F4E78"/>
              <w:left w:val="nil"/>
              <w:bottom w:val="double" w:sz="6" w:space="0" w:color="1F4E78"/>
              <w:right w:val="nil"/>
            </w:tcBorders>
            <w:shd w:val="clear" w:color="auto" w:fill="DBE5F1" w:themeFill="accent1" w:themeFillTint="33"/>
            <w:noWrap/>
            <w:vAlign w:val="bottom"/>
            <w:hideMark/>
          </w:tcPr>
          <w:p w:rsidR="004506D7" w:rsidRPr="00BD28C4" w:rsidRDefault="004506D7" w:rsidP="00973C4B">
            <w:pPr>
              <w:jc w:val="center"/>
              <w:rPr>
                <w:rFonts w:cs="Calibri"/>
                <w:b/>
                <w:bCs/>
                <w:color w:val="53565A"/>
                <w:sz w:val="20"/>
                <w:szCs w:val="20"/>
              </w:rPr>
            </w:pPr>
            <w:r w:rsidRPr="00BD28C4">
              <w:rPr>
                <w:rFonts w:cs="Calibri"/>
                <w:b/>
                <w:bCs/>
                <w:color w:val="53565A"/>
                <w:sz w:val="20"/>
                <w:szCs w:val="20"/>
              </w:rPr>
              <w:t>10-year PV</w:t>
            </w:r>
          </w:p>
        </w:tc>
      </w:tr>
      <w:tr w:rsidR="004506D7" w:rsidTr="00290FD9">
        <w:trPr>
          <w:trHeight w:val="35"/>
        </w:trPr>
        <w:tc>
          <w:tcPr>
            <w:tcW w:w="2756" w:type="dxa"/>
            <w:tcBorders>
              <w:top w:val="nil"/>
              <w:left w:val="nil"/>
              <w:bottom w:val="nil"/>
              <w:right w:val="nil"/>
            </w:tcBorders>
            <w:shd w:val="clear" w:color="000000" w:fill="FFFFFF"/>
            <w:noWrap/>
            <w:vAlign w:val="bottom"/>
          </w:tcPr>
          <w:p w:rsidR="004506D7" w:rsidRPr="00246A41" w:rsidRDefault="004506D7" w:rsidP="00973C4B">
            <w:pPr>
              <w:rPr>
                <w:rFonts w:cs="Calibri"/>
                <w:b/>
                <w:sz w:val="20"/>
                <w:szCs w:val="20"/>
              </w:rPr>
            </w:pPr>
            <w:r w:rsidRPr="00246A41">
              <w:rPr>
                <w:rFonts w:cs="Calibri"/>
                <w:b/>
                <w:sz w:val="20"/>
                <w:szCs w:val="20"/>
              </w:rPr>
              <w:t>Option 1</w:t>
            </w:r>
          </w:p>
        </w:tc>
        <w:tc>
          <w:tcPr>
            <w:tcW w:w="1355" w:type="dxa"/>
            <w:tcBorders>
              <w:top w:val="nil"/>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973C4B">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973C4B">
            <w:pPr>
              <w:jc w:val="center"/>
              <w:rPr>
                <w:rFonts w:cs="Calibri"/>
                <w:sz w:val="20"/>
                <w:szCs w:val="20"/>
              </w:rPr>
            </w:pPr>
          </w:p>
        </w:tc>
        <w:tc>
          <w:tcPr>
            <w:tcW w:w="952" w:type="dxa"/>
            <w:tcBorders>
              <w:top w:val="nil"/>
              <w:left w:val="nil"/>
              <w:bottom w:val="nil"/>
              <w:right w:val="nil"/>
            </w:tcBorders>
            <w:shd w:val="clear" w:color="000000" w:fill="FFFFFF"/>
          </w:tcPr>
          <w:p w:rsidR="004506D7" w:rsidRDefault="004506D7" w:rsidP="00973C4B">
            <w:pPr>
              <w:jc w:val="center"/>
              <w:rPr>
                <w:rFonts w:cs="Calibri"/>
                <w:sz w:val="20"/>
                <w:szCs w:val="20"/>
              </w:rPr>
            </w:pPr>
          </w:p>
        </w:tc>
        <w:tc>
          <w:tcPr>
            <w:tcW w:w="1467" w:type="dxa"/>
            <w:tcBorders>
              <w:top w:val="nil"/>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1467" w:type="dxa"/>
            <w:tcBorders>
              <w:top w:val="nil"/>
              <w:left w:val="nil"/>
              <w:bottom w:val="nil"/>
              <w:right w:val="nil"/>
            </w:tcBorders>
            <w:shd w:val="clear" w:color="auto" w:fill="DBE5F1" w:themeFill="accent1" w:themeFillTint="33"/>
            <w:noWrap/>
            <w:vAlign w:val="bottom"/>
          </w:tcPr>
          <w:p w:rsidR="004506D7" w:rsidRDefault="004506D7" w:rsidP="00973C4B">
            <w:pPr>
              <w:jc w:val="center"/>
              <w:rPr>
                <w:rFonts w:cs="Calibri"/>
                <w:sz w:val="20"/>
                <w:szCs w:val="20"/>
              </w:rPr>
            </w:pPr>
          </w:p>
        </w:tc>
      </w:tr>
      <w:tr w:rsidR="004506D7" w:rsidTr="00290FD9">
        <w:trPr>
          <w:trHeight w:val="80"/>
        </w:trPr>
        <w:tc>
          <w:tcPr>
            <w:tcW w:w="2756" w:type="dxa"/>
            <w:tcBorders>
              <w:top w:val="nil"/>
              <w:left w:val="nil"/>
              <w:bottom w:val="nil"/>
              <w:right w:val="nil"/>
            </w:tcBorders>
            <w:shd w:val="clear" w:color="000000" w:fill="FFFFFF"/>
            <w:noWrap/>
            <w:vAlign w:val="bottom"/>
          </w:tcPr>
          <w:p w:rsidR="004506D7" w:rsidRDefault="004506D7" w:rsidP="00246A41">
            <w:pPr>
              <w:rPr>
                <w:rFonts w:cs="Calibri"/>
                <w:sz w:val="20"/>
                <w:szCs w:val="20"/>
              </w:rPr>
            </w:pPr>
            <w:r>
              <w:rPr>
                <w:rFonts w:cs="Calibri"/>
                <w:sz w:val="20"/>
                <w:szCs w:val="20"/>
              </w:rPr>
              <w:t>Large breeders</w:t>
            </w:r>
          </w:p>
        </w:tc>
        <w:tc>
          <w:tcPr>
            <w:tcW w:w="1355" w:type="dxa"/>
            <w:tcBorders>
              <w:top w:val="nil"/>
              <w:left w:val="nil"/>
              <w:bottom w:val="nil"/>
              <w:right w:val="nil"/>
            </w:tcBorders>
            <w:shd w:val="clear" w:color="000000" w:fill="FFFFFF"/>
            <w:noWrap/>
            <w:vAlign w:val="bottom"/>
          </w:tcPr>
          <w:p w:rsidR="004506D7" w:rsidRDefault="004506D7" w:rsidP="00246A41">
            <w:pPr>
              <w:jc w:val="center"/>
              <w:rPr>
                <w:rFonts w:cs="Calibri"/>
                <w:sz w:val="20"/>
                <w:szCs w:val="20"/>
              </w:rPr>
            </w:pPr>
            <w:r>
              <w:rPr>
                <w:rFonts w:cs="Calibri"/>
                <w:sz w:val="20"/>
                <w:szCs w:val="20"/>
              </w:rPr>
              <w:t>0.0</w:t>
            </w:r>
          </w:p>
        </w:tc>
        <w:tc>
          <w:tcPr>
            <w:tcW w:w="20" w:type="dxa"/>
            <w:tcBorders>
              <w:top w:val="nil"/>
              <w:left w:val="nil"/>
              <w:bottom w:val="nil"/>
              <w:right w:val="nil"/>
            </w:tcBorders>
            <w:shd w:val="clear" w:color="000000" w:fill="FFFFFF"/>
          </w:tcPr>
          <w:p w:rsidR="004506D7" w:rsidRDefault="004506D7" w:rsidP="00246A41">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246A41">
            <w:pPr>
              <w:jc w:val="center"/>
              <w:rPr>
                <w:rFonts w:cs="Calibri"/>
                <w:sz w:val="20"/>
                <w:szCs w:val="20"/>
              </w:rPr>
            </w:pPr>
          </w:p>
        </w:tc>
        <w:tc>
          <w:tcPr>
            <w:tcW w:w="952" w:type="dxa"/>
            <w:tcBorders>
              <w:top w:val="nil"/>
              <w:left w:val="nil"/>
              <w:bottom w:val="nil"/>
              <w:right w:val="nil"/>
            </w:tcBorders>
            <w:shd w:val="clear" w:color="000000" w:fill="FFFFFF"/>
          </w:tcPr>
          <w:p w:rsidR="004506D7" w:rsidRDefault="004506D7" w:rsidP="00246A41">
            <w:pPr>
              <w:jc w:val="center"/>
              <w:rPr>
                <w:rFonts w:cs="Calibri"/>
                <w:sz w:val="20"/>
                <w:szCs w:val="20"/>
              </w:rPr>
            </w:pPr>
            <w:r>
              <w:rPr>
                <w:rFonts w:cs="Calibri"/>
                <w:sz w:val="20"/>
                <w:szCs w:val="20"/>
              </w:rPr>
              <w:t>0</w:t>
            </w:r>
          </w:p>
        </w:tc>
        <w:tc>
          <w:tcPr>
            <w:tcW w:w="1467" w:type="dxa"/>
            <w:tcBorders>
              <w:top w:val="nil"/>
              <w:left w:val="nil"/>
              <w:bottom w:val="nil"/>
              <w:right w:val="nil"/>
            </w:tcBorders>
            <w:shd w:val="clear" w:color="000000" w:fill="FFFFFF"/>
            <w:noWrap/>
            <w:vAlign w:val="bottom"/>
          </w:tcPr>
          <w:p w:rsidR="004506D7" w:rsidRDefault="004506D7" w:rsidP="00246A41">
            <w:pPr>
              <w:jc w:val="center"/>
              <w:rPr>
                <w:rFonts w:cs="Calibri"/>
                <w:sz w:val="20"/>
                <w:szCs w:val="20"/>
              </w:rPr>
            </w:pPr>
            <w:r>
              <w:rPr>
                <w:rFonts w:cs="Calibri"/>
                <w:sz w:val="20"/>
                <w:szCs w:val="20"/>
              </w:rPr>
              <w:t>$0</w:t>
            </w:r>
          </w:p>
        </w:tc>
        <w:tc>
          <w:tcPr>
            <w:tcW w:w="1467" w:type="dxa"/>
            <w:tcBorders>
              <w:top w:val="nil"/>
              <w:left w:val="nil"/>
              <w:bottom w:val="nil"/>
              <w:right w:val="nil"/>
            </w:tcBorders>
            <w:shd w:val="clear" w:color="auto" w:fill="DBE5F1" w:themeFill="accent1" w:themeFillTint="33"/>
            <w:noWrap/>
            <w:vAlign w:val="bottom"/>
          </w:tcPr>
          <w:p w:rsidR="004506D7" w:rsidRDefault="004506D7" w:rsidP="00246A41">
            <w:pPr>
              <w:jc w:val="center"/>
              <w:rPr>
                <w:rFonts w:cs="Calibri"/>
                <w:sz w:val="20"/>
                <w:szCs w:val="20"/>
              </w:rPr>
            </w:pPr>
            <w:r>
              <w:rPr>
                <w:rFonts w:cs="Calibri"/>
                <w:sz w:val="20"/>
                <w:szCs w:val="20"/>
              </w:rPr>
              <w:t>$0</w:t>
            </w:r>
          </w:p>
        </w:tc>
      </w:tr>
      <w:tr w:rsidR="004506D7" w:rsidTr="00290FD9">
        <w:trPr>
          <w:trHeight w:val="80"/>
        </w:trPr>
        <w:tc>
          <w:tcPr>
            <w:tcW w:w="2756" w:type="dxa"/>
            <w:tcBorders>
              <w:top w:val="nil"/>
              <w:left w:val="nil"/>
              <w:bottom w:val="single" w:sz="4" w:space="0" w:color="1F497D" w:themeColor="text2"/>
              <w:right w:val="nil"/>
            </w:tcBorders>
            <w:shd w:val="clear" w:color="000000" w:fill="FFFFFF"/>
            <w:noWrap/>
            <w:vAlign w:val="bottom"/>
          </w:tcPr>
          <w:p w:rsidR="004506D7" w:rsidRDefault="004506D7" w:rsidP="00246A41">
            <w:pPr>
              <w:rPr>
                <w:rFonts w:cs="Calibri"/>
                <w:sz w:val="20"/>
                <w:szCs w:val="20"/>
              </w:rPr>
            </w:pPr>
            <w:r>
              <w:rPr>
                <w:rFonts w:cs="Calibri"/>
                <w:sz w:val="20"/>
                <w:szCs w:val="20"/>
              </w:rPr>
              <w:t>Large trainers</w:t>
            </w:r>
          </w:p>
        </w:tc>
        <w:tc>
          <w:tcPr>
            <w:tcW w:w="1355" w:type="dxa"/>
            <w:tcBorders>
              <w:top w:val="nil"/>
              <w:left w:val="nil"/>
              <w:bottom w:val="single" w:sz="4" w:space="0" w:color="1F497D" w:themeColor="text2"/>
              <w:right w:val="nil"/>
            </w:tcBorders>
            <w:shd w:val="clear" w:color="000000" w:fill="FFFFFF"/>
            <w:noWrap/>
            <w:vAlign w:val="bottom"/>
          </w:tcPr>
          <w:p w:rsidR="004506D7" w:rsidRDefault="004506D7" w:rsidP="00246A41">
            <w:pPr>
              <w:jc w:val="center"/>
              <w:rPr>
                <w:rFonts w:cs="Calibri"/>
                <w:sz w:val="20"/>
                <w:szCs w:val="20"/>
              </w:rPr>
            </w:pPr>
            <w:r>
              <w:rPr>
                <w:rFonts w:cs="Calibri"/>
                <w:sz w:val="20"/>
                <w:szCs w:val="20"/>
              </w:rPr>
              <w:t>0.0</w:t>
            </w:r>
          </w:p>
        </w:tc>
        <w:tc>
          <w:tcPr>
            <w:tcW w:w="20" w:type="dxa"/>
            <w:tcBorders>
              <w:top w:val="nil"/>
              <w:left w:val="nil"/>
              <w:bottom w:val="single" w:sz="4" w:space="0" w:color="1F497D" w:themeColor="text2"/>
              <w:right w:val="nil"/>
            </w:tcBorders>
            <w:shd w:val="clear" w:color="000000" w:fill="FFFFFF"/>
          </w:tcPr>
          <w:p w:rsidR="004506D7" w:rsidRDefault="004506D7" w:rsidP="00246A41">
            <w:pPr>
              <w:jc w:val="center"/>
              <w:rPr>
                <w:rFonts w:cs="Calibri"/>
                <w:sz w:val="20"/>
                <w:szCs w:val="20"/>
              </w:rPr>
            </w:pPr>
          </w:p>
        </w:tc>
        <w:tc>
          <w:tcPr>
            <w:tcW w:w="20" w:type="dxa"/>
            <w:tcBorders>
              <w:top w:val="nil"/>
              <w:left w:val="nil"/>
              <w:bottom w:val="single" w:sz="4" w:space="0" w:color="1F497D" w:themeColor="text2"/>
              <w:right w:val="nil"/>
            </w:tcBorders>
            <w:shd w:val="clear" w:color="000000" w:fill="FFFFFF"/>
          </w:tcPr>
          <w:p w:rsidR="004506D7" w:rsidRDefault="004506D7" w:rsidP="00246A41">
            <w:pPr>
              <w:jc w:val="center"/>
              <w:rPr>
                <w:rFonts w:cs="Calibri"/>
                <w:sz w:val="20"/>
                <w:szCs w:val="20"/>
              </w:rPr>
            </w:pPr>
          </w:p>
        </w:tc>
        <w:tc>
          <w:tcPr>
            <w:tcW w:w="952" w:type="dxa"/>
            <w:tcBorders>
              <w:top w:val="nil"/>
              <w:left w:val="nil"/>
              <w:bottom w:val="single" w:sz="4" w:space="0" w:color="1F497D" w:themeColor="text2"/>
              <w:right w:val="nil"/>
            </w:tcBorders>
            <w:shd w:val="clear" w:color="000000" w:fill="FFFFFF"/>
          </w:tcPr>
          <w:p w:rsidR="004506D7" w:rsidRDefault="004506D7" w:rsidP="00246A41">
            <w:pPr>
              <w:jc w:val="center"/>
              <w:rPr>
                <w:rFonts w:cs="Calibri"/>
                <w:sz w:val="20"/>
                <w:szCs w:val="20"/>
              </w:rPr>
            </w:pPr>
            <w:r>
              <w:rPr>
                <w:rFonts w:cs="Calibri"/>
                <w:sz w:val="20"/>
                <w:szCs w:val="20"/>
              </w:rPr>
              <w:t>0</w:t>
            </w:r>
          </w:p>
        </w:tc>
        <w:tc>
          <w:tcPr>
            <w:tcW w:w="1467" w:type="dxa"/>
            <w:tcBorders>
              <w:top w:val="nil"/>
              <w:left w:val="nil"/>
              <w:bottom w:val="single" w:sz="4" w:space="0" w:color="1F497D" w:themeColor="text2"/>
              <w:right w:val="nil"/>
            </w:tcBorders>
            <w:shd w:val="clear" w:color="000000" w:fill="FFFFFF"/>
            <w:noWrap/>
            <w:vAlign w:val="bottom"/>
          </w:tcPr>
          <w:p w:rsidR="004506D7" w:rsidRDefault="004506D7" w:rsidP="00246A41">
            <w:pPr>
              <w:jc w:val="center"/>
              <w:rPr>
                <w:rFonts w:cs="Calibri"/>
                <w:sz w:val="20"/>
                <w:szCs w:val="20"/>
              </w:rPr>
            </w:pPr>
            <w:r>
              <w:rPr>
                <w:rFonts w:cs="Calibri"/>
                <w:sz w:val="20"/>
                <w:szCs w:val="20"/>
              </w:rPr>
              <w:t>$0</w:t>
            </w:r>
          </w:p>
        </w:tc>
        <w:tc>
          <w:tcPr>
            <w:tcW w:w="1467" w:type="dxa"/>
            <w:tcBorders>
              <w:top w:val="nil"/>
              <w:left w:val="nil"/>
              <w:bottom w:val="single" w:sz="4" w:space="0" w:color="1F497D" w:themeColor="text2"/>
              <w:right w:val="nil"/>
            </w:tcBorders>
            <w:shd w:val="clear" w:color="auto" w:fill="DBE5F1" w:themeFill="accent1" w:themeFillTint="33"/>
            <w:noWrap/>
            <w:vAlign w:val="bottom"/>
          </w:tcPr>
          <w:p w:rsidR="004506D7" w:rsidRDefault="004506D7" w:rsidP="00246A41">
            <w:pPr>
              <w:jc w:val="center"/>
              <w:rPr>
                <w:rFonts w:cs="Calibri"/>
                <w:sz w:val="20"/>
                <w:szCs w:val="20"/>
              </w:rPr>
            </w:pPr>
            <w:r>
              <w:rPr>
                <w:rFonts w:cs="Calibri"/>
                <w:sz w:val="20"/>
                <w:szCs w:val="20"/>
              </w:rPr>
              <w:t>$0</w:t>
            </w:r>
          </w:p>
        </w:tc>
      </w:tr>
      <w:tr w:rsidR="004506D7" w:rsidTr="00290FD9">
        <w:trPr>
          <w:trHeight w:val="80"/>
        </w:trPr>
        <w:tc>
          <w:tcPr>
            <w:tcW w:w="2756"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246A41">
            <w:pPr>
              <w:rPr>
                <w:rFonts w:cs="Calibri"/>
                <w:sz w:val="20"/>
                <w:szCs w:val="20"/>
              </w:rPr>
            </w:pPr>
            <w:r>
              <w:rPr>
                <w:rFonts w:cs="Calibri"/>
                <w:b/>
                <w:bCs/>
                <w:i/>
                <w:iCs/>
                <w:sz w:val="20"/>
                <w:szCs w:val="20"/>
              </w:rPr>
              <w:t>Total</w:t>
            </w:r>
          </w:p>
        </w:tc>
        <w:tc>
          <w:tcPr>
            <w:tcW w:w="1355"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246A41">
            <w:pPr>
              <w:jc w:val="center"/>
              <w:rPr>
                <w:rFonts w:cs="Calibri"/>
                <w:sz w:val="20"/>
                <w:szCs w:val="20"/>
              </w:rPr>
            </w:pPr>
            <w:r>
              <w:rPr>
                <w:rFonts w:cs="Calibri"/>
                <w:b/>
                <w:bCs/>
                <w:i/>
                <w:iCs/>
                <w:sz w:val="20"/>
                <w:szCs w:val="20"/>
              </w:rPr>
              <w:t>0.00*</w:t>
            </w: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246A41">
            <w:pPr>
              <w:jc w:val="center"/>
              <w:rPr>
                <w:rFonts w:cs="Calibri"/>
                <w:b/>
                <w:bCs/>
                <w:i/>
                <w:iCs/>
                <w:sz w:val="20"/>
                <w:szCs w:val="20"/>
              </w:rPr>
            </w:pP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246A41">
            <w:pPr>
              <w:jc w:val="center"/>
              <w:rPr>
                <w:rFonts w:cs="Calibri"/>
                <w:b/>
                <w:bCs/>
                <w:i/>
                <w:iCs/>
                <w:sz w:val="20"/>
                <w:szCs w:val="20"/>
              </w:rPr>
            </w:pPr>
          </w:p>
        </w:tc>
        <w:tc>
          <w:tcPr>
            <w:tcW w:w="952" w:type="dxa"/>
            <w:tcBorders>
              <w:top w:val="single" w:sz="4" w:space="0" w:color="1F497D" w:themeColor="text2"/>
              <w:left w:val="nil"/>
              <w:bottom w:val="single" w:sz="4" w:space="0" w:color="1F497D" w:themeColor="text2"/>
              <w:right w:val="nil"/>
            </w:tcBorders>
            <w:shd w:val="clear" w:color="000000" w:fill="FFFFFF"/>
          </w:tcPr>
          <w:p w:rsidR="004506D7" w:rsidRDefault="004506D7" w:rsidP="00246A41">
            <w:pPr>
              <w:jc w:val="center"/>
              <w:rPr>
                <w:rFonts w:cs="Calibri"/>
                <w:b/>
                <w:bCs/>
                <w:i/>
                <w:iCs/>
                <w:sz w:val="20"/>
                <w:szCs w:val="20"/>
              </w:rPr>
            </w:pPr>
            <w:r>
              <w:rPr>
                <w:rFonts w:cs="Calibri"/>
                <w:b/>
                <w:bCs/>
                <w:i/>
                <w:iCs/>
                <w:sz w:val="20"/>
                <w:szCs w:val="20"/>
              </w:rPr>
              <w:t>0</w:t>
            </w:r>
          </w:p>
        </w:tc>
        <w:tc>
          <w:tcPr>
            <w:tcW w:w="1467"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246A41">
            <w:pPr>
              <w:jc w:val="center"/>
              <w:rPr>
                <w:rFonts w:cs="Calibri"/>
                <w:sz w:val="20"/>
                <w:szCs w:val="20"/>
              </w:rPr>
            </w:pPr>
            <w:r>
              <w:rPr>
                <w:rFonts w:cs="Calibri"/>
                <w:b/>
                <w:bCs/>
                <w:i/>
                <w:iCs/>
                <w:sz w:val="20"/>
                <w:szCs w:val="20"/>
              </w:rPr>
              <w:t>$0</w:t>
            </w:r>
          </w:p>
        </w:tc>
        <w:tc>
          <w:tcPr>
            <w:tcW w:w="1467"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4506D7" w:rsidRDefault="004506D7" w:rsidP="00246A41">
            <w:pPr>
              <w:jc w:val="center"/>
              <w:rPr>
                <w:rFonts w:cs="Calibri"/>
                <w:sz w:val="20"/>
                <w:szCs w:val="20"/>
              </w:rPr>
            </w:pPr>
            <w:r>
              <w:rPr>
                <w:rFonts w:cs="Calibri"/>
                <w:b/>
                <w:bCs/>
                <w:i/>
                <w:iCs/>
                <w:sz w:val="20"/>
                <w:szCs w:val="20"/>
              </w:rPr>
              <w:t>$0</w:t>
            </w:r>
          </w:p>
        </w:tc>
      </w:tr>
      <w:tr w:rsidR="004506D7" w:rsidTr="00290FD9">
        <w:trPr>
          <w:trHeight w:val="80"/>
        </w:trPr>
        <w:tc>
          <w:tcPr>
            <w:tcW w:w="2756" w:type="dxa"/>
            <w:tcBorders>
              <w:top w:val="single" w:sz="4" w:space="0" w:color="1F497D" w:themeColor="text2"/>
              <w:left w:val="nil"/>
              <w:bottom w:val="nil"/>
              <w:right w:val="nil"/>
            </w:tcBorders>
            <w:shd w:val="clear" w:color="000000" w:fill="FFFFFF"/>
            <w:noWrap/>
            <w:vAlign w:val="bottom"/>
          </w:tcPr>
          <w:p w:rsidR="004506D7" w:rsidRPr="00246A41" w:rsidRDefault="004506D7" w:rsidP="00973C4B">
            <w:pPr>
              <w:rPr>
                <w:rFonts w:cs="Calibri"/>
                <w:b/>
                <w:sz w:val="20"/>
                <w:szCs w:val="20"/>
              </w:rPr>
            </w:pPr>
            <w:r w:rsidRPr="00246A41">
              <w:rPr>
                <w:rFonts w:cs="Calibri"/>
                <w:b/>
                <w:sz w:val="20"/>
                <w:szCs w:val="20"/>
              </w:rPr>
              <w:t>Option 2</w:t>
            </w:r>
          </w:p>
        </w:tc>
        <w:tc>
          <w:tcPr>
            <w:tcW w:w="1355"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952"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auto" w:fill="DBE5F1" w:themeFill="accent1" w:themeFillTint="33"/>
            <w:noWrap/>
            <w:vAlign w:val="bottom"/>
          </w:tcPr>
          <w:p w:rsidR="004506D7" w:rsidRDefault="004506D7" w:rsidP="00973C4B">
            <w:pPr>
              <w:jc w:val="center"/>
              <w:rPr>
                <w:rFonts w:cs="Calibri"/>
                <w:sz w:val="20"/>
                <w:szCs w:val="20"/>
              </w:rPr>
            </w:pPr>
          </w:p>
        </w:tc>
      </w:tr>
      <w:tr w:rsidR="004506D7" w:rsidTr="00290FD9">
        <w:trPr>
          <w:trHeight w:val="80"/>
        </w:trPr>
        <w:tc>
          <w:tcPr>
            <w:tcW w:w="2756" w:type="dxa"/>
            <w:tcBorders>
              <w:top w:val="nil"/>
              <w:left w:val="nil"/>
              <w:bottom w:val="nil"/>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breeders</w:t>
            </w:r>
          </w:p>
        </w:tc>
        <w:tc>
          <w:tcPr>
            <w:tcW w:w="1355"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0.4</w:t>
            </w: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nil"/>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42</w:t>
            </w:r>
          </w:p>
        </w:tc>
        <w:tc>
          <w:tcPr>
            <w:tcW w:w="1467"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$1,672</w:t>
            </w:r>
          </w:p>
        </w:tc>
        <w:tc>
          <w:tcPr>
            <w:tcW w:w="1467" w:type="dxa"/>
            <w:tcBorders>
              <w:top w:val="nil"/>
              <w:left w:val="nil"/>
              <w:bottom w:val="nil"/>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$1,672</w:t>
            </w:r>
          </w:p>
        </w:tc>
      </w:tr>
      <w:tr w:rsidR="004506D7" w:rsidTr="00290FD9">
        <w:trPr>
          <w:trHeight w:val="80"/>
        </w:trPr>
        <w:tc>
          <w:tcPr>
            <w:tcW w:w="2756" w:type="dxa"/>
            <w:tcBorders>
              <w:top w:val="nil"/>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trainers</w:t>
            </w:r>
          </w:p>
        </w:tc>
        <w:tc>
          <w:tcPr>
            <w:tcW w:w="1355"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0.4</w:t>
            </w: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single" w:sz="4" w:space="0" w:color="1F497D" w:themeColor="text2"/>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42</w:t>
            </w:r>
          </w:p>
        </w:tc>
        <w:tc>
          <w:tcPr>
            <w:tcW w:w="1467"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$1,672</w:t>
            </w:r>
          </w:p>
        </w:tc>
        <w:tc>
          <w:tcPr>
            <w:tcW w:w="1467" w:type="dxa"/>
            <w:tcBorders>
              <w:top w:val="nil"/>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$1,672</w:t>
            </w:r>
          </w:p>
        </w:tc>
      </w:tr>
      <w:tr w:rsidR="004506D7" w:rsidTr="00290FD9">
        <w:trPr>
          <w:trHeight w:val="80"/>
        </w:trPr>
        <w:tc>
          <w:tcPr>
            <w:tcW w:w="2756"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b/>
                <w:bCs/>
                <w:i/>
                <w:iCs/>
                <w:sz w:val="20"/>
                <w:szCs w:val="20"/>
              </w:rPr>
              <w:t>Total</w:t>
            </w:r>
          </w:p>
        </w:tc>
        <w:tc>
          <w:tcPr>
            <w:tcW w:w="1355"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0.84</w:t>
            </w: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952" w:type="dxa"/>
            <w:tcBorders>
              <w:top w:val="single" w:sz="4" w:space="0" w:color="1F497D" w:themeColor="text2"/>
              <w:left w:val="nil"/>
              <w:bottom w:val="single" w:sz="4" w:space="0" w:color="1F497D" w:themeColor="text2"/>
              <w:right w:val="nil"/>
            </w:tcBorders>
            <w:shd w:val="clear" w:color="000000" w:fill="FFFFFF"/>
            <w:vAlign w:val="bottom"/>
          </w:tcPr>
          <w:p w:rsidR="004506D7" w:rsidRPr="004506D7" w:rsidRDefault="004506D7" w:rsidP="004506D7">
            <w:pPr>
              <w:jc w:val="center"/>
              <w:rPr>
                <w:rFonts w:cs="Calibri"/>
                <w:b/>
                <w:bCs/>
                <w:i/>
                <w:iCs/>
                <w:sz w:val="20"/>
                <w:szCs w:val="20"/>
              </w:rPr>
            </w:pPr>
            <w:r w:rsidRPr="004506D7">
              <w:rPr>
                <w:rFonts w:cs="Calibri"/>
                <w:b/>
                <w:bCs/>
                <w:i/>
                <w:sz w:val="18"/>
                <w:szCs w:val="18"/>
              </w:rPr>
              <w:t>84</w:t>
            </w:r>
          </w:p>
        </w:tc>
        <w:tc>
          <w:tcPr>
            <w:tcW w:w="1467"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$3,345</w:t>
            </w:r>
          </w:p>
        </w:tc>
        <w:tc>
          <w:tcPr>
            <w:tcW w:w="1467"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b/>
                <w:bCs/>
                <w:i/>
                <w:iCs/>
                <w:sz w:val="20"/>
                <w:szCs w:val="20"/>
              </w:rPr>
              <w:t>$3,345</w:t>
            </w:r>
          </w:p>
        </w:tc>
      </w:tr>
      <w:tr w:rsidR="004506D7" w:rsidTr="00290FD9">
        <w:trPr>
          <w:trHeight w:val="80"/>
        </w:trPr>
        <w:tc>
          <w:tcPr>
            <w:tcW w:w="2756" w:type="dxa"/>
            <w:tcBorders>
              <w:top w:val="single" w:sz="4" w:space="0" w:color="1F497D" w:themeColor="text2"/>
              <w:left w:val="nil"/>
              <w:bottom w:val="nil"/>
              <w:right w:val="nil"/>
            </w:tcBorders>
            <w:shd w:val="clear" w:color="000000" w:fill="FFFFFF"/>
            <w:noWrap/>
            <w:vAlign w:val="bottom"/>
          </w:tcPr>
          <w:p w:rsidR="004506D7" w:rsidRPr="00246A41" w:rsidRDefault="004506D7" w:rsidP="00973C4B">
            <w:pPr>
              <w:rPr>
                <w:rFonts w:cs="Calibri"/>
                <w:b/>
                <w:sz w:val="20"/>
                <w:szCs w:val="20"/>
              </w:rPr>
            </w:pPr>
            <w:r w:rsidRPr="00246A41">
              <w:rPr>
                <w:rFonts w:cs="Calibri"/>
                <w:b/>
                <w:sz w:val="20"/>
                <w:szCs w:val="20"/>
              </w:rPr>
              <w:t>Options 3, 5 and 6</w:t>
            </w:r>
          </w:p>
        </w:tc>
        <w:tc>
          <w:tcPr>
            <w:tcW w:w="1355"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952"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auto" w:fill="DBE5F1" w:themeFill="accent1" w:themeFillTint="33"/>
            <w:noWrap/>
            <w:vAlign w:val="bottom"/>
          </w:tcPr>
          <w:p w:rsidR="004506D7" w:rsidRDefault="004506D7" w:rsidP="00973C4B">
            <w:pPr>
              <w:jc w:val="center"/>
              <w:rPr>
                <w:rFonts w:cs="Calibri"/>
                <w:sz w:val="20"/>
                <w:szCs w:val="20"/>
              </w:rPr>
            </w:pPr>
          </w:p>
        </w:tc>
      </w:tr>
      <w:tr w:rsidR="004506D7" w:rsidTr="00290FD9">
        <w:trPr>
          <w:trHeight w:val="80"/>
        </w:trPr>
        <w:tc>
          <w:tcPr>
            <w:tcW w:w="2756" w:type="dxa"/>
            <w:tcBorders>
              <w:top w:val="nil"/>
              <w:left w:val="nil"/>
              <w:bottom w:val="nil"/>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breeders</w:t>
            </w:r>
          </w:p>
        </w:tc>
        <w:tc>
          <w:tcPr>
            <w:tcW w:w="1355"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2</w:t>
            </w: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nil"/>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160</w:t>
            </w:r>
          </w:p>
        </w:tc>
        <w:tc>
          <w:tcPr>
            <w:tcW w:w="1467"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$6,400</w:t>
            </w:r>
          </w:p>
        </w:tc>
        <w:tc>
          <w:tcPr>
            <w:tcW w:w="1467" w:type="dxa"/>
            <w:tcBorders>
              <w:top w:val="nil"/>
              <w:left w:val="nil"/>
              <w:bottom w:val="nil"/>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$6,400</w:t>
            </w:r>
          </w:p>
        </w:tc>
      </w:tr>
      <w:tr w:rsidR="004506D7" w:rsidTr="00290FD9">
        <w:trPr>
          <w:trHeight w:val="80"/>
        </w:trPr>
        <w:tc>
          <w:tcPr>
            <w:tcW w:w="2756" w:type="dxa"/>
            <w:tcBorders>
              <w:top w:val="nil"/>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trainers</w:t>
            </w:r>
          </w:p>
        </w:tc>
        <w:tc>
          <w:tcPr>
            <w:tcW w:w="1355"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2</w:t>
            </w: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single" w:sz="4" w:space="0" w:color="1F497D" w:themeColor="text2"/>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160</w:t>
            </w:r>
          </w:p>
        </w:tc>
        <w:tc>
          <w:tcPr>
            <w:tcW w:w="1467"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$6,400</w:t>
            </w:r>
          </w:p>
        </w:tc>
        <w:tc>
          <w:tcPr>
            <w:tcW w:w="1467" w:type="dxa"/>
            <w:tcBorders>
              <w:top w:val="nil"/>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$6,400</w:t>
            </w:r>
          </w:p>
        </w:tc>
      </w:tr>
      <w:tr w:rsidR="004506D7" w:rsidTr="00290FD9">
        <w:trPr>
          <w:trHeight w:val="80"/>
        </w:trPr>
        <w:tc>
          <w:tcPr>
            <w:tcW w:w="2756"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b/>
                <w:bCs/>
                <w:i/>
                <w:iCs/>
                <w:sz w:val="20"/>
                <w:szCs w:val="20"/>
              </w:rPr>
              <w:t>Total</w:t>
            </w:r>
          </w:p>
        </w:tc>
        <w:tc>
          <w:tcPr>
            <w:tcW w:w="1355"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3</w:t>
            </w: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952" w:type="dxa"/>
            <w:tcBorders>
              <w:top w:val="single" w:sz="4" w:space="0" w:color="1F497D" w:themeColor="text2"/>
              <w:left w:val="nil"/>
              <w:bottom w:val="single" w:sz="4" w:space="0" w:color="1F497D" w:themeColor="text2"/>
              <w:right w:val="nil"/>
            </w:tcBorders>
            <w:shd w:val="clear" w:color="000000" w:fill="FFFFFF"/>
            <w:vAlign w:val="bottom"/>
          </w:tcPr>
          <w:p w:rsidR="004506D7" w:rsidRPr="004506D7" w:rsidRDefault="004506D7" w:rsidP="004506D7">
            <w:pPr>
              <w:jc w:val="center"/>
              <w:rPr>
                <w:rFonts w:cs="Calibri"/>
                <w:b/>
                <w:bCs/>
                <w:i/>
                <w:iCs/>
                <w:sz w:val="20"/>
                <w:szCs w:val="20"/>
              </w:rPr>
            </w:pPr>
            <w:r w:rsidRPr="004506D7">
              <w:rPr>
                <w:rFonts w:cs="Calibri"/>
                <w:b/>
                <w:bCs/>
                <w:i/>
                <w:sz w:val="18"/>
                <w:szCs w:val="18"/>
              </w:rPr>
              <w:t>320</w:t>
            </w:r>
          </w:p>
        </w:tc>
        <w:tc>
          <w:tcPr>
            <w:tcW w:w="1467"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$12,800</w:t>
            </w:r>
          </w:p>
        </w:tc>
        <w:tc>
          <w:tcPr>
            <w:tcW w:w="1467"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b/>
                <w:bCs/>
                <w:i/>
                <w:iCs/>
                <w:sz w:val="20"/>
                <w:szCs w:val="20"/>
              </w:rPr>
              <w:t>$12,800</w:t>
            </w:r>
          </w:p>
        </w:tc>
      </w:tr>
      <w:tr w:rsidR="004506D7" w:rsidTr="00290FD9">
        <w:trPr>
          <w:trHeight w:val="80"/>
        </w:trPr>
        <w:tc>
          <w:tcPr>
            <w:tcW w:w="2756" w:type="dxa"/>
            <w:tcBorders>
              <w:top w:val="single" w:sz="4" w:space="0" w:color="1F497D" w:themeColor="text2"/>
              <w:left w:val="nil"/>
              <w:bottom w:val="nil"/>
              <w:right w:val="nil"/>
            </w:tcBorders>
            <w:shd w:val="clear" w:color="000000" w:fill="FFFFFF"/>
            <w:noWrap/>
            <w:vAlign w:val="bottom"/>
          </w:tcPr>
          <w:p w:rsidR="004506D7" w:rsidRDefault="004506D7" w:rsidP="00973C4B">
            <w:pPr>
              <w:rPr>
                <w:rFonts w:cs="Calibri"/>
                <w:sz w:val="20"/>
                <w:szCs w:val="20"/>
              </w:rPr>
            </w:pPr>
            <w:r>
              <w:rPr>
                <w:rFonts w:cs="Calibri"/>
                <w:sz w:val="20"/>
                <w:szCs w:val="20"/>
              </w:rPr>
              <w:t>Option 4</w:t>
            </w:r>
          </w:p>
        </w:tc>
        <w:tc>
          <w:tcPr>
            <w:tcW w:w="1355"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20"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952" w:type="dxa"/>
            <w:tcBorders>
              <w:top w:val="single" w:sz="4" w:space="0" w:color="1F497D" w:themeColor="text2"/>
              <w:left w:val="nil"/>
              <w:bottom w:val="nil"/>
              <w:right w:val="nil"/>
            </w:tcBorders>
            <w:shd w:val="clear" w:color="000000" w:fill="FFFFFF"/>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000000" w:fill="FFFFFF"/>
            <w:noWrap/>
            <w:vAlign w:val="bottom"/>
          </w:tcPr>
          <w:p w:rsidR="004506D7" w:rsidRDefault="004506D7" w:rsidP="00973C4B">
            <w:pPr>
              <w:jc w:val="center"/>
              <w:rPr>
                <w:rFonts w:cs="Calibri"/>
                <w:sz w:val="20"/>
                <w:szCs w:val="20"/>
              </w:rPr>
            </w:pPr>
          </w:p>
        </w:tc>
        <w:tc>
          <w:tcPr>
            <w:tcW w:w="1467" w:type="dxa"/>
            <w:tcBorders>
              <w:top w:val="single" w:sz="4" w:space="0" w:color="1F497D" w:themeColor="text2"/>
              <w:left w:val="nil"/>
              <w:bottom w:val="nil"/>
              <w:right w:val="nil"/>
            </w:tcBorders>
            <w:shd w:val="clear" w:color="auto" w:fill="DBE5F1" w:themeFill="accent1" w:themeFillTint="33"/>
            <w:noWrap/>
            <w:vAlign w:val="bottom"/>
          </w:tcPr>
          <w:p w:rsidR="004506D7" w:rsidRDefault="004506D7" w:rsidP="00973C4B">
            <w:pPr>
              <w:jc w:val="center"/>
              <w:rPr>
                <w:rFonts w:cs="Calibri"/>
                <w:sz w:val="20"/>
                <w:szCs w:val="20"/>
              </w:rPr>
            </w:pPr>
          </w:p>
        </w:tc>
      </w:tr>
      <w:tr w:rsidR="004506D7" w:rsidTr="00290FD9">
        <w:trPr>
          <w:trHeight w:val="80"/>
        </w:trPr>
        <w:tc>
          <w:tcPr>
            <w:tcW w:w="2756" w:type="dxa"/>
            <w:tcBorders>
              <w:top w:val="nil"/>
              <w:left w:val="nil"/>
              <w:bottom w:val="nil"/>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breeders</w:t>
            </w:r>
          </w:p>
        </w:tc>
        <w:tc>
          <w:tcPr>
            <w:tcW w:w="1355"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1</w:t>
            </w: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nil"/>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nil"/>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101</w:t>
            </w:r>
          </w:p>
        </w:tc>
        <w:tc>
          <w:tcPr>
            <w:tcW w:w="1467" w:type="dxa"/>
            <w:tcBorders>
              <w:top w:val="nil"/>
              <w:left w:val="nil"/>
              <w:bottom w:val="nil"/>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$4,036</w:t>
            </w:r>
          </w:p>
        </w:tc>
        <w:tc>
          <w:tcPr>
            <w:tcW w:w="1467" w:type="dxa"/>
            <w:tcBorders>
              <w:top w:val="nil"/>
              <w:left w:val="nil"/>
              <w:bottom w:val="nil"/>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$4,036</w:t>
            </w:r>
          </w:p>
        </w:tc>
      </w:tr>
      <w:tr w:rsidR="004506D7" w:rsidTr="00290FD9">
        <w:trPr>
          <w:trHeight w:val="80"/>
        </w:trPr>
        <w:tc>
          <w:tcPr>
            <w:tcW w:w="2756" w:type="dxa"/>
            <w:tcBorders>
              <w:top w:val="nil"/>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sz w:val="20"/>
                <w:szCs w:val="20"/>
              </w:rPr>
              <w:t>Large trainers</w:t>
            </w:r>
          </w:p>
        </w:tc>
        <w:tc>
          <w:tcPr>
            <w:tcW w:w="1355"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1</w:t>
            </w: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20" w:type="dxa"/>
            <w:tcBorders>
              <w:top w:val="nil"/>
              <w:left w:val="nil"/>
              <w:bottom w:val="single" w:sz="4" w:space="0" w:color="1F497D" w:themeColor="text2"/>
              <w:right w:val="nil"/>
            </w:tcBorders>
            <w:shd w:val="clear" w:color="000000" w:fill="FFFFFF"/>
          </w:tcPr>
          <w:p w:rsidR="004506D7" w:rsidRDefault="004506D7" w:rsidP="004506D7">
            <w:pPr>
              <w:jc w:val="center"/>
              <w:rPr>
                <w:rFonts w:cs="Calibri"/>
                <w:sz w:val="20"/>
                <w:szCs w:val="20"/>
              </w:rPr>
            </w:pPr>
          </w:p>
        </w:tc>
        <w:tc>
          <w:tcPr>
            <w:tcW w:w="952" w:type="dxa"/>
            <w:tcBorders>
              <w:top w:val="nil"/>
              <w:left w:val="nil"/>
              <w:bottom w:val="single" w:sz="4" w:space="0" w:color="1F497D" w:themeColor="text2"/>
              <w:right w:val="nil"/>
            </w:tcBorders>
            <w:shd w:val="clear" w:color="000000" w:fill="FFFFFF"/>
            <w:vAlign w:val="bottom"/>
          </w:tcPr>
          <w:p w:rsidR="004506D7" w:rsidRDefault="004506D7" w:rsidP="004506D7">
            <w:pPr>
              <w:jc w:val="center"/>
              <w:rPr>
                <w:rFonts w:cs="Calibri"/>
                <w:sz w:val="20"/>
                <w:szCs w:val="20"/>
              </w:rPr>
            </w:pPr>
            <w:r>
              <w:rPr>
                <w:rFonts w:cs="Calibri"/>
                <w:sz w:val="18"/>
                <w:szCs w:val="18"/>
              </w:rPr>
              <w:t>101</w:t>
            </w:r>
          </w:p>
        </w:tc>
        <w:tc>
          <w:tcPr>
            <w:tcW w:w="1467" w:type="dxa"/>
            <w:tcBorders>
              <w:top w:val="nil"/>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sz w:val="20"/>
                <w:szCs w:val="20"/>
              </w:rPr>
              <w:t>$4,036</w:t>
            </w:r>
          </w:p>
        </w:tc>
        <w:tc>
          <w:tcPr>
            <w:tcW w:w="1467" w:type="dxa"/>
            <w:tcBorders>
              <w:top w:val="nil"/>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sz w:val="20"/>
                <w:szCs w:val="20"/>
              </w:rPr>
              <w:t>$4,036</w:t>
            </w:r>
          </w:p>
        </w:tc>
      </w:tr>
      <w:tr w:rsidR="004506D7" w:rsidTr="00290FD9">
        <w:trPr>
          <w:trHeight w:val="80"/>
        </w:trPr>
        <w:tc>
          <w:tcPr>
            <w:tcW w:w="2756"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rPr>
                <w:rFonts w:cs="Calibri"/>
                <w:sz w:val="20"/>
                <w:szCs w:val="20"/>
              </w:rPr>
            </w:pPr>
            <w:r>
              <w:rPr>
                <w:rFonts w:cs="Calibri"/>
                <w:b/>
                <w:bCs/>
                <w:i/>
                <w:iCs/>
                <w:sz w:val="20"/>
                <w:szCs w:val="20"/>
              </w:rPr>
              <w:t>Total</w:t>
            </w:r>
          </w:p>
        </w:tc>
        <w:tc>
          <w:tcPr>
            <w:tcW w:w="1355"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2</w:t>
            </w: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20" w:type="dxa"/>
            <w:tcBorders>
              <w:top w:val="single" w:sz="4" w:space="0" w:color="1F497D" w:themeColor="text2"/>
              <w:left w:val="nil"/>
              <w:bottom w:val="single" w:sz="4" w:space="0" w:color="1F497D" w:themeColor="text2"/>
              <w:right w:val="nil"/>
            </w:tcBorders>
            <w:shd w:val="clear" w:color="000000" w:fill="FFFFFF"/>
          </w:tcPr>
          <w:p w:rsidR="004506D7" w:rsidRDefault="004506D7" w:rsidP="004506D7">
            <w:pPr>
              <w:jc w:val="center"/>
              <w:rPr>
                <w:rFonts w:cs="Calibri"/>
                <w:b/>
                <w:bCs/>
                <w:i/>
                <w:iCs/>
                <w:sz w:val="20"/>
                <w:szCs w:val="20"/>
              </w:rPr>
            </w:pPr>
          </w:p>
        </w:tc>
        <w:tc>
          <w:tcPr>
            <w:tcW w:w="952" w:type="dxa"/>
            <w:tcBorders>
              <w:top w:val="single" w:sz="4" w:space="0" w:color="1F497D" w:themeColor="text2"/>
              <w:left w:val="nil"/>
              <w:bottom w:val="single" w:sz="4" w:space="0" w:color="1F497D" w:themeColor="text2"/>
              <w:right w:val="nil"/>
            </w:tcBorders>
            <w:shd w:val="clear" w:color="000000" w:fill="FFFFFF"/>
            <w:vAlign w:val="bottom"/>
          </w:tcPr>
          <w:p w:rsidR="004506D7" w:rsidRPr="004506D7" w:rsidRDefault="004506D7" w:rsidP="004506D7">
            <w:pPr>
              <w:jc w:val="center"/>
              <w:rPr>
                <w:rFonts w:cs="Calibri"/>
                <w:b/>
                <w:bCs/>
                <w:i/>
                <w:iCs/>
                <w:sz w:val="20"/>
                <w:szCs w:val="20"/>
              </w:rPr>
            </w:pPr>
            <w:r w:rsidRPr="004506D7">
              <w:rPr>
                <w:rFonts w:cs="Calibri"/>
                <w:b/>
                <w:bCs/>
                <w:i/>
                <w:sz w:val="18"/>
                <w:szCs w:val="18"/>
              </w:rPr>
              <w:t>202</w:t>
            </w:r>
          </w:p>
        </w:tc>
        <w:tc>
          <w:tcPr>
            <w:tcW w:w="1467" w:type="dxa"/>
            <w:tcBorders>
              <w:top w:val="single" w:sz="4" w:space="0" w:color="1F497D" w:themeColor="text2"/>
              <w:left w:val="nil"/>
              <w:bottom w:val="single" w:sz="4" w:space="0" w:color="1F497D" w:themeColor="text2"/>
              <w:right w:val="nil"/>
            </w:tcBorders>
            <w:shd w:val="clear" w:color="000000" w:fill="FFFFFF"/>
            <w:noWrap/>
            <w:vAlign w:val="bottom"/>
          </w:tcPr>
          <w:p w:rsidR="004506D7" w:rsidRDefault="004506D7" w:rsidP="004506D7">
            <w:pPr>
              <w:jc w:val="center"/>
              <w:rPr>
                <w:rFonts w:cs="Calibri"/>
                <w:sz w:val="20"/>
                <w:szCs w:val="20"/>
              </w:rPr>
            </w:pPr>
            <w:r>
              <w:rPr>
                <w:rFonts w:cs="Calibri"/>
                <w:b/>
                <w:bCs/>
                <w:i/>
                <w:iCs/>
                <w:sz w:val="20"/>
                <w:szCs w:val="20"/>
              </w:rPr>
              <w:t>$8,072</w:t>
            </w:r>
          </w:p>
        </w:tc>
        <w:tc>
          <w:tcPr>
            <w:tcW w:w="1467"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4506D7" w:rsidRDefault="004506D7" w:rsidP="004506D7">
            <w:pPr>
              <w:jc w:val="center"/>
              <w:rPr>
                <w:rFonts w:cs="Calibri"/>
                <w:sz w:val="20"/>
                <w:szCs w:val="20"/>
              </w:rPr>
            </w:pPr>
            <w:r>
              <w:rPr>
                <w:rFonts w:cs="Calibri"/>
                <w:b/>
                <w:bCs/>
                <w:i/>
                <w:iCs/>
                <w:sz w:val="20"/>
                <w:szCs w:val="20"/>
              </w:rPr>
              <w:t>$8,072</w:t>
            </w:r>
          </w:p>
        </w:tc>
      </w:tr>
    </w:tbl>
    <w:p w:rsidR="00082BD9" w:rsidRPr="004506D7" w:rsidRDefault="004506D7" w:rsidP="004506D7">
      <w:pPr>
        <w:rPr>
          <w:sz w:val="18"/>
        </w:rPr>
      </w:pPr>
      <w:r w:rsidRPr="004506D7">
        <w:rPr>
          <w:sz w:val="18"/>
        </w:rPr>
        <w:t>*Option 1 (information and media campaign) is not likely to result in any behaviour change amongst large participants due to cultural, age and attitude factors.</w:t>
      </w:r>
    </w:p>
    <w:p w:rsidR="00082BD9" w:rsidRPr="00082BD9" w:rsidRDefault="00082BD9" w:rsidP="00082BD9"/>
    <w:p w:rsidR="003F0DAE" w:rsidRPr="005F3BA9" w:rsidRDefault="003F0DAE" w:rsidP="003F0DAE">
      <w:pPr>
        <w:pStyle w:val="Heading2"/>
      </w:pPr>
      <w:bookmarkStart w:id="231" w:name="_Toc469529214"/>
      <w:bookmarkStart w:id="232" w:name="_Toc477190238"/>
      <w:r w:rsidRPr="005F3BA9">
        <w:t>A4.9 – Estimation of costs and dogs affected by proposed standard 6.2.3 (Health checks) – Options 1 to 6</w:t>
      </w:r>
      <w:r w:rsidR="000D1618" w:rsidRPr="005F3BA9">
        <w:t xml:space="preserve"> (excluding Option 5)</w:t>
      </w:r>
      <w:bookmarkEnd w:id="231"/>
      <w:bookmarkEnd w:id="232"/>
    </w:p>
    <w:p w:rsidR="002B361B" w:rsidRDefault="00C100E9" w:rsidP="00C100E9">
      <w:pPr>
        <w:jc w:val="both"/>
      </w:pPr>
      <w:r>
        <w:t xml:space="preserve">The cost of </w:t>
      </w:r>
      <w:r w:rsidR="00BE62DC">
        <w:t xml:space="preserve">additional </w:t>
      </w:r>
      <w:r>
        <w:t>health checks and treatment plans for breeding female</w:t>
      </w:r>
      <w:r w:rsidR="00BE62DC">
        <w:t>s and all dogs under proposed standard 6.2.3 is estimated in this section.</w:t>
      </w:r>
      <w:r w:rsidR="007B521C">
        <w:t xml:space="preserve"> </w:t>
      </w:r>
      <w:r w:rsidR="00BE62DC">
        <w:t>DEDJTR advises that C4/5 vaccinations are already mandatory in order to race dogs and that they would receive a check up from a veterinarian during this process once a year under the base case.</w:t>
      </w:r>
      <w:r w:rsidR="007B521C">
        <w:t xml:space="preserve"> </w:t>
      </w:r>
      <w:r w:rsidR="00BE62DC">
        <w:t xml:space="preserve">Proposed </w:t>
      </w:r>
      <w:r w:rsidR="00BE62DC">
        <w:lastRenderedPageBreak/>
        <w:t>standard 6.2.3 requires an additional annual health check for all dogs including 3 additional health checks for breeding females.</w:t>
      </w:r>
      <w:r w:rsidR="007B521C">
        <w:t xml:space="preserve"> </w:t>
      </w:r>
      <w:r w:rsidR="00BE62DC">
        <w:t>This proposed standard would be relevant to all options considered</w:t>
      </w:r>
      <w:r w:rsidR="00290FD9">
        <w:t xml:space="preserve"> in this RIS </w:t>
      </w:r>
      <w:r w:rsidR="00290FD9" w:rsidRPr="00290FD9">
        <w:rPr>
          <w:i/>
        </w:rPr>
        <w:t>except for Option 5</w:t>
      </w:r>
      <w:r w:rsidR="00BE62DC" w:rsidRPr="00290FD9">
        <w:rPr>
          <w:i/>
        </w:rPr>
        <w:t xml:space="preserve"> which removes the need for these health checks</w:t>
      </w:r>
      <w:r w:rsidR="00BE62DC">
        <w:t>.</w:t>
      </w:r>
    </w:p>
    <w:p w:rsidR="00BE62DC" w:rsidRDefault="00BE62DC" w:rsidP="00C100E9">
      <w:pPr>
        <w:jc w:val="both"/>
      </w:pPr>
    </w:p>
    <w:p w:rsidR="00BE62DC" w:rsidRDefault="00BE62DC" w:rsidP="005E307C">
      <w:pPr>
        <w:pStyle w:val="Heading3"/>
      </w:pPr>
      <w:bookmarkStart w:id="233" w:name="_Toc469529215"/>
      <w:bookmarkStart w:id="234" w:name="_Toc477190239"/>
      <w:r>
        <w:t>A4.9.1: Health checks for breeding females</w:t>
      </w:r>
      <w:bookmarkEnd w:id="233"/>
      <w:bookmarkEnd w:id="234"/>
    </w:p>
    <w:p w:rsidR="002B361B" w:rsidRDefault="00C100E9" w:rsidP="002B361B">
      <w:pPr>
        <w:jc w:val="both"/>
      </w:pPr>
      <w:r>
        <w:t xml:space="preserve">The </w:t>
      </w:r>
      <w:r w:rsidR="00C05187">
        <w:t xml:space="preserve">estimated </w:t>
      </w:r>
      <w:r>
        <w:t>number of breeding females affected</w:t>
      </w:r>
      <w:r w:rsidR="002B361B">
        <w:t xml:space="preserve"> is </w:t>
      </w:r>
      <w:r w:rsidR="00C05187">
        <w:t xml:space="preserve">calculated </w:t>
      </w:r>
      <w:r w:rsidR="002B361B">
        <w:t xml:space="preserve">by taking the </w:t>
      </w:r>
      <w:r w:rsidR="00C05187">
        <w:t xml:space="preserve">product of the </w:t>
      </w:r>
      <w:r w:rsidR="002B361B">
        <w:t>number of breeding females (626 dogs</w:t>
      </w:r>
      <w:r w:rsidR="002B361B">
        <w:rPr>
          <w:rStyle w:val="FootnoteReference"/>
        </w:rPr>
        <w:footnoteReference w:id="169"/>
      </w:r>
      <w:r w:rsidR="002B361B">
        <w:t xml:space="preserve"> based on GRV data apportioned against large and small breeders 10.69%</w:t>
      </w:r>
      <w:r w:rsidR="002B361B">
        <w:rPr>
          <w:rStyle w:val="FootnoteReference"/>
        </w:rPr>
        <w:footnoteReference w:id="170"/>
      </w:r>
      <w:r w:rsidR="002B361B">
        <w:t xml:space="preserve"> and 89.31%</w:t>
      </w:r>
      <w:r w:rsidR="002B361B">
        <w:rPr>
          <w:rStyle w:val="FootnoteReference"/>
        </w:rPr>
        <w:footnoteReference w:id="171"/>
      </w:r>
      <w:r w:rsidR="002B361B">
        <w:t>, respectively)</w:t>
      </w:r>
      <w:r w:rsidR="00C05187">
        <w:t>;</w:t>
      </w:r>
      <w:r>
        <w:t xml:space="preserve"> </w:t>
      </w:r>
      <w:r w:rsidR="002B361B">
        <w:t xml:space="preserve">and </w:t>
      </w:r>
      <w:r w:rsidR="002B361B" w:rsidRPr="00740E56">
        <w:t>the last column in Table A</w:t>
      </w:r>
      <w:r w:rsidR="002B361B">
        <w:t>4.3 against each of the categories</w:t>
      </w:r>
      <w:r w:rsidR="002B361B" w:rsidRPr="00740E56">
        <w:t xml:space="preserve"> of</w:t>
      </w:r>
      <w:r w:rsidR="002B361B">
        <w:t xml:space="preserve"> large breeder and large trainer –</w:t>
      </w:r>
      <w:r w:rsidR="002B361B" w:rsidRPr="00740E56">
        <w:t xml:space="preserve"> </w:t>
      </w:r>
      <w:r w:rsidR="002B361B">
        <w:t xml:space="preserve">using the </w:t>
      </w:r>
      <w:r w:rsidR="002B361B" w:rsidRPr="00740E56">
        <w:t>following formula:</w:t>
      </w:r>
    </w:p>
    <w:p w:rsidR="002B361B" w:rsidRPr="009E30A8" w:rsidRDefault="002B361B" w:rsidP="002B361B">
      <w:pPr>
        <w:jc w:val="center"/>
        <w:rPr>
          <w:i/>
          <w:sz w:val="20"/>
        </w:rPr>
      </w:pPr>
      <w:r>
        <w:rPr>
          <w:i/>
          <w:sz w:val="20"/>
        </w:rPr>
        <w:t>Estimated No. breeding females affected = {number of breeding females x 10.69% for large breede</w:t>
      </w:r>
      <w:r w:rsidR="00A8083C">
        <w:rPr>
          <w:i/>
          <w:sz w:val="20"/>
        </w:rPr>
        <w:t>rs or 89.31% for small breeders</w:t>
      </w:r>
      <w:r>
        <w:rPr>
          <w:i/>
          <w:sz w:val="20"/>
        </w:rPr>
        <w:t>} x % of</w:t>
      </w:r>
      <w:r w:rsidRPr="00E63EC4">
        <w:rPr>
          <w:i/>
          <w:sz w:val="20"/>
        </w:rPr>
        <w:t xml:space="preserve"> total </w:t>
      </w:r>
      <w:r>
        <w:rPr>
          <w:i/>
          <w:sz w:val="20"/>
        </w:rPr>
        <w:t xml:space="preserve">large breeders or small breeders </w:t>
      </w:r>
      <w:r w:rsidRPr="00E63EC4">
        <w:rPr>
          <w:i/>
          <w:sz w:val="20"/>
        </w:rPr>
        <w:t>affected by behaviour change</w:t>
      </w:r>
      <w:r>
        <w:rPr>
          <w:i/>
          <w:sz w:val="20"/>
        </w:rPr>
        <w:t xml:space="preserve"> (see last column of Table A4.3 for options 1 to 6)</w:t>
      </w:r>
      <w:r w:rsidRPr="000A6D5E">
        <w:rPr>
          <w:i/>
          <w:sz w:val="20"/>
        </w:rPr>
        <w:t>.</w:t>
      </w:r>
    </w:p>
    <w:p w:rsidR="002B361B" w:rsidRDefault="002B361B" w:rsidP="00C100E9">
      <w:pPr>
        <w:jc w:val="both"/>
      </w:pPr>
    </w:p>
    <w:p w:rsidR="002B361B" w:rsidRDefault="00A8083C" w:rsidP="00C100E9">
      <w:pPr>
        <w:jc w:val="both"/>
      </w:pPr>
      <w:r>
        <w:t>T</w:t>
      </w:r>
      <w:r w:rsidR="00C100E9">
        <w:t xml:space="preserve">he cost of 3 separate one-hour health checks ($120/hr x 3) </w:t>
      </w:r>
      <w:r w:rsidR="002B361B">
        <w:t xml:space="preserve">by a veterinarian per breeding female affected </w:t>
      </w:r>
      <w:r w:rsidR="00C100E9">
        <w:t>is used to estimate the annual cost</w:t>
      </w:r>
      <w:r w:rsidR="002B361B">
        <w:t xml:space="preserve"> in Table A4.13.</w:t>
      </w:r>
      <w:r w:rsidR="007B521C">
        <w:t xml:space="preserve"> </w:t>
      </w:r>
    </w:p>
    <w:p w:rsidR="002B361B" w:rsidRDefault="002B361B" w:rsidP="00C100E9">
      <w:pPr>
        <w:jc w:val="both"/>
      </w:pPr>
    </w:p>
    <w:p w:rsidR="00C100E9" w:rsidRDefault="002B361B" w:rsidP="00C100E9">
      <w:pPr>
        <w:jc w:val="both"/>
      </w:pPr>
      <w:r>
        <w:t>As shown in Table A4.13</w:t>
      </w:r>
      <w:r w:rsidR="00C100E9">
        <w:t>, the 10-year additional cost of health checks and treatment plans for breeding</w:t>
      </w:r>
      <w:r w:rsidR="00DD0F27">
        <w:t xml:space="preserve"> females is estimated to be $1.37</w:t>
      </w:r>
      <w:r w:rsidR="00C100E9">
        <w:t xml:space="preserve">m </w:t>
      </w:r>
      <w:r w:rsidR="00DD0F27">
        <w:t xml:space="preserve">under Options 3 and 6; $0.05m under Option 1; $0.36m under Option 2; and $0.86m under Option 4 – </w:t>
      </w:r>
      <w:r w:rsidR="00C100E9">
        <w:t>in present value dollars.</w:t>
      </w:r>
    </w:p>
    <w:p w:rsidR="00CC16D9" w:rsidRDefault="00CC16D9" w:rsidP="00C100E9">
      <w:pPr>
        <w:jc w:val="both"/>
      </w:pPr>
    </w:p>
    <w:p w:rsidR="00BE62DC" w:rsidRPr="00BE62DC" w:rsidRDefault="00C100E9" w:rsidP="00BE62DC">
      <w:pPr>
        <w:jc w:val="center"/>
        <w:rPr>
          <w:b/>
          <w:sz w:val="20"/>
        </w:rPr>
      </w:pPr>
      <w:r w:rsidRPr="00BE62DC">
        <w:rPr>
          <w:b/>
          <w:sz w:val="20"/>
        </w:rPr>
        <w:t>Table A</w:t>
      </w:r>
      <w:r w:rsidR="002B361B" w:rsidRPr="00BE62DC">
        <w:rPr>
          <w:b/>
          <w:sz w:val="20"/>
        </w:rPr>
        <w:t>4.13</w:t>
      </w:r>
      <w:r w:rsidRPr="00BE62DC">
        <w:rPr>
          <w:b/>
          <w:sz w:val="20"/>
        </w:rPr>
        <w:t>: Estimated 10-year additional costs of health checks and treatment plans for breeding females for participants</w:t>
      </w:r>
      <w:r w:rsidR="00BE62DC">
        <w:rPr>
          <w:b/>
          <w:sz w:val="20"/>
        </w:rPr>
        <w:t xml:space="preserve"> under standard 6.2.3 – Options 1 to 6</w:t>
      </w:r>
      <w:r w:rsidR="000D1618">
        <w:rPr>
          <w:b/>
          <w:sz w:val="20"/>
        </w:rPr>
        <w:t xml:space="preserve"> (excluding Option 5)</w:t>
      </w:r>
    </w:p>
    <w:p w:rsidR="00C100E9" w:rsidRPr="00740FF3" w:rsidRDefault="00C100E9" w:rsidP="00C100E9">
      <w:pPr>
        <w:jc w:val="center"/>
      </w:pPr>
    </w:p>
    <w:tbl>
      <w:tblPr>
        <w:tblW w:w="8222" w:type="dxa"/>
        <w:tblLook w:val="04A0" w:firstRow="1" w:lastRow="0" w:firstColumn="1" w:lastColumn="0" w:noHBand="0" w:noVBand="1"/>
      </w:tblPr>
      <w:tblGrid>
        <w:gridCol w:w="2379"/>
        <w:gridCol w:w="1701"/>
        <w:gridCol w:w="1335"/>
        <w:gridCol w:w="1676"/>
        <w:gridCol w:w="1131"/>
      </w:tblGrid>
      <w:tr w:rsidR="00C100E9" w:rsidRPr="00BD28C4" w:rsidTr="00793229">
        <w:trPr>
          <w:trHeight w:val="795"/>
          <w:tblHeader/>
        </w:trPr>
        <w:tc>
          <w:tcPr>
            <w:tcW w:w="2379"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701"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breeding females affected</w:t>
            </w:r>
          </w:p>
        </w:tc>
        <w:tc>
          <w:tcPr>
            <w:tcW w:w="1335"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67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131"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CC16D9" w:rsidRPr="00451612" w:rsidTr="00793229">
        <w:trPr>
          <w:trHeight w:val="315"/>
        </w:trPr>
        <w:tc>
          <w:tcPr>
            <w:tcW w:w="2379" w:type="dxa"/>
            <w:tcBorders>
              <w:top w:val="nil"/>
              <w:left w:val="nil"/>
              <w:bottom w:val="nil"/>
              <w:right w:val="nil"/>
            </w:tcBorders>
            <w:shd w:val="clear" w:color="000000" w:fill="FFFFFF"/>
            <w:vAlign w:val="bottom"/>
          </w:tcPr>
          <w:p w:rsidR="00CC16D9" w:rsidRPr="00CC16D9" w:rsidRDefault="00CC16D9" w:rsidP="00973C4B">
            <w:pPr>
              <w:rPr>
                <w:rFonts w:eastAsia="Times New Roman" w:cs="Calibri"/>
                <w:b/>
                <w:sz w:val="20"/>
                <w:szCs w:val="20"/>
                <w:lang w:eastAsia="en-AU"/>
              </w:rPr>
            </w:pPr>
            <w:r w:rsidRPr="00CC16D9">
              <w:rPr>
                <w:rFonts w:eastAsia="Times New Roman" w:cs="Calibri"/>
                <w:b/>
                <w:sz w:val="20"/>
                <w:szCs w:val="20"/>
                <w:lang w:eastAsia="en-AU"/>
              </w:rPr>
              <w:t>Option 1</w:t>
            </w:r>
          </w:p>
        </w:tc>
        <w:tc>
          <w:tcPr>
            <w:tcW w:w="1701" w:type="dxa"/>
            <w:tcBorders>
              <w:top w:val="nil"/>
              <w:left w:val="nil"/>
              <w:bottom w:val="nil"/>
              <w:right w:val="nil"/>
            </w:tcBorders>
            <w:shd w:val="clear" w:color="000000" w:fill="FFFFFF"/>
            <w:vAlign w:val="bottom"/>
          </w:tcPr>
          <w:p w:rsidR="00CC16D9" w:rsidRPr="00451612" w:rsidRDefault="00CC16D9" w:rsidP="00973C4B">
            <w:pPr>
              <w:jc w:val="center"/>
              <w:rPr>
                <w:rFonts w:eastAsia="Times New Roman" w:cs="Calibri"/>
                <w:sz w:val="20"/>
                <w:szCs w:val="20"/>
                <w:lang w:eastAsia="en-AU"/>
              </w:rPr>
            </w:pPr>
          </w:p>
        </w:tc>
        <w:tc>
          <w:tcPr>
            <w:tcW w:w="1335" w:type="dxa"/>
            <w:tcBorders>
              <w:top w:val="nil"/>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676" w:type="dxa"/>
            <w:tcBorders>
              <w:top w:val="nil"/>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131" w:type="dxa"/>
            <w:tcBorders>
              <w:top w:val="nil"/>
              <w:left w:val="nil"/>
              <w:bottom w:val="nil"/>
              <w:right w:val="nil"/>
            </w:tcBorders>
            <w:shd w:val="clear" w:color="auto" w:fill="DBE5F1" w:themeFill="accent1" w:themeFillTint="33"/>
            <w:noWrap/>
            <w:vAlign w:val="bottom"/>
          </w:tcPr>
          <w:p w:rsidR="00CC16D9" w:rsidRPr="00451612" w:rsidRDefault="00CC16D9" w:rsidP="00973C4B">
            <w:pPr>
              <w:jc w:val="center"/>
              <w:rPr>
                <w:rFonts w:eastAsia="Times New Roman" w:cs="Calibri"/>
                <w:sz w:val="20"/>
                <w:szCs w:val="20"/>
                <w:lang w:eastAsia="en-AU"/>
              </w:rPr>
            </w:pPr>
          </w:p>
        </w:tc>
      </w:tr>
      <w:tr w:rsidR="00C05187" w:rsidRPr="00451612" w:rsidTr="00793229">
        <w:trPr>
          <w:trHeight w:val="80"/>
        </w:trPr>
        <w:tc>
          <w:tcPr>
            <w:tcW w:w="2379" w:type="dxa"/>
            <w:tcBorders>
              <w:top w:val="nil"/>
              <w:left w:val="nil"/>
              <w:bottom w:val="nil"/>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sz w:val="20"/>
                <w:szCs w:val="20"/>
              </w:rPr>
              <w:t>Large breeders</w:t>
            </w:r>
          </w:p>
        </w:tc>
        <w:tc>
          <w:tcPr>
            <w:tcW w:w="1701" w:type="dxa"/>
            <w:tcBorders>
              <w:top w:val="nil"/>
              <w:left w:val="nil"/>
              <w:bottom w:val="nil"/>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sz w:val="20"/>
                <w:szCs w:val="20"/>
              </w:rPr>
              <w:t>0</w:t>
            </w:r>
          </w:p>
        </w:tc>
        <w:tc>
          <w:tcPr>
            <w:tcW w:w="1335" w:type="dxa"/>
            <w:tcBorders>
              <w:top w:val="nil"/>
              <w:left w:val="nil"/>
              <w:bottom w:val="nil"/>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$0</w:t>
            </w:r>
          </w:p>
        </w:tc>
        <w:tc>
          <w:tcPr>
            <w:tcW w:w="1676" w:type="dxa"/>
            <w:tcBorders>
              <w:top w:val="nil"/>
              <w:left w:val="nil"/>
              <w:bottom w:val="nil"/>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$0</w:t>
            </w:r>
          </w:p>
        </w:tc>
        <w:tc>
          <w:tcPr>
            <w:tcW w:w="1131" w:type="dxa"/>
            <w:tcBorders>
              <w:top w:val="nil"/>
              <w:left w:val="nil"/>
              <w:bottom w:val="nil"/>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$0</w:t>
            </w:r>
          </w:p>
        </w:tc>
      </w:tr>
      <w:tr w:rsidR="00C05187" w:rsidRPr="00451612" w:rsidTr="00793229">
        <w:trPr>
          <w:trHeight w:val="80"/>
        </w:trPr>
        <w:tc>
          <w:tcPr>
            <w:tcW w:w="2379" w:type="dxa"/>
            <w:tcBorders>
              <w:top w:val="nil"/>
              <w:left w:val="nil"/>
              <w:bottom w:val="single" w:sz="4" w:space="0" w:color="1F497D" w:themeColor="text2"/>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sz w:val="20"/>
                <w:szCs w:val="20"/>
              </w:rPr>
              <w:t>Small breeders</w:t>
            </w:r>
          </w:p>
        </w:tc>
        <w:tc>
          <w:tcPr>
            <w:tcW w:w="1701" w:type="dxa"/>
            <w:tcBorders>
              <w:top w:val="nil"/>
              <w:left w:val="nil"/>
              <w:bottom w:val="single" w:sz="4" w:space="0" w:color="1F497D" w:themeColor="text2"/>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sz w:val="20"/>
                <w:szCs w:val="20"/>
              </w:rPr>
              <w:t>17</w:t>
            </w:r>
          </w:p>
        </w:tc>
        <w:tc>
          <w:tcPr>
            <w:tcW w:w="1335" w:type="dxa"/>
            <w:tcBorders>
              <w:top w:val="nil"/>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$6,281</w:t>
            </w:r>
          </w:p>
        </w:tc>
        <w:tc>
          <w:tcPr>
            <w:tcW w:w="1676" w:type="dxa"/>
            <w:tcBorders>
              <w:top w:val="nil"/>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$62,812</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$52,984</w:t>
            </w:r>
          </w:p>
        </w:tc>
      </w:tr>
      <w:tr w:rsidR="00C05187" w:rsidRPr="00451612" w:rsidTr="00793229">
        <w:trPr>
          <w:trHeight w:val="70"/>
        </w:trPr>
        <w:tc>
          <w:tcPr>
            <w:tcW w:w="2379" w:type="dxa"/>
            <w:tcBorders>
              <w:top w:val="single" w:sz="4" w:space="0" w:color="1F497D" w:themeColor="text2"/>
              <w:left w:val="nil"/>
              <w:bottom w:val="single" w:sz="4" w:space="0" w:color="1F497D" w:themeColor="text2"/>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b/>
                <w:bCs/>
                <w:i/>
                <w:iCs/>
                <w:sz w:val="20"/>
                <w:szCs w:val="20"/>
              </w:rPr>
              <w:t>Total</w:t>
            </w:r>
          </w:p>
        </w:tc>
        <w:tc>
          <w:tcPr>
            <w:tcW w:w="1701" w:type="dxa"/>
            <w:tcBorders>
              <w:top w:val="single" w:sz="4" w:space="0" w:color="1F497D" w:themeColor="text2"/>
              <w:left w:val="nil"/>
              <w:bottom w:val="single" w:sz="4" w:space="0" w:color="1F497D" w:themeColor="text2"/>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17</w:t>
            </w:r>
          </w:p>
        </w:tc>
        <w:tc>
          <w:tcPr>
            <w:tcW w:w="1335" w:type="dxa"/>
            <w:tcBorders>
              <w:top w:val="single" w:sz="4" w:space="0" w:color="1F497D" w:themeColor="text2"/>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$6,281</w:t>
            </w:r>
          </w:p>
        </w:tc>
        <w:tc>
          <w:tcPr>
            <w:tcW w:w="1676" w:type="dxa"/>
            <w:tcBorders>
              <w:top w:val="single" w:sz="4" w:space="0" w:color="1F497D" w:themeColor="text2"/>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$62,812</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$52,984</w:t>
            </w:r>
          </w:p>
        </w:tc>
      </w:tr>
      <w:tr w:rsidR="00CC16D9" w:rsidRPr="00451612" w:rsidTr="00793229">
        <w:trPr>
          <w:trHeight w:val="70"/>
        </w:trPr>
        <w:tc>
          <w:tcPr>
            <w:tcW w:w="2379" w:type="dxa"/>
            <w:tcBorders>
              <w:top w:val="single" w:sz="4" w:space="0" w:color="1F497D" w:themeColor="text2"/>
              <w:left w:val="nil"/>
              <w:bottom w:val="nil"/>
              <w:right w:val="nil"/>
            </w:tcBorders>
            <w:shd w:val="clear" w:color="000000" w:fill="FFFFFF"/>
            <w:vAlign w:val="bottom"/>
          </w:tcPr>
          <w:p w:rsidR="00CC16D9" w:rsidRPr="00CC16D9" w:rsidRDefault="00CC16D9" w:rsidP="00973C4B">
            <w:pPr>
              <w:rPr>
                <w:rFonts w:eastAsia="Times New Roman" w:cs="Calibri"/>
                <w:b/>
                <w:sz w:val="20"/>
                <w:szCs w:val="20"/>
                <w:lang w:eastAsia="en-AU"/>
              </w:rPr>
            </w:pPr>
            <w:r w:rsidRPr="00CC16D9">
              <w:rPr>
                <w:rFonts w:eastAsia="Times New Roman" w:cs="Calibri"/>
                <w:b/>
                <w:sz w:val="20"/>
                <w:szCs w:val="20"/>
                <w:lang w:eastAsia="en-AU"/>
              </w:rPr>
              <w:t>Option 2</w:t>
            </w:r>
          </w:p>
        </w:tc>
        <w:tc>
          <w:tcPr>
            <w:tcW w:w="1701" w:type="dxa"/>
            <w:tcBorders>
              <w:top w:val="single" w:sz="4" w:space="0" w:color="1F497D" w:themeColor="text2"/>
              <w:left w:val="nil"/>
              <w:bottom w:val="nil"/>
              <w:right w:val="nil"/>
            </w:tcBorders>
            <w:shd w:val="clear" w:color="000000" w:fill="FFFFFF"/>
            <w:vAlign w:val="bottom"/>
          </w:tcPr>
          <w:p w:rsidR="00CC16D9" w:rsidRPr="00451612" w:rsidRDefault="00CC16D9" w:rsidP="00973C4B">
            <w:pPr>
              <w:jc w:val="center"/>
              <w:rPr>
                <w:rFonts w:eastAsia="Times New Roman" w:cs="Calibri"/>
                <w:sz w:val="20"/>
                <w:szCs w:val="20"/>
                <w:lang w:eastAsia="en-AU"/>
              </w:rPr>
            </w:pPr>
          </w:p>
        </w:tc>
        <w:tc>
          <w:tcPr>
            <w:tcW w:w="1335"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676"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CC16D9" w:rsidRPr="00451612" w:rsidRDefault="00CC16D9" w:rsidP="00973C4B">
            <w:pPr>
              <w:jc w:val="center"/>
              <w:rPr>
                <w:rFonts w:eastAsia="Times New Roman" w:cs="Calibri"/>
                <w:sz w:val="20"/>
                <w:szCs w:val="20"/>
                <w:lang w:eastAsia="en-AU"/>
              </w:rPr>
            </w:pPr>
          </w:p>
        </w:tc>
      </w:tr>
      <w:tr w:rsidR="00C05187" w:rsidRPr="00451612" w:rsidTr="00793229">
        <w:trPr>
          <w:trHeight w:val="80"/>
        </w:trPr>
        <w:tc>
          <w:tcPr>
            <w:tcW w:w="2379" w:type="dxa"/>
            <w:tcBorders>
              <w:top w:val="nil"/>
              <w:left w:val="nil"/>
              <w:bottom w:val="nil"/>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sz w:val="20"/>
                <w:szCs w:val="20"/>
              </w:rPr>
              <w:t>Large breeders</w:t>
            </w:r>
          </w:p>
        </w:tc>
        <w:tc>
          <w:tcPr>
            <w:tcW w:w="1701" w:type="dxa"/>
            <w:tcBorders>
              <w:top w:val="nil"/>
              <w:left w:val="nil"/>
              <w:bottom w:val="nil"/>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sz w:val="20"/>
                <w:szCs w:val="20"/>
              </w:rPr>
              <w:t>6</w:t>
            </w:r>
          </w:p>
        </w:tc>
        <w:tc>
          <w:tcPr>
            <w:tcW w:w="1335" w:type="dxa"/>
            <w:tcBorders>
              <w:top w:val="nil"/>
              <w:left w:val="nil"/>
              <w:bottom w:val="nil"/>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$2,015</w:t>
            </w:r>
          </w:p>
        </w:tc>
        <w:tc>
          <w:tcPr>
            <w:tcW w:w="1676" w:type="dxa"/>
            <w:tcBorders>
              <w:top w:val="nil"/>
              <w:left w:val="nil"/>
              <w:bottom w:val="nil"/>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$20,148</w:t>
            </w:r>
          </w:p>
        </w:tc>
        <w:tc>
          <w:tcPr>
            <w:tcW w:w="1131" w:type="dxa"/>
            <w:tcBorders>
              <w:top w:val="nil"/>
              <w:left w:val="nil"/>
              <w:bottom w:val="nil"/>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$16,996</w:t>
            </w:r>
          </w:p>
        </w:tc>
      </w:tr>
      <w:tr w:rsidR="00C05187" w:rsidRPr="00451612" w:rsidTr="00793229">
        <w:trPr>
          <w:trHeight w:val="80"/>
        </w:trPr>
        <w:tc>
          <w:tcPr>
            <w:tcW w:w="2379" w:type="dxa"/>
            <w:tcBorders>
              <w:top w:val="nil"/>
              <w:left w:val="nil"/>
              <w:bottom w:val="single" w:sz="4" w:space="0" w:color="1F497D" w:themeColor="text2"/>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sz w:val="20"/>
                <w:szCs w:val="20"/>
              </w:rPr>
              <w:t>Small breeders</w:t>
            </w:r>
          </w:p>
        </w:tc>
        <w:tc>
          <w:tcPr>
            <w:tcW w:w="1701" w:type="dxa"/>
            <w:tcBorders>
              <w:top w:val="nil"/>
              <w:left w:val="nil"/>
              <w:bottom w:val="single" w:sz="4" w:space="0" w:color="1F497D" w:themeColor="text2"/>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sz w:val="20"/>
                <w:szCs w:val="20"/>
              </w:rPr>
              <w:t>112</w:t>
            </w:r>
          </w:p>
        </w:tc>
        <w:tc>
          <w:tcPr>
            <w:tcW w:w="1335" w:type="dxa"/>
            <w:tcBorders>
              <w:top w:val="nil"/>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$40,377</w:t>
            </w:r>
          </w:p>
        </w:tc>
        <w:tc>
          <w:tcPr>
            <w:tcW w:w="1676" w:type="dxa"/>
            <w:tcBorders>
              <w:top w:val="nil"/>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$403,768</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sz w:val="20"/>
                <w:szCs w:val="20"/>
              </w:rPr>
              <w:t>$340,591</w:t>
            </w:r>
          </w:p>
        </w:tc>
      </w:tr>
      <w:tr w:rsidR="00C05187" w:rsidRPr="00451612" w:rsidTr="00793229">
        <w:trPr>
          <w:trHeight w:val="70"/>
        </w:trPr>
        <w:tc>
          <w:tcPr>
            <w:tcW w:w="2379" w:type="dxa"/>
            <w:tcBorders>
              <w:top w:val="single" w:sz="4" w:space="0" w:color="1F497D" w:themeColor="text2"/>
              <w:left w:val="nil"/>
              <w:bottom w:val="single" w:sz="4" w:space="0" w:color="1F497D" w:themeColor="text2"/>
              <w:right w:val="nil"/>
            </w:tcBorders>
            <w:shd w:val="clear" w:color="000000" w:fill="FFFFFF"/>
            <w:vAlign w:val="bottom"/>
          </w:tcPr>
          <w:p w:rsidR="00C05187" w:rsidRPr="00451612" w:rsidRDefault="00C05187" w:rsidP="00C05187">
            <w:pPr>
              <w:rPr>
                <w:rFonts w:eastAsia="Times New Roman" w:cs="Calibri"/>
                <w:sz w:val="20"/>
                <w:szCs w:val="20"/>
                <w:lang w:eastAsia="en-AU"/>
              </w:rPr>
            </w:pPr>
            <w:r>
              <w:rPr>
                <w:rFonts w:cs="Calibri"/>
                <w:b/>
                <w:bCs/>
                <w:i/>
                <w:iCs/>
                <w:sz w:val="20"/>
                <w:szCs w:val="20"/>
              </w:rPr>
              <w:t>Total</w:t>
            </w:r>
          </w:p>
        </w:tc>
        <w:tc>
          <w:tcPr>
            <w:tcW w:w="1701" w:type="dxa"/>
            <w:tcBorders>
              <w:top w:val="single" w:sz="4" w:space="0" w:color="1F497D" w:themeColor="text2"/>
              <w:left w:val="nil"/>
              <w:bottom w:val="single" w:sz="4" w:space="0" w:color="1F497D" w:themeColor="text2"/>
              <w:right w:val="nil"/>
            </w:tcBorders>
            <w:shd w:val="clear" w:color="000000" w:fill="FFFFFF"/>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118</w:t>
            </w:r>
          </w:p>
        </w:tc>
        <w:tc>
          <w:tcPr>
            <w:tcW w:w="1335" w:type="dxa"/>
            <w:tcBorders>
              <w:top w:val="single" w:sz="4" w:space="0" w:color="1F497D" w:themeColor="text2"/>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$42,392</w:t>
            </w:r>
          </w:p>
        </w:tc>
        <w:tc>
          <w:tcPr>
            <w:tcW w:w="1676" w:type="dxa"/>
            <w:tcBorders>
              <w:top w:val="single" w:sz="4" w:space="0" w:color="1F497D" w:themeColor="text2"/>
              <w:left w:val="nil"/>
              <w:bottom w:val="single" w:sz="4" w:space="0" w:color="1F497D" w:themeColor="text2"/>
              <w:right w:val="nil"/>
            </w:tcBorders>
            <w:shd w:val="clear" w:color="000000" w:fill="FFFFFF"/>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$423,916</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05187" w:rsidRPr="00451612" w:rsidRDefault="00C05187" w:rsidP="00C05187">
            <w:pPr>
              <w:jc w:val="center"/>
              <w:rPr>
                <w:rFonts w:eastAsia="Times New Roman" w:cs="Calibri"/>
                <w:sz w:val="20"/>
                <w:szCs w:val="20"/>
                <w:lang w:eastAsia="en-AU"/>
              </w:rPr>
            </w:pPr>
            <w:r>
              <w:rPr>
                <w:rFonts w:cs="Calibri"/>
                <w:b/>
                <w:bCs/>
                <w:i/>
                <w:iCs/>
                <w:sz w:val="20"/>
                <w:szCs w:val="20"/>
              </w:rPr>
              <w:t>$357,587</w:t>
            </w:r>
          </w:p>
        </w:tc>
      </w:tr>
      <w:tr w:rsidR="00CC16D9" w:rsidRPr="00451612" w:rsidTr="00793229">
        <w:trPr>
          <w:trHeight w:val="70"/>
        </w:trPr>
        <w:tc>
          <w:tcPr>
            <w:tcW w:w="2379" w:type="dxa"/>
            <w:tcBorders>
              <w:top w:val="single" w:sz="4" w:space="0" w:color="1F497D" w:themeColor="text2"/>
              <w:left w:val="nil"/>
              <w:bottom w:val="nil"/>
              <w:right w:val="nil"/>
            </w:tcBorders>
            <w:shd w:val="clear" w:color="000000" w:fill="FFFFFF"/>
            <w:vAlign w:val="bottom"/>
          </w:tcPr>
          <w:p w:rsidR="00CC16D9" w:rsidRPr="00CC16D9" w:rsidRDefault="00290FD9" w:rsidP="00973C4B">
            <w:pPr>
              <w:rPr>
                <w:rFonts w:eastAsia="Times New Roman" w:cs="Calibri"/>
                <w:b/>
                <w:sz w:val="20"/>
                <w:szCs w:val="20"/>
                <w:lang w:eastAsia="en-AU"/>
              </w:rPr>
            </w:pPr>
            <w:r>
              <w:rPr>
                <w:rFonts w:eastAsia="Times New Roman" w:cs="Calibri"/>
                <w:b/>
                <w:sz w:val="20"/>
                <w:szCs w:val="20"/>
                <w:lang w:eastAsia="en-AU"/>
              </w:rPr>
              <w:t xml:space="preserve">Options 3 </w:t>
            </w:r>
            <w:r w:rsidR="00CC16D9" w:rsidRPr="00CC16D9">
              <w:rPr>
                <w:rFonts w:eastAsia="Times New Roman" w:cs="Calibri"/>
                <w:b/>
                <w:sz w:val="20"/>
                <w:szCs w:val="20"/>
                <w:lang w:eastAsia="en-AU"/>
              </w:rPr>
              <w:t>and 6</w:t>
            </w:r>
          </w:p>
        </w:tc>
        <w:tc>
          <w:tcPr>
            <w:tcW w:w="1701" w:type="dxa"/>
            <w:tcBorders>
              <w:top w:val="single" w:sz="4" w:space="0" w:color="1F497D" w:themeColor="text2"/>
              <w:left w:val="nil"/>
              <w:bottom w:val="nil"/>
              <w:right w:val="nil"/>
            </w:tcBorders>
            <w:shd w:val="clear" w:color="000000" w:fill="FFFFFF"/>
            <w:vAlign w:val="bottom"/>
          </w:tcPr>
          <w:p w:rsidR="00CC16D9" w:rsidRPr="00451612" w:rsidRDefault="00CC16D9" w:rsidP="00973C4B">
            <w:pPr>
              <w:jc w:val="center"/>
              <w:rPr>
                <w:rFonts w:eastAsia="Times New Roman" w:cs="Calibri"/>
                <w:sz w:val="20"/>
                <w:szCs w:val="20"/>
                <w:lang w:eastAsia="en-AU"/>
              </w:rPr>
            </w:pPr>
          </w:p>
        </w:tc>
        <w:tc>
          <w:tcPr>
            <w:tcW w:w="1335"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676"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CC16D9" w:rsidRPr="00451612" w:rsidRDefault="00CC16D9" w:rsidP="00973C4B">
            <w:pPr>
              <w:jc w:val="center"/>
              <w:rPr>
                <w:rFonts w:eastAsia="Times New Roman" w:cs="Calibri"/>
                <w:sz w:val="20"/>
                <w:szCs w:val="20"/>
                <w:lang w:eastAsia="en-AU"/>
              </w:rPr>
            </w:pPr>
          </w:p>
        </w:tc>
      </w:tr>
      <w:tr w:rsidR="00290FD9" w:rsidRPr="00451612" w:rsidTr="00793229">
        <w:trPr>
          <w:trHeight w:val="80"/>
        </w:trPr>
        <w:tc>
          <w:tcPr>
            <w:tcW w:w="2379" w:type="dxa"/>
            <w:tcBorders>
              <w:top w:val="nil"/>
              <w:left w:val="nil"/>
              <w:bottom w:val="nil"/>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sz w:val="20"/>
                <w:szCs w:val="20"/>
              </w:rPr>
              <w:t>Large breeders</w:t>
            </w:r>
          </w:p>
        </w:tc>
        <w:tc>
          <w:tcPr>
            <w:tcW w:w="1701" w:type="dxa"/>
            <w:tcBorders>
              <w:top w:val="nil"/>
              <w:left w:val="nil"/>
              <w:bottom w:val="nil"/>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sz w:val="20"/>
                <w:szCs w:val="20"/>
              </w:rPr>
              <w:t>21</w:t>
            </w:r>
          </w:p>
        </w:tc>
        <w:tc>
          <w:tcPr>
            <w:tcW w:w="1335" w:type="dxa"/>
            <w:tcBorders>
              <w:top w:val="nil"/>
              <w:left w:val="nil"/>
              <w:bottom w:val="nil"/>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$7,710</w:t>
            </w:r>
          </w:p>
        </w:tc>
        <w:tc>
          <w:tcPr>
            <w:tcW w:w="1676" w:type="dxa"/>
            <w:tcBorders>
              <w:top w:val="nil"/>
              <w:left w:val="nil"/>
              <w:bottom w:val="nil"/>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$77,105</w:t>
            </w:r>
          </w:p>
        </w:tc>
        <w:tc>
          <w:tcPr>
            <w:tcW w:w="1131" w:type="dxa"/>
            <w:tcBorders>
              <w:top w:val="nil"/>
              <w:left w:val="nil"/>
              <w:bottom w:val="nil"/>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$65,041</w:t>
            </w:r>
          </w:p>
        </w:tc>
      </w:tr>
      <w:tr w:rsidR="00290FD9" w:rsidRPr="00451612" w:rsidTr="00793229">
        <w:trPr>
          <w:trHeight w:val="80"/>
        </w:trPr>
        <w:tc>
          <w:tcPr>
            <w:tcW w:w="2379" w:type="dxa"/>
            <w:tcBorders>
              <w:top w:val="nil"/>
              <w:left w:val="nil"/>
              <w:bottom w:val="single" w:sz="4" w:space="0" w:color="1F497D" w:themeColor="text2"/>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sz w:val="20"/>
                <w:szCs w:val="20"/>
              </w:rPr>
              <w:t>Small breeders</w:t>
            </w:r>
          </w:p>
        </w:tc>
        <w:tc>
          <w:tcPr>
            <w:tcW w:w="1701" w:type="dxa"/>
            <w:tcBorders>
              <w:top w:val="nil"/>
              <w:left w:val="nil"/>
              <w:bottom w:val="single" w:sz="4" w:space="0" w:color="1F497D" w:themeColor="text2"/>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sz w:val="20"/>
                <w:szCs w:val="20"/>
              </w:rPr>
              <w:t>429</w:t>
            </w:r>
          </w:p>
        </w:tc>
        <w:tc>
          <w:tcPr>
            <w:tcW w:w="1335" w:type="dxa"/>
            <w:tcBorders>
              <w:top w:val="nil"/>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$154,515</w:t>
            </w:r>
          </w:p>
        </w:tc>
        <w:tc>
          <w:tcPr>
            <w:tcW w:w="1676" w:type="dxa"/>
            <w:tcBorders>
              <w:top w:val="nil"/>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$1,545,152</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$1,303,387</w:t>
            </w:r>
          </w:p>
        </w:tc>
      </w:tr>
      <w:tr w:rsidR="00290FD9" w:rsidRPr="00451612" w:rsidTr="00793229">
        <w:trPr>
          <w:trHeight w:val="70"/>
        </w:trPr>
        <w:tc>
          <w:tcPr>
            <w:tcW w:w="2379" w:type="dxa"/>
            <w:tcBorders>
              <w:top w:val="single" w:sz="4" w:space="0" w:color="1F497D" w:themeColor="text2"/>
              <w:left w:val="nil"/>
              <w:bottom w:val="single" w:sz="4" w:space="0" w:color="1F497D" w:themeColor="text2"/>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b/>
                <w:bCs/>
                <w:i/>
                <w:iCs/>
                <w:sz w:val="20"/>
                <w:szCs w:val="20"/>
              </w:rPr>
              <w:t>Total</w:t>
            </w:r>
          </w:p>
        </w:tc>
        <w:tc>
          <w:tcPr>
            <w:tcW w:w="1701" w:type="dxa"/>
            <w:tcBorders>
              <w:top w:val="single" w:sz="4" w:space="0" w:color="1F497D" w:themeColor="text2"/>
              <w:left w:val="nil"/>
              <w:bottom w:val="single" w:sz="4" w:space="0" w:color="1F497D" w:themeColor="text2"/>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451</w:t>
            </w:r>
          </w:p>
        </w:tc>
        <w:tc>
          <w:tcPr>
            <w:tcW w:w="1335" w:type="dxa"/>
            <w:tcBorders>
              <w:top w:val="single" w:sz="4" w:space="0" w:color="1F497D" w:themeColor="text2"/>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$162,226</w:t>
            </w:r>
          </w:p>
        </w:tc>
        <w:tc>
          <w:tcPr>
            <w:tcW w:w="1676" w:type="dxa"/>
            <w:tcBorders>
              <w:top w:val="single" w:sz="4" w:space="0" w:color="1F497D" w:themeColor="text2"/>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$1,622,257</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$1,368,428</w:t>
            </w:r>
          </w:p>
        </w:tc>
      </w:tr>
      <w:tr w:rsidR="00CC16D9" w:rsidRPr="00451612" w:rsidTr="00793229">
        <w:trPr>
          <w:trHeight w:val="70"/>
        </w:trPr>
        <w:tc>
          <w:tcPr>
            <w:tcW w:w="2379" w:type="dxa"/>
            <w:tcBorders>
              <w:top w:val="single" w:sz="4" w:space="0" w:color="1F497D" w:themeColor="text2"/>
              <w:left w:val="nil"/>
              <w:bottom w:val="nil"/>
              <w:right w:val="nil"/>
            </w:tcBorders>
            <w:shd w:val="clear" w:color="000000" w:fill="FFFFFF"/>
            <w:vAlign w:val="bottom"/>
          </w:tcPr>
          <w:p w:rsidR="00CC16D9" w:rsidRPr="00CC16D9" w:rsidRDefault="00CC16D9" w:rsidP="00973C4B">
            <w:pPr>
              <w:rPr>
                <w:rFonts w:eastAsia="Times New Roman" w:cs="Calibri"/>
                <w:b/>
                <w:sz w:val="20"/>
                <w:szCs w:val="20"/>
                <w:lang w:eastAsia="en-AU"/>
              </w:rPr>
            </w:pPr>
            <w:r w:rsidRPr="00CC16D9">
              <w:rPr>
                <w:rFonts w:eastAsia="Times New Roman" w:cs="Calibri"/>
                <w:b/>
                <w:sz w:val="20"/>
                <w:szCs w:val="20"/>
                <w:lang w:eastAsia="en-AU"/>
              </w:rPr>
              <w:t>Option 4</w:t>
            </w:r>
          </w:p>
        </w:tc>
        <w:tc>
          <w:tcPr>
            <w:tcW w:w="1701" w:type="dxa"/>
            <w:tcBorders>
              <w:top w:val="single" w:sz="4" w:space="0" w:color="1F497D" w:themeColor="text2"/>
              <w:left w:val="nil"/>
              <w:bottom w:val="nil"/>
              <w:right w:val="nil"/>
            </w:tcBorders>
            <w:shd w:val="clear" w:color="000000" w:fill="FFFFFF"/>
            <w:vAlign w:val="bottom"/>
          </w:tcPr>
          <w:p w:rsidR="00CC16D9" w:rsidRPr="00451612" w:rsidRDefault="00CC16D9" w:rsidP="00973C4B">
            <w:pPr>
              <w:jc w:val="center"/>
              <w:rPr>
                <w:rFonts w:eastAsia="Times New Roman" w:cs="Calibri"/>
                <w:sz w:val="20"/>
                <w:szCs w:val="20"/>
                <w:lang w:eastAsia="en-AU"/>
              </w:rPr>
            </w:pPr>
          </w:p>
        </w:tc>
        <w:tc>
          <w:tcPr>
            <w:tcW w:w="1335"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676" w:type="dxa"/>
            <w:tcBorders>
              <w:top w:val="single" w:sz="4" w:space="0" w:color="1F497D" w:themeColor="text2"/>
              <w:left w:val="nil"/>
              <w:bottom w:val="nil"/>
              <w:right w:val="nil"/>
            </w:tcBorders>
            <w:shd w:val="clear" w:color="000000" w:fill="FFFFFF"/>
            <w:noWrap/>
            <w:vAlign w:val="bottom"/>
          </w:tcPr>
          <w:p w:rsidR="00CC16D9" w:rsidRPr="00451612" w:rsidRDefault="00CC16D9" w:rsidP="00973C4B">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auto" w:fill="DBE5F1" w:themeFill="accent1" w:themeFillTint="33"/>
            <w:noWrap/>
            <w:vAlign w:val="bottom"/>
          </w:tcPr>
          <w:p w:rsidR="00CC16D9" w:rsidRPr="00451612" w:rsidRDefault="00CC16D9" w:rsidP="00973C4B">
            <w:pPr>
              <w:jc w:val="center"/>
              <w:rPr>
                <w:rFonts w:eastAsia="Times New Roman" w:cs="Calibri"/>
                <w:sz w:val="20"/>
                <w:szCs w:val="20"/>
                <w:lang w:eastAsia="en-AU"/>
              </w:rPr>
            </w:pPr>
          </w:p>
        </w:tc>
      </w:tr>
      <w:tr w:rsidR="00290FD9" w:rsidRPr="00451612" w:rsidTr="00793229">
        <w:trPr>
          <w:trHeight w:val="80"/>
        </w:trPr>
        <w:tc>
          <w:tcPr>
            <w:tcW w:w="2379" w:type="dxa"/>
            <w:tcBorders>
              <w:top w:val="nil"/>
              <w:left w:val="nil"/>
              <w:bottom w:val="nil"/>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sz w:val="20"/>
                <w:szCs w:val="20"/>
              </w:rPr>
              <w:t>Large breeders</w:t>
            </w:r>
          </w:p>
        </w:tc>
        <w:tc>
          <w:tcPr>
            <w:tcW w:w="1701" w:type="dxa"/>
            <w:tcBorders>
              <w:top w:val="nil"/>
              <w:left w:val="nil"/>
              <w:bottom w:val="nil"/>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sz w:val="20"/>
                <w:szCs w:val="20"/>
              </w:rPr>
              <w:t>14</w:t>
            </w:r>
          </w:p>
        </w:tc>
        <w:tc>
          <w:tcPr>
            <w:tcW w:w="1335" w:type="dxa"/>
            <w:tcBorders>
              <w:top w:val="nil"/>
              <w:left w:val="nil"/>
              <w:bottom w:val="nil"/>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$4,863</w:t>
            </w:r>
          </w:p>
        </w:tc>
        <w:tc>
          <w:tcPr>
            <w:tcW w:w="1676" w:type="dxa"/>
            <w:tcBorders>
              <w:top w:val="nil"/>
              <w:left w:val="nil"/>
              <w:bottom w:val="nil"/>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$48,625</w:t>
            </w:r>
          </w:p>
        </w:tc>
        <w:tc>
          <w:tcPr>
            <w:tcW w:w="1131" w:type="dxa"/>
            <w:tcBorders>
              <w:top w:val="nil"/>
              <w:left w:val="nil"/>
              <w:bottom w:val="nil"/>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$41,017</w:t>
            </w:r>
          </w:p>
        </w:tc>
      </w:tr>
      <w:tr w:rsidR="00290FD9" w:rsidRPr="00451612" w:rsidTr="00793229">
        <w:trPr>
          <w:trHeight w:val="80"/>
        </w:trPr>
        <w:tc>
          <w:tcPr>
            <w:tcW w:w="2379" w:type="dxa"/>
            <w:tcBorders>
              <w:top w:val="nil"/>
              <w:left w:val="nil"/>
              <w:bottom w:val="single" w:sz="4" w:space="0" w:color="1F497D" w:themeColor="text2"/>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sz w:val="20"/>
                <w:szCs w:val="20"/>
              </w:rPr>
              <w:t>Small breeders</w:t>
            </w:r>
          </w:p>
        </w:tc>
        <w:tc>
          <w:tcPr>
            <w:tcW w:w="1701" w:type="dxa"/>
            <w:tcBorders>
              <w:top w:val="nil"/>
              <w:left w:val="nil"/>
              <w:bottom w:val="single" w:sz="4" w:space="0" w:color="1F497D" w:themeColor="text2"/>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sz w:val="20"/>
                <w:szCs w:val="20"/>
              </w:rPr>
              <w:t>271</w:t>
            </w:r>
          </w:p>
        </w:tc>
        <w:tc>
          <w:tcPr>
            <w:tcW w:w="1335" w:type="dxa"/>
            <w:tcBorders>
              <w:top w:val="nil"/>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$97,444</w:t>
            </w:r>
          </w:p>
        </w:tc>
        <w:tc>
          <w:tcPr>
            <w:tcW w:w="1676" w:type="dxa"/>
            <w:tcBorders>
              <w:top w:val="nil"/>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$974,436</w:t>
            </w:r>
          </w:p>
        </w:tc>
        <w:tc>
          <w:tcPr>
            <w:tcW w:w="1131" w:type="dxa"/>
            <w:tcBorders>
              <w:top w:val="nil"/>
              <w:left w:val="nil"/>
              <w:bottom w:val="single" w:sz="4" w:space="0" w:color="1F497D" w:themeColor="text2"/>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sz w:val="20"/>
                <w:szCs w:val="20"/>
              </w:rPr>
              <w:t>$821,969</w:t>
            </w:r>
          </w:p>
        </w:tc>
      </w:tr>
      <w:tr w:rsidR="00290FD9" w:rsidRPr="00451612" w:rsidTr="00DD0F27">
        <w:trPr>
          <w:trHeight w:val="70"/>
        </w:trPr>
        <w:tc>
          <w:tcPr>
            <w:tcW w:w="2379" w:type="dxa"/>
            <w:tcBorders>
              <w:top w:val="single" w:sz="4" w:space="0" w:color="1F497D" w:themeColor="text2"/>
              <w:left w:val="nil"/>
              <w:bottom w:val="single" w:sz="4" w:space="0" w:color="1F497D" w:themeColor="text2"/>
              <w:right w:val="nil"/>
            </w:tcBorders>
            <w:shd w:val="clear" w:color="000000" w:fill="FFFFFF"/>
            <w:vAlign w:val="bottom"/>
          </w:tcPr>
          <w:p w:rsidR="00290FD9" w:rsidRPr="00451612" w:rsidRDefault="00290FD9" w:rsidP="00290FD9">
            <w:pPr>
              <w:rPr>
                <w:rFonts w:eastAsia="Times New Roman" w:cs="Calibri"/>
                <w:sz w:val="20"/>
                <w:szCs w:val="20"/>
                <w:lang w:eastAsia="en-AU"/>
              </w:rPr>
            </w:pPr>
            <w:r>
              <w:rPr>
                <w:rFonts w:cs="Calibri"/>
                <w:b/>
                <w:bCs/>
                <w:i/>
                <w:iCs/>
                <w:sz w:val="20"/>
                <w:szCs w:val="20"/>
              </w:rPr>
              <w:t>Total</w:t>
            </w:r>
          </w:p>
        </w:tc>
        <w:tc>
          <w:tcPr>
            <w:tcW w:w="1701" w:type="dxa"/>
            <w:tcBorders>
              <w:top w:val="single" w:sz="4" w:space="0" w:color="1F497D" w:themeColor="text2"/>
              <w:left w:val="nil"/>
              <w:bottom w:val="single" w:sz="4" w:space="0" w:color="1F497D" w:themeColor="text2"/>
              <w:right w:val="nil"/>
            </w:tcBorders>
            <w:shd w:val="clear" w:color="000000" w:fill="FFFFFF"/>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284</w:t>
            </w:r>
          </w:p>
        </w:tc>
        <w:tc>
          <w:tcPr>
            <w:tcW w:w="1335" w:type="dxa"/>
            <w:tcBorders>
              <w:top w:val="single" w:sz="4" w:space="0" w:color="1F497D" w:themeColor="text2"/>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$102,306</w:t>
            </w:r>
          </w:p>
        </w:tc>
        <w:tc>
          <w:tcPr>
            <w:tcW w:w="1676" w:type="dxa"/>
            <w:tcBorders>
              <w:top w:val="single" w:sz="4" w:space="0" w:color="1F497D" w:themeColor="text2"/>
              <w:left w:val="nil"/>
              <w:bottom w:val="single" w:sz="4" w:space="0" w:color="1F497D" w:themeColor="text2"/>
              <w:right w:val="nil"/>
            </w:tcBorders>
            <w:shd w:val="clear" w:color="000000" w:fill="FFFFFF"/>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$1,023,061</w:t>
            </w:r>
          </w:p>
        </w:tc>
        <w:tc>
          <w:tcPr>
            <w:tcW w:w="1131"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90FD9" w:rsidRPr="00451612" w:rsidRDefault="00290FD9" w:rsidP="00290FD9">
            <w:pPr>
              <w:jc w:val="center"/>
              <w:rPr>
                <w:rFonts w:eastAsia="Times New Roman" w:cs="Calibri"/>
                <w:sz w:val="20"/>
                <w:szCs w:val="20"/>
                <w:lang w:eastAsia="en-AU"/>
              </w:rPr>
            </w:pPr>
            <w:r>
              <w:rPr>
                <w:rFonts w:cs="Calibri"/>
                <w:b/>
                <w:bCs/>
                <w:i/>
                <w:iCs/>
                <w:sz w:val="20"/>
                <w:szCs w:val="20"/>
              </w:rPr>
              <w:t>$862,986</w:t>
            </w:r>
          </w:p>
        </w:tc>
      </w:tr>
    </w:tbl>
    <w:p w:rsidR="00C100E9" w:rsidRDefault="00C100E9" w:rsidP="00C100E9">
      <w:pPr>
        <w:jc w:val="both"/>
      </w:pPr>
    </w:p>
    <w:p w:rsidR="00BD28C4" w:rsidRDefault="00BD28C4">
      <w:pPr>
        <w:rPr>
          <w:i/>
          <w:color w:val="53565A"/>
          <w:sz w:val="24"/>
          <w:szCs w:val="24"/>
        </w:rPr>
      </w:pPr>
      <w:bookmarkStart w:id="235" w:name="_Toc469529216"/>
      <w:r>
        <w:br w:type="page"/>
      </w:r>
    </w:p>
    <w:p w:rsidR="00D7260F" w:rsidRDefault="00D7260F" w:rsidP="005E307C">
      <w:pPr>
        <w:pStyle w:val="Heading3"/>
      </w:pPr>
      <w:bookmarkStart w:id="236" w:name="_Toc477190240"/>
      <w:r>
        <w:lastRenderedPageBreak/>
        <w:t>A4.9</w:t>
      </w:r>
      <w:r w:rsidR="00AC2CB7">
        <w:t>.2</w:t>
      </w:r>
      <w:r>
        <w:t>: Health checks for all greyhounds</w:t>
      </w:r>
      <w:bookmarkEnd w:id="235"/>
      <w:bookmarkEnd w:id="236"/>
    </w:p>
    <w:p w:rsidR="00C100E9" w:rsidRDefault="00C100E9" w:rsidP="00C100E9">
      <w:pPr>
        <w:jc w:val="both"/>
      </w:pPr>
      <w:r>
        <w:t>The cost of health checks and treatment plans for all dogs under proposed standard 6.2.</w:t>
      </w:r>
      <w:r w:rsidR="00D7260F">
        <w:t>3 involves</w:t>
      </w:r>
      <w:r>
        <w:t xml:space="preserve"> a 15-minute </w:t>
      </w:r>
      <w:r w:rsidR="00D7260F">
        <w:t xml:space="preserve">additional </w:t>
      </w:r>
      <w:r>
        <w:t>check per annum ($120/hr x 0.25hrs) by a veterinarian.</w:t>
      </w:r>
      <w:r w:rsidR="007B521C">
        <w:t xml:space="preserve"> </w:t>
      </w:r>
      <w:r w:rsidR="00DF33D3">
        <w:t xml:space="preserve">Again, there would be </w:t>
      </w:r>
      <w:r w:rsidR="00DF33D3" w:rsidRPr="00DF33D3">
        <w:rPr>
          <w:i/>
        </w:rPr>
        <w:t>no incremental cost under Option 5</w:t>
      </w:r>
      <w:r w:rsidR="00DF33D3">
        <w:t>.</w:t>
      </w:r>
      <w:r w:rsidR="007B521C">
        <w:t xml:space="preserve"> </w:t>
      </w:r>
    </w:p>
    <w:p w:rsidR="00D7260F" w:rsidRDefault="00D7260F" w:rsidP="00D7260F">
      <w:pPr>
        <w:jc w:val="both"/>
      </w:pPr>
    </w:p>
    <w:p w:rsidR="00D7260F" w:rsidRDefault="00D7260F" w:rsidP="00D7260F">
      <w:pPr>
        <w:jc w:val="both"/>
      </w:pPr>
      <w:r>
        <w:t>The estimated number of dogs affected under proposed standard 6.2.3 is estimated using the product of the number of dogs apportioned to each category of participant (see Table 6) and the last column in Table A4.3 against each of the category of participants, as well as the following formula:</w:t>
      </w:r>
    </w:p>
    <w:p w:rsidR="00D7260F" w:rsidRPr="009E30A8" w:rsidRDefault="00D7260F" w:rsidP="00D7260F">
      <w:pPr>
        <w:jc w:val="center"/>
        <w:rPr>
          <w:i/>
          <w:sz w:val="20"/>
        </w:rPr>
      </w:pPr>
      <w:r>
        <w:rPr>
          <w:i/>
          <w:sz w:val="20"/>
        </w:rPr>
        <w:t>Estimated No. dogs affected = {</w:t>
      </w:r>
      <w:r w:rsidRPr="006F6786">
        <w:rPr>
          <w:i/>
          <w:sz w:val="20"/>
        </w:rPr>
        <w:t>Apportionment o</w:t>
      </w:r>
      <w:r>
        <w:rPr>
          <w:i/>
          <w:sz w:val="20"/>
        </w:rPr>
        <w:t>f registered greyhounds 2015-16) (see Table 4)} x</w:t>
      </w:r>
      <w:r w:rsidRPr="002244B9">
        <w:rPr>
          <w:i/>
          <w:sz w:val="20"/>
        </w:rPr>
        <w:t xml:space="preserve"> </w:t>
      </w:r>
      <w:r w:rsidR="00BD28C4">
        <w:rPr>
          <w:i/>
          <w:sz w:val="20"/>
        </w:rPr>
        <w:br/>
      </w:r>
      <w:r w:rsidR="00DF33D3">
        <w:rPr>
          <w:i/>
          <w:sz w:val="20"/>
        </w:rPr>
        <w:t>{</w:t>
      </w:r>
      <w:r>
        <w:rPr>
          <w:i/>
          <w:sz w:val="20"/>
        </w:rPr>
        <w:t>% of</w:t>
      </w:r>
      <w:r w:rsidRPr="00E63EC4">
        <w:rPr>
          <w:i/>
          <w:sz w:val="20"/>
        </w:rPr>
        <w:t xml:space="preserve"> total participants</w:t>
      </w:r>
      <w:r>
        <w:rPr>
          <w:i/>
          <w:sz w:val="20"/>
        </w:rPr>
        <w:t xml:space="preserve"> </w:t>
      </w:r>
      <w:r w:rsidRPr="00E63EC4">
        <w:rPr>
          <w:i/>
          <w:sz w:val="20"/>
        </w:rPr>
        <w:t>affected by behaviour change</w:t>
      </w:r>
      <w:r>
        <w:rPr>
          <w:i/>
          <w:sz w:val="20"/>
        </w:rPr>
        <w:t xml:space="preserve"> (see last column of Table A4.3 for options 1 to 6</w:t>
      </w:r>
      <w:r w:rsidR="00DF33D3">
        <w:rPr>
          <w:i/>
          <w:sz w:val="20"/>
        </w:rPr>
        <w:t xml:space="preserve"> (excluding Option 5)}</w:t>
      </w:r>
      <w:r w:rsidRPr="000A6D5E">
        <w:rPr>
          <w:i/>
          <w:sz w:val="20"/>
        </w:rPr>
        <w:t>.</w:t>
      </w:r>
    </w:p>
    <w:p w:rsidR="00D7260F" w:rsidRDefault="00D7260F" w:rsidP="00D7260F">
      <w:pPr>
        <w:jc w:val="both"/>
      </w:pPr>
    </w:p>
    <w:p w:rsidR="00D7260F" w:rsidRDefault="00D7260F" w:rsidP="00D7260F">
      <w:pPr>
        <w:jc w:val="both"/>
      </w:pPr>
      <w:r>
        <w:t xml:space="preserve">The annual cost is estimated taking the product of the estimated number of dogs affected, and an hourly charge out rate of $120 </w:t>
      </w:r>
      <w:r w:rsidR="00DF33D3">
        <w:t>for a minimum 15 check up by a v</w:t>
      </w:r>
      <w:r>
        <w:t>eterinarian (see Table A3.1 of Appendix 3)</w:t>
      </w:r>
      <w:r w:rsidR="00DF33D3">
        <w:t xml:space="preserve"> per dog</w:t>
      </w:r>
      <w:r>
        <w:t>.</w:t>
      </w:r>
      <w:r w:rsidR="007B521C">
        <w:t xml:space="preserve"> </w:t>
      </w:r>
      <w:r>
        <w:t>The 10-year additional cost of record keeping for participants under proposed standard 5 is estimated to be $1</w:t>
      </w:r>
      <w:r w:rsidR="006E63BC">
        <w:t>4.36</w:t>
      </w:r>
      <w:r>
        <w:t xml:space="preserve">m </w:t>
      </w:r>
      <w:r w:rsidR="006E63BC">
        <w:t>for Options 3 and 6, $0.57m for Option 1; $3.75</w:t>
      </w:r>
      <w:r>
        <w:t>m for Option 2</w:t>
      </w:r>
      <w:r w:rsidR="006E63BC">
        <w:t>;</w:t>
      </w:r>
      <w:r>
        <w:t xml:space="preserve"> and </w:t>
      </w:r>
      <w:r w:rsidR="006E63BC">
        <w:t>$9.06</w:t>
      </w:r>
      <w:r>
        <w:t>m for Option 4 –</w:t>
      </w:r>
      <w:r w:rsidRPr="00BC7FAE">
        <w:t xml:space="preserve"> </w:t>
      </w:r>
      <w:r>
        <w:t>in 2016</w:t>
      </w:r>
      <w:r w:rsidR="006E63BC">
        <w:t xml:space="preserve"> dollars, as shown in Table A4.14</w:t>
      </w:r>
      <w:r>
        <w:t>.</w:t>
      </w:r>
    </w:p>
    <w:p w:rsidR="00D7260F" w:rsidRDefault="00D7260F" w:rsidP="00C100E9">
      <w:pPr>
        <w:jc w:val="both"/>
      </w:pPr>
    </w:p>
    <w:p w:rsidR="00DF33D3" w:rsidRPr="00DF33D3" w:rsidRDefault="00C100E9" w:rsidP="00DF33D3">
      <w:pPr>
        <w:jc w:val="center"/>
        <w:rPr>
          <w:b/>
          <w:sz w:val="20"/>
        </w:rPr>
      </w:pPr>
      <w:r w:rsidRPr="00DF33D3">
        <w:rPr>
          <w:b/>
          <w:sz w:val="20"/>
        </w:rPr>
        <w:t>Table A</w:t>
      </w:r>
      <w:r w:rsidR="00DF33D3">
        <w:rPr>
          <w:b/>
          <w:sz w:val="20"/>
        </w:rPr>
        <w:t>4.14</w:t>
      </w:r>
      <w:r w:rsidRPr="00DF33D3">
        <w:rPr>
          <w:b/>
          <w:sz w:val="20"/>
        </w:rPr>
        <w:t>: Estimated 10-year additional costs of health checks and treatment plans all dogs for participants</w:t>
      </w:r>
      <w:r w:rsidR="00DF33D3">
        <w:rPr>
          <w:b/>
          <w:sz w:val="20"/>
        </w:rPr>
        <w:t xml:space="preserve"> under proposed standard 6.2.3 – Option 1 to 6 (excluding option 5)</w:t>
      </w:r>
    </w:p>
    <w:p w:rsidR="00C100E9" w:rsidRDefault="00C100E9" w:rsidP="00C100E9">
      <w:pPr>
        <w:jc w:val="both"/>
        <w:rPr>
          <w:b/>
        </w:rPr>
      </w:pPr>
    </w:p>
    <w:tbl>
      <w:tblPr>
        <w:tblW w:w="8135" w:type="dxa"/>
        <w:jc w:val="center"/>
        <w:tblLook w:val="04A0" w:firstRow="1" w:lastRow="0" w:firstColumn="1" w:lastColumn="0" w:noHBand="0" w:noVBand="1"/>
      </w:tblPr>
      <w:tblGrid>
        <w:gridCol w:w="2236"/>
        <w:gridCol w:w="1816"/>
        <w:gridCol w:w="1131"/>
        <w:gridCol w:w="1656"/>
        <w:gridCol w:w="1296"/>
      </w:tblGrid>
      <w:tr w:rsidR="00DF33D3" w:rsidRPr="00BD28C4" w:rsidTr="00DF33D3">
        <w:trPr>
          <w:trHeight w:val="540"/>
          <w:tblHeader/>
          <w:jc w:val="center"/>
        </w:trPr>
        <w:tc>
          <w:tcPr>
            <w:tcW w:w="2236" w:type="dxa"/>
            <w:tcBorders>
              <w:top w:val="single" w:sz="4" w:space="0" w:color="1F4E78"/>
              <w:left w:val="nil"/>
              <w:bottom w:val="double" w:sz="6" w:space="0" w:color="1F4E78"/>
              <w:right w:val="nil"/>
            </w:tcBorders>
            <w:shd w:val="clear" w:color="000000" w:fill="FFFFFF"/>
            <w:noWrap/>
            <w:vAlign w:val="bottom"/>
            <w:hideMark/>
          </w:tcPr>
          <w:p w:rsidR="00DF33D3" w:rsidRPr="00BD28C4" w:rsidRDefault="00DF33D3" w:rsidP="00891358">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w:t>
            </w:r>
          </w:p>
        </w:tc>
        <w:tc>
          <w:tcPr>
            <w:tcW w:w="1816" w:type="dxa"/>
            <w:tcBorders>
              <w:top w:val="single" w:sz="4" w:space="0" w:color="1F4E78"/>
              <w:left w:val="nil"/>
              <w:bottom w:val="double" w:sz="6" w:space="0" w:color="1F4E78"/>
              <w:right w:val="nil"/>
            </w:tcBorders>
            <w:shd w:val="clear" w:color="000000" w:fill="FFFFFF"/>
            <w:vAlign w:val="bottom"/>
            <w:hideMark/>
          </w:tcPr>
          <w:p w:rsidR="00DF33D3" w:rsidRPr="00BD28C4" w:rsidRDefault="00DF33D3" w:rsidP="00891358">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131" w:type="dxa"/>
            <w:tcBorders>
              <w:top w:val="single" w:sz="4" w:space="0" w:color="1F4E78"/>
              <w:left w:val="nil"/>
              <w:bottom w:val="double" w:sz="6" w:space="0" w:color="1F4E78"/>
              <w:right w:val="nil"/>
            </w:tcBorders>
            <w:shd w:val="clear" w:color="000000" w:fill="FFFFFF"/>
            <w:noWrap/>
            <w:vAlign w:val="bottom"/>
            <w:hideMark/>
          </w:tcPr>
          <w:p w:rsidR="00DF33D3" w:rsidRPr="00BD28C4" w:rsidRDefault="00DF33D3" w:rsidP="00891358">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656" w:type="dxa"/>
            <w:tcBorders>
              <w:top w:val="single" w:sz="4" w:space="0" w:color="1F4E78"/>
              <w:left w:val="nil"/>
              <w:bottom w:val="double" w:sz="6" w:space="0" w:color="1F4E78"/>
              <w:right w:val="nil"/>
            </w:tcBorders>
            <w:shd w:val="clear" w:color="000000" w:fill="FFFFFF"/>
            <w:noWrap/>
            <w:vAlign w:val="bottom"/>
            <w:hideMark/>
          </w:tcPr>
          <w:p w:rsidR="00DF33D3" w:rsidRPr="00BD28C4" w:rsidRDefault="00DF33D3" w:rsidP="00891358">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296" w:type="dxa"/>
            <w:tcBorders>
              <w:top w:val="single" w:sz="4" w:space="0" w:color="1F4E78"/>
              <w:left w:val="nil"/>
              <w:bottom w:val="double" w:sz="6" w:space="0" w:color="1F4E78"/>
              <w:right w:val="nil"/>
            </w:tcBorders>
            <w:shd w:val="clear" w:color="auto" w:fill="DBE5F1" w:themeFill="accent1" w:themeFillTint="33"/>
            <w:noWrap/>
            <w:vAlign w:val="bottom"/>
            <w:hideMark/>
          </w:tcPr>
          <w:p w:rsidR="00DF33D3" w:rsidRPr="00BD28C4" w:rsidRDefault="00DF33D3" w:rsidP="00891358">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DF33D3" w:rsidRPr="00431853" w:rsidTr="00DF33D3">
        <w:trPr>
          <w:trHeight w:val="35"/>
          <w:jc w:val="center"/>
        </w:trPr>
        <w:tc>
          <w:tcPr>
            <w:tcW w:w="2236" w:type="dxa"/>
            <w:tcBorders>
              <w:top w:val="nil"/>
              <w:left w:val="nil"/>
              <w:bottom w:val="nil"/>
              <w:right w:val="nil"/>
            </w:tcBorders>
            <w:shd w:val="clear" w:color="000000" w:fill="FFFFFF"/>
            <w:noWrap/>
            <w:vAlign w:val="bottom"/>
          </w:tcPr>
          <w:p w:rsidR="00DF33D3" w:rsidRPr="00883A27" w:rsidRDefault="00DF33D3" w:rsidP="00891358">
            <w:pPr>
              <w:rPr>
                <w:rFonts w:eastAsia="Times New Roman" w:cs="Calibri"/>
                <w:b/>
                <w:sz w:val="20"/>
                <w:szCs w:val="20"/>
                <w:lang w:eastAsia="en-AU"/>
              </w:rPr>
            </w:pPr>
            <w:r w:rsidRPr="00883A27">
              <w:rPr>
                <w:rFonts w:eastAsia="Times New Roman" w:cs="Calibri"/>
                <w:b/>
                <w:sz w:val="20"/>
                <w:szCs w:val="20"/>
                <w:lang w:eastAsia="en-AU"/>
              </w:rPr>
              <w:t>Option 1</w:t>
            </w:r>
          </w:p>
        </w:tc>
        <w:tc>
          <w:tcPr>
            <w:tcW w:w="1816" w:type="dxa"/>
            <w:tcBorders>
              <w:top w:val="nil"/>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131" w:type="dxa"/>
            <w:tcBorders>
              <w:top w:val="nil"/>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656" w:type="dxa"/>
            <w:tcBorders>
              <w:top w:val="nil"/>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891358">
            <w:pPr>
              <w:jc w:val="center"/>
              <w:rPr>
                <w:rFonts w:eastAsia="Times New Roman" w:cs="Calibri"/>
                <w:sz w:val="20"/>
                <w:szCs w:val="20"/>
                <w:lang w:eastAsia="en-AU"/>
              </w:rPr>
            </w:pP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223</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$26,701</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$267,010</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$225,232</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$0</w:t>
            </w:r>
          </w:p>
        </w:tc>
      </w:tr>
      <w:tr w:rsidR="00DF33D3" w:rsidRPr="00431853" w:rsidTr="00DF33D3">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338</w:t>
            </w:r>
          </w:p>
        </w:tc>
        <w:tc>
          <w:tcPr>
            <w:tcW w:w="1131"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$40,528</w:t>
            </w:r>
          </w:p>
        </w:tc>
        <w:tc>
          <w:tcPr>
            <w:tcW w:w="165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$405,277</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$341,865</w:t>
            </w:r>
          </w:p>
        </w:tc>
      </w:tr>
      <w:tr w:rsidR="00DF33D3" w:rsidRPr="00431853" w:rsidTr="00DF33D3">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560</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$67,229</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$672,288</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$567,097</w:t>
            </w:r>
          </w:p>
        </w:tc>
      </w:tr>
      <w:tr w:rsidR="00DF33D3" w:rsidRPr="00431853" w:rsidTr="00DF33D3">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DF33D3" w:rsidRPr="00883A27" w:rsidRDefault="00DF33D3" w:rsidP="00891358">
            <w:pPr>
              <w:rPr>
                <w:rFonts w:eastAsia="Times New Roman" w:cs="Calibri"/>
                <w:b/>
                <w:sz w:val="20"/>
                <w:szCs w:val="20"/>
                <w:lang w:eastAsia="en-AU"/>
              </w:rPr>
            </w:pPr>
            <w:r w:rsidRPr="00883A27">
              <w:rPr>
                <w:rFonts w:eastAsia="Times New Roman" w:cs="Calibri"/>
                <w:b/>
                <w:sz w:val="20"/>
                <w:szCs w:val="20"/>
                <w:lang w:eastAsia="en-AU"/>
              </w:rPr>
              <w:t>Option 2</w:t>
            </w:r>
          </w:p>
        </w:tc>
        <w:tc>
          <w:tcPr>
            <w:tcW w:w="181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DF33D3" w:rsidRPr="00431853" w:rsidRDefault="00DF33D3" w:rsidP="00891358">
            <w:pPr>
              <w:jc w:val="center"/>
              <w:rPr>
                <w:rFonts w:eastAsia="Times New Roman" w:cs="Calibri"/>
                <w:sz w:val="20"/>
                <w:szCs w:val="20"/>
                <w:lang w:eastAsia="en-AU"/>
              </w:rPr>
            </w:pP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71</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$8,565</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$85,651</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$72,249</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1,430</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$171,641</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$1,716,407</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$1,447,846</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159</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$19,125</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$191,254</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$161,329</w:t>
            </w:r>
          </w:p>
        </w:tc>
      </w:tr>
      <w:tr w:rsidR="00DF33D3" w:rsidRPr="00431853" w:rsidTr="00DF33D3">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2,046</w:t>
            </w:r>
          </w:p>
        </w:tc>
        <w:tc>
          <w:tcPr>
            <w:tcW w:w="1131"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$245,476</w:t>
            </w:r>
          </w:p>
        </w:tc>
        <w:tc>
          <w:tcPr>
            <w:tcW w:w="165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$2,454,761</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$2,070,672</w:t>
            </w:r>
          </w:p>
        </w:tc>
      </w:tr>
      <w:tr w:rsidR="00DF33D3" w:rsidRPr="00431853" w:rsidTr="00DF33D3">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3,707</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$444,807</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$4,448,072</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$3,752,097</w:t>
            </w:r>
          </w:p>
        </w:tc>
      </w:tr>
      <w:tr w:rsidR="00DF33D3" w:rsidRPr="00431853" w:rsidTr="00DF33D3">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DF33D3" w:rsidRPr="00883A27" w:rsidRDefault="00DF33D3" w:rsidP="00891358">
            <w:pPr>
              <w:rPr>
                <w:rFonts w:eastAsia="Times New Roman" w:cs="Calibri"/>
                <w:b/>
                <w:sz w:val="20"/>
                <w:szCs w:val="20"/>
                <w:lang w:eastAsia="en-AU"/>
              </w:rPr>
            </w:pPr>
            <w:r>
              <w:rPr>
                <w:rFonts w:eastAsia="Times New Roman" w:cs="Calibri"/>
                <w:b/>
                <w:sz w:val="20"/>
                <w:szCs w:val="20"/>
                <w:lang w:eastAsia="en-AU"/>
              </w:rPr>
              <w:t>Options 3</w:t>
            </w:r>
            <w:r w:rsidRPr="00883A27">
              <w:rPr>
                <w:rFonts w:eastAsia="Times New Roman" w:cs="Calibri"/>
                <w:b/>
                <w:sz w:val="20"/>
                <w:szCs w:val="20"/>
                <w:lang w:eastAsia="en-AU"/>
              </w:rPr>
              <w:t xml:space="preserve"> and 6</w:t>
            </w:r>
          </w:p>
        </w:tc>
        <w:tc>
          <w:tcPr>
            <w:tcW w:w="181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DF33D3" w:rsidRPr="00431853" w:rsidRDefault="00DF33D3" w:rsidP="00891358">
            <w:pPr>
              <w:jc w:val="center"/>
              <w:rPr>
                <w:rFonts w:eastAsia="Times New Roman" w:cs="Calibri"/>
                <w:sz w:val="20"/>
                <w:szCs w:val="20"/>
                <w:lang w:eastAsia="en-AU"/>
              </w:rPr>
            </w:pP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273</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$32,777</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$327,771</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$276,486</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5,474</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$656,841</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$6,568,407</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$5,540,669</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610</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$73,190</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$731,898</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$617,380</w:t>
            </w:r>
          </w:p>
        </w:tc>
      </w:tr>
      <w:tr w:rsidR="00DF33D3" w:rsidRPr="00431853" w:rsidTr="00DF33D3">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7,828</w:t>
            </w:r>
          </w:p>
        </w:tc>
        <w:tc>
          <w:tcPr>
            <w:tcW w:w="1131"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$939,397</w:t>
            </w:r>
          </w:p>
        </w:tc>
        <w:tc>
          <w:tcPr>
            <w:tcW w:w="165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$9,393,966</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$7,924,122</w:t>
            </w:r>
          </w:p>
        </w:tc>
      </w:tr>
      <w:tr w:rsidR="00DF33D3" w:rsidRPr="00431853" w:rsidTr="00DF33D3">
        <w:trPr>
          <w:trHeight w:val="8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14,185</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$1,702,204</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$17,022,042</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$14,358,657</w:t>
            </w:r>
          </w:p>
        </w:tc>
      </w:tr>
      <w:tr w:rsidR="00DF33D3" w:rsidRPr="00431853" w:rsidTr="00DF33D3">
        <w:trPr>
          <w:trHeight w:val="80"/>
          <w:jc w:val="center"/>
        </w:trPr>
        <w:tc>
          <w:tcPr>
            <w:tcW w:w="2236" w:type="dxa"/>
            <w:tcBorders>
              <w:top w:val="single" w:sz="4" w:space="0" w:color="1F497D" w:themeColor="text2"/>
              <w:left w:val="nil"/>
              <w:bottom w:val="nil"/>
              <w:right w:val="nil"/>
            </w:tcBorders>
            <w:shd w:val="clear" w:color="000000" w:fill="FFFFFF"/>
            <w:noWrap/>
            <w:vAlign w:val="bottom"/>
          </w:tcPr>
          <w:p w:rsidR="00DF33D3" w:rsidRPr="00883A27" w:rsidRDefault="00DF33D3" w:rsidP="00891358">
            <w:pPr>
              <w:rPr>
                <w:rFonts w:eastAsia="Times New Roman" w:cs="Calibri"/>
                <w:b/>
                <w:sz w:val="20"/>
                <w:szCs w:val="20"/>
                <w:lang w:eastAsia="en-AU"/>
              </w:rPr>
            </w:pPr>
            <w:r w:rsidRPr="00883A27">
              <w:rPr>
                <w:rFonts w:eastAsia="Times New Roman" w:cs="Calibri"/>
                <w:b/>
                <w:sz w:val="20"/>
                <w:szCs w:val="20"/>
                <w:lang w:eastAsia="en-AU"/>
              </w:rPr>
              <w:t>Option 4</w:t>
            </w:r>
          </w:p>
        </w:tc>
        <w:tc>
          <w:tcPr>
            <w:tcW w:w="181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131"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656" w:type="dxa"/>
            <w:tcBorders>
              <w:top w:val="single" w:sz="4" w:space="0" w:color="1F497D" w:themeColor="text2"/>
              <w:left w:val="nil"/>
              <w:bottom w:val="nil"/>
              <w:right w:val="nil"/>
            </w:tcBorders>
            <w:shd w:val="clear" w:color="000000" w:fill="FFFFFF"/>
            <w:noWrap/>
            <w:vAlign w:val="bottom"/>
          </w:tcPr>
          <w:p w:rsidR="00DF33D3" w:rsidRPr="00431853" w:rsidRDefault="00DF33D3" w:rsidP="00891358">
            <w:pPr>
              <w:jc w:val="center"/>
              <w:rPr>
                <w:rFonts w:eastAsia="Times New Roman" w:cs="Calibri"/>
                <w:sz w:val="20"/>
                <w:szCs w:val="20"/>
                <w:lang w:eastAsia="en-AU"/>
              </w:rPr>
            </w:pPr>
          </w:p>
        </w:tc>
        <w:tc>
          <w:tcPr>
            <w:tcW w:w="1296" w:type="dxa"/>
            <w:tcBorders>
              <w:top w:val="single" w:sz="4" w:space="0" w:color="1F497D" w:themeColor="text2"/>
              <w:left w:val="nil"/>
              <w:bottom w:val="nil"/>
              <w:right w:val="nil"/>
            </w:tcBorders>
            <w:shd w:val="clear" w:color="auto" w:fill="DBE5F1" w:themeFill="accent1" w:themeFillTint="33"/>
            <w:noWrap/>
            <w:vAlign w:val="bottom"/>
          </w:tcPr>
          <w:p w:rsidR="00DF33D3" w:rsidRPr="00431853" w:rsidRDefault="00DF33D3" w:rsidP="00891358">
            <w:pPr>
              <w:jc w:val="center"/>
              <w:rPr>
                <w:rFonts w:eastAsia="Times New Roman" w:cs="Calibri"/>
                <w:sz w:val="20"/>
                <w:szCs w:val="20"/>
                <w:lang w:eastAsia="en-AU"/>
              </w:rPr>
            </w:pP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172</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$20,671</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$206,706</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$174,363</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breeders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3,452</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$414,230</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$4,142,304</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$3,494,171</w:t>
            </w:r>
          </w:p>
        </w:tc>
      </w:tr>
      <w:tr w:rsidR="00DF33D3" w:rsidRPr="00431853" w:rsidTr="00DF33D3">
        <w:trPr>
          <w:trHeight w:val="80"/>
          <w:jc w:val="center"/>
        </w:trPr>
        <w:tc>
          <w:tcPr>
            <w:tcW w:w="2236" w:type="dxa"/>
            <w:tcBorders>
              <w:top w:val="nil"/>
              <w:left w:val="nil"/>
              <w:bottom w:val="nil"/>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Large trainers</w:t>
            </w:r>
          </w:p>
        </w:tc>
        <w:tc>
          <w:tcPr>
            <w:tcW w:w="181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385</w:t>
            </w:r>
          </w:p>
        </w:tc>
        <w:tc>
          <w:tcPr>
            <w:tcW w:w="1131"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$46,156</w:t>
            </w:r>
          </w:p>
        </w:tc>
        <w:tc>
          <w:tcPr>
            <w:tcW w:w="1656" w:type="dxa"/>
            <w:tcBorders>
              <w:top w:val="nil"/>
              <w:left w:val="nil"/>
              <w:bottom w:val="nil"/>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$461,564</w:t>
            </w:r>
          </w:p>
        </w:tc>
        <w:tc>
          <w:tcPr>
            <w:tcW w:w="1296" w:type="dxa"/>
            <w:tcBorders>
              <w:top w:val="nil"/>
              <w:left w:val="nil"/>
              <w:bottom w:val="nil"/>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$389,345</w:t>
            </w:r>
          </w:p>
        </w:tc>
      </w:tr>
      <w:tr w:rsidR="00DF33D3" w:rsidRPr="00431853" w:rsidTr="00DF33D3">
        <w:trPr>
          <w:trHeight w:val="80"/>
          <w:jc w:val="center"/>
        </w:trPr>
        <w:tc>
          <w:tcPr>
            <w:tcW w:w="223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sz w:val="20"/>
                <w:szCs w:val="20"/>
              </w:rPr>
              <w:t>Small trainers</w:t>
            </w:r>
          </w:p>
        </w:tc>
        <w:tc>
          <w:tcPr>
            <w:tcW w:w="181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4,937</w:t>
            </w:r>
          </w:p>
        </w:tc>
        <w:tc>
          <w:tcPr>
            <w:tcW w:w="1131"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$592,422</w:t>
            </w:r>
          </w:p>
        </w:tc>
        <w:tc>
          <w:tcPr>
            <w:tcW w:w="1656" w:type="dxa"/>
            <w:tcBorders>
              <w:top w:val="nil"/>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sz w:val="20"/>
                <w:szCs w:val="20"/>
              </w:rPr>
              <w:t>$5,924,217</w:t>
            </w:r>
          </w:p>
        </w:tc>
        <w:tc>
          <w:tcPr>
            <w:tcW w:w="1296" w:type="dxa"/>
            <w:tcBorders>
              <w:top w:val="nil"/>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sz w:val="20"/>
                <w:szCs w:val="20"/>
              </w:rPr>
              <w:t>$4,997,273</w:t>
            </w:r>
          </w:p>
        </w:tc>
      </w:tr>
      <w:tr w:rsidR="00DF33D3" w:rsidRPr="00431853" w:rsidTr="00DF33D3">
        <w:trPr>
          <w:trHeight w:val="70"/>
          <w:jc w:val="center"/>
        </w:trPr>
        <w:tc>
          <w:tcPr>
            <w:tcW w:w="223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rPr>
                <w:rFonts w:eastAsia="Times New Roman" w:cs="Calibri"/>
                <w:sz w:val="20"/>
                <w:szCs w:val="20"/>
                <w:lang w:eastAsia="en-AU"/>
              </w:rPr>
            </w:pPr>
            <w:r>
              <w:rPr>
                <w:rFonts w:cs="Calibri"/>
                <w:b/>
                <w:bCs/>
                <w:i/>
                <w:iCs/>
                <w:sz w:val="20"/>
                <w:szCs w:val="20"/>
              </w:rPr>
              <w:t>Total</w:t>
            </w:r>
          </w:p>
        </w:tc>
        <w:tc>
          <w:tcPr>
            <w:tcW w:w="181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8,946</w:t>
            </w:r>
          </w:p>
        </w:tc>
        <w:tc>
          <w:tcPr>
            <w:tcW w:w="1131"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$1,073,479</w:t>
            </w:r>
          </w:p>
        </w:tc>
        <w:tc>
          <w:tcPr>
            <w:tcW w:w="1656" w:type="dxa"/>
            <w:tcBorders>
              <w:top w:val="single" w:sz="4" w:space="0" w:color="1F497D" w:themeColor="text2"/>
              <w:left w:val="nil"/>
              <w:bottom w:val="single" w:sz="4" w:space="0" w:color="1F497D" w:themeColor="text2"/>
              <w:right w:val="nil"/>
            </w:tcBorders>
            <w:shd w:val="clear" w:color="000000" w:fill="FFFFFF"/>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$10,734,791</w:t>
            </w:r>
          </w:p>
        </w:tc>
        <w:tc>
          <w:tcPr>
            <w:tcW w:w="129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F33D3" w:rsidRPr="00431853" w:rsidRDefault="00DF33D3" w:rsidP="00DF33D3">
            <w:pPr>
              <w:jc w:val="center"/>
              <w:rPr>
                <w:rFonts w:eastAsia="Times New Roman" w:cs="Calibri"/>
                <w:sz w:val="20"/>
                <w:szCs w:val="20"/>
                <w:lang w:eastAsia="en-AU"/>
              </w:rPr>
            </w:pPr>
            <w:r>
              <w:rPr>
                <w:b/>
                <w:bCs/>
                <w:i/>
                <w:iCs/>
                <w:sz w:val="20"/>
                <w:szCs w:val="20"/>
              </w:rPr>
              <w:t>$9,055,153</w:t>
            </w:r>
          </w:p>
        </w:tc>
      </w:tr>
    </w:tbl>
    <w:p w:rsidR="00DF33D3" w:rsidRDefault="00DF33D3" w:rsidP="00C100E9">
      <w:pPr>
        <w:jc w:val="both"/>
        <w:rPr>
          <w:b/>
        </w:rPr>
      </w:pPr>
    </w:p>
    <w:p w:rsidR="00AC2CB7" w:rsidRPr="005F3BA9" w:rsidRDefault="00AC2CB7" w:rsidP="00AC2CB7">
      <w:pPr>
        <w:pStyle w:val="Heading2"/>
      </w:pPr>
      <w:bookmarkStart w:id="237" w:name="_Toc469529217"/>
      <w:bookmarkStart w:id="238" w:name="_Toc477190241"/>
      <w:r w:rsidRPr="005F3BA9">
        <w:lastRenderedPageBreak/>
        <w:t>A4.10 – Estimation of costs and dogs affected by proposed standard 6.3.9 (Rearing) – Options 1 to 6</w:t>
      </w:r>
      <w:bookmarkEnd w:id="237"/>
      <w:bookmarkEnd w:id="238"/>
    </w:p>
    <w:p w:rsidR="00AC2CB7" w:rsidRDefault="00C100E9" w:rsidP="00C100E9">
      <w:pPr>
        <w:jc w:val="both"/>
      </w:pPr>
      <w:r>
        <w:t xml:space="preserve">Proposed standard 6.3.9 imposes requirements around exercise, enrichment, and socialisation of </w:t>
      </w:r>
      <w:r w:rsidR="00AC2CB7">
        <w:t xml:space="preserve">all </w:t>
      </w:r>
      <w:r>
        <w:t>dogs</w:t>
      </w:r>
      <w:r w:rsidR="00AC2CB7">
        <w:t xml:space="preserve"> (16 weeks to 18 months)</w:t>
      </w:r>
      <w:r>
        <w:t>.</w:t>
      </w:r>
      <w:r w:rsidR="007B521C">
        <w:t xml:space="preserve"> </w:t>
      </w:r>
      <w:r>
        <w:t>Under proposed standard 6.3.9 there is an additional cost to rearing puppies</w:t>
      </w:r>
      <w:r w:rsidR="00AC2CB7">
        <w:t xml:space="preserve"> (8 to 16 weeks)</w:t>
      </w:r>
      <w:r>
        <w:t xml:space="preserve"> to ensure adequate bedding materials in kennels at a cost of $8 per dog per week (i.e. newspapers).</w:t>
      </w:r>
      <w:r w:rsidR="007B521C">
        <w:t xml:space="preserve"> </w:t>
      </w:r>
    </w:p>
    <w:p w:rsidR="00AC2CB7" w:rsidRDefault="00AC2CB7" w:rsidP="00C100E9">
      <w:pPr>
        <w:jc w:val="both"/>
      </w:pPr>
    </w:p>
    <w:p w:rsidR="00AC2CB7" w:rsidRDefault="00AC2CB7" w:rsidP="005E307C">
      <w:pPr>
        <w:pStyle w:val="Heading3"/>
      </w:pPr>
      <w:bookmarkStart w:id="239" w:name="_Toc469529218"/>
      <w:bookmarkStart w:id="240" w:name="_Toc477190242"/>
      <w:r>
        <w:t>A4.10.1: Rearing (8 to 16 weeks)</w:t>
      </w:r>
      <w:bookmarkEnd w:id="239"/>
      <w:bookmarkEnd w:id="240"/>
    </w:p>
    <w:p w:rsidR="00AC2CB7" w:rsidRDefault="00AC2CB7" w:rsidP="00AC2CB7">
      <w:pPr>
        <w:jc w:val="both"/>
      </w:pPr>
      <w:r>
        <w:t>The estimated number of rearing dogs affected is calculated by taking the product of the number of rearing dogs (3,913 dogs</w:t>
      </w:r>
      <w:r>
        <w:rPr>
          <w:rStyle w:val="FootnoteReference"/>
        </w:rPr>
        <w:footnoteReference w:id="172"/>
      </w:r>
      <w:r>
        <w:t xml:space="preserve"> apportioned against large and small breeders 10.69%</w:t>
      </w:r>
      <w:r>
        <w:rPr>
          <w:rStyle w:val="FootnoteReference"/>
        </w:rPr>
        <w:footnoteReference w:id="173"/>
      </w:r>
      <w:r>
        <w:t xml:space="preserve"> and 89.31%</w:t>
      </w:r>
      <w:r>
        <w:rPr>
          <w:rStyle w:val="FootnoteReference"/>
        </w:rPr>
        <w:footnoteReference w:id="174"/>
      </w:r>
      <w:r>
        <w:t xml:space="preserve">, respectively); and </w:t>
      </w:r>
      <w:r w:rsidRPr="00740E56">
        <w:t>the last column in Table A</w:t>
      </w:r>
      <w:r>
        <w:t>4.3 against each of the categories</w:t>
      </w:r>
      <w:r w:rsidRPr="00740E56">
        <w:t xml:space="preserve"> of</w:t>
      </w:r>
      <w:r>
        <w:t xml:space="preserve"> large breeder and large trainer –</w:t>
      </w:r>
      <w:r w:rsidRPr="00740E56">
        <w:t xml:space="preserve"> </w:t>
      </w:r>
      <w:r>
        <w:t xml:space="preserve">using the </w:t>
      </w:r>
      <w:r w:rsidRPr="00740E56">
        <w:t>following formula:</w:t>
      </w:r>
    </w:p>
    <w:p w:rsidR="00AC2CB7" w:rsidRPr="009E30A8" w:rsidRDefault="00AC2CB7" w:rsidP="00AC2CB7">
      <w:pPr>
        <w:jc w:val="center"/>
        <w:rPr>
          <w:i/>
          <w:sz w:val="20"/>
        </w:rPr>
      </w:pPr>
      <w:r>
        <w:rPr>
          <w:i/>
          <w:sz w:val="20"/>
        </w:rPr>
        <w:t>Estimated No. rearing dogs affected = {number of rearing dogs</w:t>
      </w:r>
      <w:r w:rsidR="00DD1720">
        <w:rPr>
          <w:i/>
          <w:sz w:val="20"/>
        </w:rPr>
        <w:t xml:space="preserve"> </w:t>
      </w:r>
      <w:r>
        <w:rPr>
          <w:i/>
          <w:sz w:val="20"/>
        </w:rPr>
        <w:t>x 10.69% for large breeders or 89.31% for small breeders} x % of</w:t>
      </w:r>
      <w:r w:rsidRPr="00E63EC4">
        <w:rPr>
          <w:i/>
          <w:sz w:val="20"/>
        </w:rPr>
        <w:t xml:space="preserve"> total </w:t>
      </w:r>
      <w:r>
        <w:rPr>
          <w:i/>
          <w:sz w:val="20"/>
        </w:rPr>
        <w:t xml:space="preserve">large breeders or small breeders </w:t>
      </w:r>
      <w:r w:rsidRPr="00E63EC4">
        <w:rPr>
          <w:i/>
          <w:sz w:val="20"/>
        </w:rPr>
        <w:t>affected by behaviour change</w:t>
      </w:r>
      <w:r>
        <w:rPr>
          <w:i/>
          <w:sz w:val="20"/>
        </w:rPr>
        <w:t xml:space="preserve"> (see last column of Table A4.3 for options 1 to 6)</w:t>
      </w:r>
      <w:r w:rsidRPr="000A6D5E">
        <w:rPr>
          <w:i/>
          <w:sz w:val="20"/>
        </w:rPr>
        <w:t>.</w:t>
      </w:r>
    </w:p>
    <w:p w:rsidR="00AC2CB7" w:rsidRDefault="00AC2CB7" w:rsidP="00C100E9">
      <w:pPr>
        <w:jc w:val="both"/>
      </w:pPr>
    </w:p>
    <w:p w:rsidR="00DD1720" w:rsidRDefault="00C100E9" w:rsidP="00C100E9">
      <w:pPr>
        <w:jc w:val="both"/>
      </w:pPr>
      <w:r>
        <w:t xml:space="preserve">The annual cost of additional bedding is estimated by taking the product of the estimated number of </w:t>
      </w:r>
      <w:r w:rsidR="00AC2CB7">
        <w:t xml:space="preserve">rearing dogs affected </w:t>
      </w:r>
      <w:r>
        <w:t>and a bedding cost of $8 per dog.</w:t>
      </w:r>
      <w:r w:rsidR="007B521C">
        <w:t xml:space="preserve"> </w:t>
      </w:r>
    </w:p>
    <w:p w:rsidR="00DD1720" w:rsidRDefault="00DD1720" w:rsidP="00C100E9">
      <w:pPr>
        <w:jc w:val="both"/>
      </w:pPr>
    </w:p>
    <w:p w:rsidR="00C100E9" w:rsidRDefault="00E945DF" w:rsidP="00C100E9">
      <w:pPr>
        <w:jc w:val="both"/>
      </w:pPr>
      <w:r>
        <w:t xml:space="preserve">The 10-year additional cost of </w:t>
      </w:r>
      <w:r w:rsidR="0057019D">
        <w:t xml:space="preserve">rearing (8 to 16 weeks) </w:t>
      </w:r>
      <w:r>
        <w:t>for participants under proposed sta</w:t>
      </w:r>
      <w:r w:rsidR="0057019D">
        <w:t>ndard 6.3.9</w:t>
      </w:r>
      <w:r w:rsidR="006D4563">
        <w:t xml:space="preserve"> is estimated to be $0.19</w:t>
      </w:r>
      <w:r>
        <w:t>m for Options 3</w:t>
      </w:r>
      <w:r w:rsidR="006D4563">
        <w:t>, 5</w:t>
      </w:r>
      <w:r>
        <w:t xml:space="preserve"> </w:t>
      </w:r>
      <w:r w:rsidR="006D4563">
        <w:t>and 6, $0.007m for Option 1; $0.05</w:t>
      </w:r>
      <w:r>
        <w:t xml:space="preserve">m for Option 2; and </w:t>
      </w:r>
      <w:r w:rsidR="006D4563">
        <w:t>$0.12</w:t>
      </w:r>
      <w:r>
        <w:t>m for Option 4 –</w:t>
      </w:r>
      <w:r w:rsidRPr="00BC7FAE">
        <w:t xml:space="preserve"> </w:t>
      </w:r>
      <w:r>
        <w:t>in 2016 dollars, as shown in Table A4.15.</w:t>
      </w:r>
    </w:p>
    <w:p w:rsidR="00DD1720" w:rsidRDefault="00DD1720" w:rsidP="00C100E9">
      <w:pPr>
        <w:jc w:val="both"/>
      </w:pPr>
    </w:p>
    <w:p w:rsidR="00DD1720" w:rsidRPr="00DD1720" w:rsidRDefault="00C100E9" w:rsidP="00DD1720">
      <w:pPr>
        <w:jc w:val="center"/>
        <w:rPr>
          <w:b/>
          <w:sz w:val="20"/>
        </w:rPr>
      </w:pPr>
      <w:r w:rsidRPr="00DD1720">
        <w:rPr>
          <w:b/>
          <w:sz w:val="20"/>
        </w:rPr>
        <w:t>Table A</w:t>
      </w:r>
      <w:r w:rsidR="00DD1720" w:rsidRPr="00DD1720">
        <w:rPr>
          <w:b/>
          <w:sz w:val="20"/>
        </w:rPr>
        <w:t>4.15</w:t>
      </w:r>
      <w:r w:rsidRPr="00DD1720">
        <w:rPr>
          <w:b/>
          <w:sz w:val="20"/>
        </w:rPr>
        <w:t>: Estimated 10-year additional cost of dog bedding for participants</w:t>
      </w:r>
      <w:r w:rsidR="00DD1720" w:rsidRPr="00DD1720">
        <w:rPr>
          <w:b/>
          <w:sz w:val="20"/>
        </w:rPr>
        <w:t xml:space="preserve"> under proposed standard 6.3.9 – Options 1 to 6</w:t>
      </w:r>
    </w:p>
    <w:p w:rsidR="00C100E9" w:rsidRDefault="00C100E9" w:rsidP="00C100E9">
      <w:pPr>
        <w:jc w:val="both"/>
      </w:pPr>
    </w:p>
    <w:tbl>
      <w:tblPr>
        <w:tblW w:w="7797" w:type="dxa"/>
        <w:jc w:val="center"/>
        <w:tblLook w:val="04A0" w:firstRow="1" w:lastRow="0" w:firstColumn="1" w:lastColumn="0" w:noHBand="0" w:noVBand="1"/>
      </w:tblPr>
      <w:tblGrid>
        <w:gridCol w:w="2410"/>
        <w:gridCol w:w="1616"/>
        <w:gridCol w:w="936"/>
        <w:gridCol w:w="1701"/>
        <w:gridCol w:w="1134"/>
      </w:tblGrid>
      <w:tr w:rsidR="00C100E9" w:rsidRPr="00BD28C4" w:rsidTr="009C0A16">
        <w:trPr>
          <w:trHeight w:val="70"/>
          <w:jc w:val="center"/>
        </w:trPr>
        <w:tc>
          <w:tcPr>
            <w:tcW w:w="2410"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616"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 (rearing)</w:t>
            </w:r>
          </w:p>
        </w:tc>
        <w:tc>
          <w:tcPr>
            <w:tcW w:w="93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701"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134"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DD1720" w:rsidRPr="00D53765" w:rsidTr="009C0A16">
        <w:trPr>
          <w:trHeight w:val="35"/>
          <w:jc w:val="center"/>
        </w:trPr>
        <w:tc>
          <w:tcPr>
            <w:tcW w:w="2410" w:type="dxa"/>
            <w:tcBorders>
              <w:top w:val="nil"/>
              <w:left w:val="nil"/>
              <w:bottom w:val="nil"/>
              <w:right w:val="nil"/>
            </w:tcBorders>
            <w:shd w:val="clear" w:color="000000" w:fill="FFFFFF"/>
            <w:noWrap/>
            <w:vAlign w:val="bottom"/>
          </w:tcPr>
          <w:p w:rsidR="00DD1720" w:rsidRPr="00E945DF" w:rsidRDefault="00DD1720" w:rsidP="00973C4B">
            <w:pPr>
              <w:rPr>
                <w:rFonts w:eastAsia="Times New Roman" w:cs="Calibri"/>
                <w:b/>
                <w:sz w:val="20"/>
                <w:szCs w:val="20"/>
                <w:lang w:eastAsia="en-AU"/>
              </w:rPr>
            </w:pPr>
            <w:r w:rsidRPr="00E945DF">
              <w:rPr>
                <w:rFonts w:eastAsia="Times New Roman" w:cs="Calibri"/>
                <w:b/>
                <w:sz w:val="20"/>
                <w:szCs w:val="20"/>
                <w:lang w:eastAsia="en-AU"/>
              </w:rPr>
              <w:t>Option 1</w:t>
            </w:r>
          </w:p>
        </w:tc>
        <w:tc>
          <w:tcPr>
            <w:tcW w:w="1616" w:type="dxa"/>
            <w:tcBorders>
              <w:top w:val="nil"/>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936" w:type="dxa"/>
            <w:tcBorders>
              <w:top w:val="nil"/>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701" w:type="dxa"/>
            <w:tcBorders>
              <w:top w:val="nil"/>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134" w:type="dxa"/>
            <w:tcBorders>
              <w:top w:val="nil"/>
              <w:left w:val="nil"/>
              <w:bottom w:val="nil"/>
              <w:right w:val="nil"/>
            </w:tcBorders>
            <w:shd w:val="clear" w:color="auto" w:fill="DBE5F1" w:themeFill="accent1" w:themeFillTint="33"/>
            <w:noWrap/>
            <w:vAlign w:val="bottom"/>
          </w:tcPr>
          <w:p w:rsidR="00DD1720" w:rsidRPr="00D53765" w:rsidRDefault="00DD1720" w:rsidP="00973C4B">
            <w:pPr>
              <w:jc w:val="center"/>
              <w:rPr>
                <w:rFonts w:eastAsia="Times New Roman" w:cs="Calibri"/>
                <w:sz w:val="20"/>
                <w:szCs w:val="20"/>
                <w:lang w:eastAsia="en-AU"/>
              </w:rPr>
            </w:pPr>
          </w:p>
        </w:tc>
      </w:tr>
      <w:tr w:rsidR="00E945DF" w:rsidRPr="00D53765" w:rsidTr="009C0A16">
        <w:trPr>
          <w:trHeight w:val="80"/>
          <w:jc w:val="center"/>
        </w:trPr>
        <w:tc>
          <w:tcPr>
            <w:tcW w:w="2410" w:type="dxa"/>
            <w:tcBorders>
              <w:top w:val="nil"/>
              <w:left w:val="nil"/>
              <w:bottom w:val="nil"/>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Large breeders (rearing)</w:t>
            </w:r>
          </w:p>
        </w:tc>
        <w:tc>
          <w:tcPr>
            <w:tcW w:w="161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0</w:t>
            </w:r>
          </w:p>
        </w:tc>
        <w:tc>
          <w:tcPr>
            <w:tcW w:w="93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$0</w:t>
            </w:r>
          </w:p>
        </w:tc>
        <w:tc>
          <w:tcPr>
            <w:tcW w:w="1701"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$0</w:t>
            </w:r>
          </w:p>
        </w:tc>
        <w:tc>
          <w:tcPr>
            <w:tcW w:w="1134" w:type="dxa"/>
            <w:tcBorders>
              <w:top w:val="nil"/>
              <w:left w:val="nil"/>
              <w:bottom w:val="nil"/>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$0</w:t>
            </w:r>
          </w:p>
        </w:tc>
      </w:tr>
      <w:tr w:rsidR="00E945DF" w:rsidRPr="00D53765" w:rsidTr="009C0A16">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Small breeders (rearing)</w:t>
            </w:r>
          </w:p>
        </w:tc>
        <w:tc>
          <w:tcPr>
            <w:tcW w:w="161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109</w:t>
            </w:r>
          </w:p>
        </w:tc>
        <w:tc>
          <w:tcPr>
            <w:tcW w:w="93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$873</w:t>
            </w:r>
          </w:p>
        </w:tc>
        <w:tc>
          <w:tcPr>
            <w:tcW w:w="1701"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$8,728</w:t>
            </w:r>
          </w:p>
        </w:tc>
        <w:tc>
          <w:tcPr>
            <w:tcW w:w="1134" w:type="dxa"/>
            <w:tcBorders>
              <w:top w:val="nil"/>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$7,362</w:t>
            </w:r>
          </w:p>
        </w:tc>
      </w:tr>
      <w:tr w:rsidR="00E945DF" w:rsidRPr="00D53765" w:rsidTr="009C0A16">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b/>
                <w:bCs/>
                <w:i/>
                <w:iCs/>
                <w:sz w:val="20"/>
                <w:szCs w:val="20"/>
              </w:rPr>
              <w:t>Total</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109</w:t>
            </w:r>
          </w:p>
        </w:tc>
        <w:tc>
          <w:tcPr>
            <w:tcW w:w="93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$873</w:t>
            </w:r>
          </w:p>
        </w:tc>
        <w:tc>
          <w:tcPr>
            <w:tcW w:w="1701"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$8,728</w:t>
            </w:r>
          </w:p>
        </w:tc>
        <w:tc>
          <w:tcPr>
            <w:tcW w:w="113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$7,362</w:t>
            </w:r>
          </w:p>
        </w:tc>
      </w:tr>
      <w:tr w:rsidR="00DD1720" w:rsidRPr="00D53765" w:rsidTr="009C0A16">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DD1720" w:rsidRPr="00E945DF" w:rsidRDefault="00DD1720" w:rsidP="00973C4B">
            <w:pPr>
              <w:rPr>
                <w:rFonts w:eastAsia="Times New Roman" w:cs="Calibri"/>
                <w:b/>
                <w:sz w:val="20"/>
                <w:szCs w:val="20"/>
                <w:lang w:eastAsia="en-AU"/>
              </w:rPr>
            </w:pPr>
            <w:r w:rsidRPr="00E945DF">
              <w:rPr>
                <w:rFonts w:eastAsia="Times New Roman" w:cs="Calibri"/>
                <w:b/>
                <w:sz w:val="20"/>
                <w:szCs w:val="20"/>
                <w:lang w:eastAsia="en-AU"/>
              </w:rPr>
              <w:t>Option 2</w:t>
            </w:r>
          </w:p>
        </w:tc>
        <w:tc>
          <w:tcPr>
            <w:tcW w:w="161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93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701"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134" w:type="dxa"/>
            <w:tcBorders>
              <w:top w:val="single" w:sz="4" w:space="0" w:color="1F497D" w:themeColor="text2"/>
              <w:left w:val="nil"/>
              <w:bottom w:val="nil"/>
              <w:right w:val="nil"/>
            </w:tcBorders>
            <w:shd w:val="clear" w:color="auto" w:fill="DBE5F1" w:themeFill="accent1" w:themeFillTint="33"/>
            <w:noWrap/>
            <w:vAlign w:val="bottom"/>
          </w:tcPr>
          <w:p w:rsidR="00DD1720" w:rsidRPr="00D53765" w:rsidRDefault="00DD1720" w:rsidP="00973C4B">
            <w:pPr>
              <w:jc w:val="center"/>
              <w:rPr>
                <w:rFonts w:eastAsia="Times New Roman" w:cs="Calibri"/>
                <w:sz w:val="20"/>
                <w:szCs w:val="20"/>
                <w:lang w:eastAsia="en-AU"/>
              </w:rPr>
            </w:pPr>
          </w:p>
        </w:tc>
      </w:tr>
      <w:tr w:rsidR="00E945DF" w:rsidRPr="00D53765" w:rsidTr="009C0A16">
        <w:trPr>
          <w:trHeight w:val="80"/>
          <w:jc w:val="center"/>
        </w:trPr>
        <w:tc>
          <w:tcPr>
            <w:tcW w:w="2410" w:type="dxa"/>
            <w:tcBorders>
              <w:top w:val="nil"/>
              <w:left w:val="nil"/>
              <w:bottom w:val="nil"/>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Large breeders (rearing)</w:t>
            </w:r>
          </w:p>
        </w:tc>
        <w:tc>
          <w:tcPr>
            <w:tcW w:w="161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35</w:t>
            </w:r>
          </w:p>
        </w:tc>
        <w:tc>
          <w:tcPr>
            <w:tcW w:w="93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$280</w:t>
            </w:r>
          </w:p>
        </w:tc>
        <w:tc>
          <w:tcPr>
            <w:tcW w:w="1701"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$2,800</w:t>
            </w:r>
          </w:p>
        </w:tc>
        <w:tc>
          <w:tcPr>
            <w:tcW w:w="1134" w:type="dxa"/>
            <w:tcBorders>
              <w:top w:val="nil"/>
              <w:left w:val="nil"/>
              <w:bottom w:val="nil"/>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$2,362</w:t>
            </w:r>
          </w:p>
        </w:tc>
      </w:tr>
      <w:tr w:rsidR="00E945DF" w:rsidRPr="00D53765" w:rsidTr="009C0A16">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Small breeders (rearing)</w:t>
            </w:r>
          </w:p>
        </w:tc>
        <w:tc>
          <w:tcPr>
            <w:tcW w:w="161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701</w:t>
            </w:r>
          </w:p>
        </w:tc>
        <w:tc>
          <w:tcPr>
            <w:tcW w:w="93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$5,611</w:t>
            </w:r>
          </w:p>
        </w:tc>
        <w:tc>
          <w:tcPr>
            <w:tcW w:w="1701"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$56,105</w:t>
            </w:r>
          </w:p>
        </w:tc>
        <w:tc>
          <w:tcPr>
            <w:tcW w:w="1134" w:type="dxa"/>
            <w:tcBorders>
              <w:top w:val="nil"/>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$47,327</w:t>
            </w:r>
          </w:p>
        </w:tc>
      </w:tr>
      <w:tr w:rsidR="00E945DF" w:rsidRPr="00D53765" w:rsidTr="009C0A16">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b/>
                <w:bCs/>
                <w:i/>
                <w:iCs/>
                <w:sz w:val="20"/>
                <w:szCs w:val="20"/>
              </w:rPr>
              <w:t>Total</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736</w:t>
            </w:r>
          </w:p>
        </w:tc>
        <w:tc>
          <w:tcPr>
            <w:tcW w:w="93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$5,890</w:t>
            </w:r>
          </w:p>
        </w:tc>
        <w:tc>
          <w:tcPr>
            <w:tcW w:w="1701"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$58,905</w:t>
            </w:r>
          </w:p>
        </w:tc>
        <w:tc>
          <w:tcPr>
            <w:tcW w:w="113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$49,688</w:t>
            </w:r>
          </w:p>
        </w:tc>
      </w:tr>
      <w:tr w:rsidR="00DD1720" w:rsidRPr="00D53765" w:rsidTr="009C0A16">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DD1720" w:rsidRPr="00E945DF" w:rsidRDefault="00DD1720" w:rsidP="00973C4B">
            <w:pPr>
              <w:rPr>
                <w:rFonts w:eastAsia="Times New Roman" w:cs="Calibri"/>
                <w:b/>
                <w:sz w:val="20"/>
                <w:szCs w:val="20"/>
                <w:lang w:eastAsia="en-AU"/>
              </w:rPr>
            </w:pPr>
            <w:r w:rsidRPr="00E945DF">
              <w:rPr>
                <w:rFonts w:eastAsia="Times New Roman" w:cs="Calibri"/>
                <w:b/>
                <w:sz w:val="20"/>
                <w:szCs w:val="20"/>
                <w:lang w:eastAsia="en-AU"/>
              </w:rPr>
              <w:t>Options 3, 5 and 6</w:t>
            </w:r>
          </w:p>
        </w:tc>
        <w:tc>
          <w:tcPr>
            <w:tcW w:w="161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93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701"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134" w:type="dxa"/>
            <w:tcBorders>
              <w:top w:val="single" w:sz="4" w:space="0" w:color="1F497D" w:themeColor="text2"/>
              <w:left w:val="nil"/>
              <w:bottom w:val="nil"/>
              <w:right w:val="nil"/>
            </w:tcBorders>
            <w:shd w:val="clear" w:color="auto" w:fill="DBE5F1" w:themeFill="accent1" w:themeFillTint="33"/>
            <w:noWrap/>
            <w:vAlign w:val="bottom"/>
          </w:tcPr>
          <w:p w:rsidR="00DD1720" w:rsidRPr="00D53765" w:rsidRDefault="00DD1720" w:rsidP="00973C4B">
            <w:pPr>
              <w:jc w:val="center"/>
              <w:rPr>
                <w:rFonts w:eastAsia="Times New Roman" w:cs="Calibri"/>
                <w:sz w:val="20"/>
                <w:szCs w:val="20"/>
                <w:lang w:eastAsia="en-AU"/>
              </w:rPr>
            </w:pPr>
          </w:p>
        </w:tc>
      </w:tr>
      <w:tr w:rsidR="00E945DF" w:rsidRPr="00D53765" w:rsidTr="009C0A16">
        <w:trPr>
          <w:trHeight w:val="80"/>
          <w:jc w:val="center"/>
        </w:trPr>
        <w:tc>
          <w:tcPr>
            <w:tcW w:w="2410" w:type="dxa"/>
            <w:tcBorders>
              <w:top w:val="nil"/>
              <w:left w:val="nil"/>
              <w:bottom w:val="nil"/>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Large breeders (rearing)</w:t>
            </w:r>
          </w:p>
        </w:tc>
        <w:tc>
          <w:tcPr>
            <w:tcW w:w="161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134</w:t>
            </w:r>
          </w:p>
        </w:tc>
        <w:tc>
          <w:tcPr>
            <w:tcW w:w="93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$1,071</w:t>
            </w:r>
          </w:p>
        </w:tc>
        <w:tc>
          <w:tcPr>
            <w:tcW w:w="1701"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$10,714</w:t>
            </w:r>
          </w:p>
        </w:tc>
        <w:tc>
          <w:tcPr>
            <w:tcW w:w="1134" w:type="dxa"/>
            <w:tcBorders>
              <w:top w:val="nil"/>
              <w:left w:val="nil"/>
              <w:bottom w:val="nil"/>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$9,038</w:t>
            </w:r>
          </w:p>
        </w:tc>
      </w:tr>
      <w:tr w:rsidR="00E945DF" w:rsidRPr="00D53765" w:rsidTr="009C0A16">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Small breeders (rearing)</w:t>
            </w:r>
          </w:p>
        </w:tc>
        <w:tc>
          <w:tcPr>
            <w:tcW w:w="161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2,684</w:t>
            </w:r>
          </w:p>
        </w:tc>
        <w:tc>
          <w:tcPr>
            <w:tcW w:w="93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$21,471</w:t>
            </w:r>
          </w:p>
        </w:tc>
        <w:tc>
          <w:tcPr>
            <w:tcW w:w="1701"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$214,705</w:t>
            </w:r>
          </w:p>
        </w:tc>
        <w:tc>
          <w:tcPr>
            <w:tcW w:w="1134" w:type="dxa"/>
            <w:tcBorders>
              <w:top w:val="nil"/>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$181,111</w:t>
            </w:r>
          </w:p>
        </w:tc>
      </w:tr>
      <w:tr w:rsidR="00E945DF" w:rsidRPr="00D53765" w:rsidTr="009C0A16">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b/>
                <w:bCs/>
                <w:i/>
                <w:iCs/>
                <w:sz w:val="20"/>
                <w:szCs w:val="20"/>
              </w:rPr>
              <w:t>Total</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2,818</w:t>
            </w:r>
          </w:p>
        </w:tc>
        <w:tc>
          <w:tcPr>
            <w:tcW w:w="93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$22,542</w:t>
            </w:r>
          </w:p>
        </w:tc>
        <w:tc>
          <w:tcPr>
            <w:tcW w:w="1701"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$225,419</w:t>
            </w:r>
          </w:p>
        </w:tc>
        <w:tc>
          <w:tcPr>
            <w:tcW w:w="113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$190,149</w:t>
            </w:r>
          </w:p>
        </w:tc>
      </w:tr>
      <w:tr w:rsidR="00DD1720" w:rsidRPr="00D53765" w:rsidTr="009C0A16">
        <w:trPr>
          <w:trHeight w:val="70"/>
          <w:jc w:val="center"/>
        </w:trPr>
        <w:tc>
          <w:tcPr>
            <w:tcW w:w="2410" w:type="dxa"/>
            <w:tcBorders>
              <w:top w:val="single" w:sz="4" w:space="0" w:color="1F497D" w:themeColor="text2"/>
              <w:left w:val="nil"/>
              <w:bottom w:val="nil"/>
              <w:right w:val="nil"/>
            </w:tcBorders>
            <w:shd w:val="clear" w:color="000000" w:fill="FFFFFF"/>
            <w:noWrap/>
            <w:vAlign w:val="bottom"/>
          </w:tcPr>
          <w:p w:rsidR="00DD1720" w:rsidRPr="00E945DF" w:rsidRDefault="00DD1720" w:rsidP="00973C4B">
            <w:pPr>
              <w:rPr>
                <w:rFonts w:eastAsia="Times New Roman" w:cs="Calibri"/>
                <w:b/>
                <w:sz w:val="20"/>
                <w:szCs w:val="20"/>
                <w:lang w:eastAsia="en-AU"/>
              </w:rPr>
            </w:pPr>
            <w:r w:rsidRPr="00E945DF">
              <w:rPr>
                <w:rFonts w:eastAsia="Times New Roman" w:cs="Calibri"/>
                <w:b/>
                <w:sz w:val="20"/>
                <w:szCs w:val="20"/>
                <w:lang w:eastAsia="en-AU"/>
              </w:rPr>
              <w:t>Option 4</w:t>
            </w:r>
          </w:p>
        </w:tc>
        <w:tc>
          <w:tcPr>
            <w:tcW w:w="161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936"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701" w:type="dxa"/>
            <w:tcBorders>
              <w:top w:val="single" w:sz="4" w:space="0" w:color="1F497D" w:themeColor="text2"/>
              <w:left w:val="nil"/>
              <w:bottom w:val="nil"/>
              <w:right w:val="nil"/>
            </w:tcBorders>
            <w:shd w:val="clear" w:color="000000" w:fill="FFFFFF"/>
            <w:noWrap/>
            <w:vAlign w:val="bottom"/>
          </w:tcPr>
          <w:p w:rsidR="00DD1720" w:rsidRPr="00D53765" w:rsidRDefault="00DD1720" w:rsidP="00973C4B">
            <w:pPr>
              <w:jc w:val="center"/>
              <w:rPr>
                <w:rFonts w:eastAsia="Times New Roman" w:cs="Calibri"/>
                <w:sz w:val="20"/>
                <w:szCs w:val="20"/>
                <w:lang w:eastAsia="en-AU"/>
              </w:rPr>
            </w:pPr>
          </w:p>
        </w:tc>
        <w:tc>
          <w:tcPr>
            <w:tcW w:w="1134" w:type="dxa"/>
            <w:tcBorders>
              <w:top w:val="single" w:sz="4" w:space="0" w:color="1F497D" w:themeColor="text2"/>
              <w:left w:val="nil"/>
              <w:bottom w:val="nil"/>
              <w:right w:val="nil"/>
            </w:tcBorders>
            <w:shd w:val="clear" w:color="auto" w:fill="DBE5F1" w:themeFill="accent1" w:themeFillTint="33"/>
            <w:noWrap/>
            <w:vAlign w:val="bottom"/>
          </w:tcPr>
          <w:p w:rsidR="00DD1720" w:rsidRPr="00D53765" w:rsidRDefault="00DD1720" w:rsidP="00973C4B">
            <w:pPr>
              <w:jc w:val="center"/>
              <w:rPr>
                <w:rFonts w:eastAsia="Times New Roman" w:cs="Calibri"/>
                <w:sz w:val="20"/>
                <w:szCs w:val="20"/>
                <w:lang w:eastAsia="en-AU"/>
              </w:rPr>
            </w:pPr>
          </w:p>
        </w:tc>
      </w:tr>
      <w:tr w:rsidR="00E945DF" w:rsidRPr="00D53765" w:rsidTr="009C0A16">
        <w:trPr>
          <w:trHeight w:val="80"/>
          <w:jc w:val="center"/>
        </w:trPr>
        <w:tc>
          <w:tcPr>
            <w:tcW w:w="2410" w:type="dxa"/>
            <w:tcBorders>
              <w:top w:val="nil"/>
              <w:left w:val="nil"/>
              <w:bottom w:val="nil"/>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Large breeders (rearing)</w:t>
            </w:r>
          </w:p>
        </w:tc>
        <w:tc>
          <w:tcPr>
            <w:tcW w:w="161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84</w:t>
            </w:r>
          </w:p>
        </w:tc>
        <w:tc>
          <w:tcPr>
            <w:tcW w:w="936"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$676</w:t>
            </w:r>
          </w:p>
        </w:tc>
        <w:tc>
          <w:tcPr>
            <w:tcW w:w="1701" w:type="dxa"/>
            <w:tcBorders>
              <w:top w:val="nil"/>
              <w:left w:val="nil"/>
              <w:bottom w:val="nil"/>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$6,757</w:t>
            </w:r>
          </w:p>
        </w:tc>
        <w:tc>
          <w:tcPr>
            <w:tcW w:w="1134" w:type="dxa"/>
            <w:tcBorders>
              <w:top w:val="nil"/>
              <w:left w:val="nil"/>
              <w:bottom w:val="nil"/>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$5,700</w:t>
            </w:r>
          </w:p>
        </w:tc>
      </w:tr>
      <w:tr w:rsidR="00E945DF" w:rsidRPr="00D53765" w:rsidTr="009C0A16">
        <w:trPr>
          <w:trHeight w:val="80"/>
          <w:jc w:val="center"/>
        </w:trPr>
        <w:tc>
          <w:tcPr>
            <w:tcW w:w="2410"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sz w:val="20"/>
                <w:szCs w:val="20"/>
              </w:rPr>
              <w:t>Small breeders (rearing)</w:t>
            </w:r>
          </w:p>
        </w:tc>
        <w:tc>
          <w:tcPr>
            <w:tcW w:w="161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1,693</w:t>
            </w:r>
          </w:p>
        </w:tc>
        <w:tc>
          <w:tcPr>
            <w:tcW w:w="936"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$13,540</w:t>
            </w:r>
          </w:p>
        </w:tc>
        <w:tc>
          <w:tcPr>
            <w:tcW w:w="1701" w:type="dxa"/>
            <w:tcBorders>
              <w:top w:val="nil"/>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sz w:val="20"/>
                <w:szCs w:val="20"/>
              </w:rPr>
              <w:t>$135,402</w:t>
            </w:r>
          </w:p>
        </w:tc>
        <w:tc>
          <w:tcPr>
            <w:tcW w:w="1134" w:type="dxa"/>
            <w:tcBorders>
              <w:top w:val="nil"/>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sz w:val="20"/>
                <w:szCs w:val="20"/>
              </w:rPr>
              <w:t>$114,216</w:t>
            </w:r>
          </w:p>
        </w:tc>
      </w:tr>
      <w:tr w:rsidR="00E945DF" w:rsidRPr="00D53765" w:rsidTr="009C0A16">
        <w:trPr>
          <w:trHeight w:val="70"/>
          <w:jc w:val="center"/>
        </w:trPr>
        <w:tc>
          <w:tcPr>
            <w:tcW w:w="2410"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rPr>
                <w:rFonts w:eastAsia="Times New Roman" w:cs="Calibri"/>
                <w:sz w:val="20"/>
                <w:szCs w:val="20"/>
                <w:lang w:eastAsia="en-AU"/>
              </w:rPr>
            </w:pPr>
            <w:r>
              <w:rPr>
                <w:b/>
                <w:bCs/>
                <w:i/>
                <w:iCs/>
                <w:sz w:val="20"/>
                <w:szCs w:val="20"/>
              </w:rPr>
              <w:t>Total</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1,777</w:t>
            </w:r>
          </w:p>
        </w:tc>
        <w:tc>
          <w:tcPr>
            <w:tcW w:w="936"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$14,216</w:t>
            </w:r>
          </w:p>
        </w:tc>
        <w:tc>
          <w:tcPr>
            <w:tcW w:w="1701" w:type="dxa"/>
            <w:tcBorders>
              <w:top w:val="single" w:sz="4" w:space="0" w:color="1F497D" w:themeColor="text2"/>
              <w:left w:val="nil"/>
              <w:bottom w:val="single" w:sz="4" w:space="0" w:color="1F497D" w:themeColor="text2"/>
              <w:right w:val="nil"/>
            </w:tcBorders>
            <w:shd w:val="clear" w:color="000000" w:fill="FFFFFF"/>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$142,158</w:t>
            </w:r>
          </w:p>
        </w:tc>
        <w:tc>
          <w:tcPr>
            <w:tcW w:w="1134"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45DF" w:rsidRPr="00D53765" w:rsidRDefault="00E945DF" w:rsidP="00E945DF">
            <w:pPr>
              <w:jc w:val="center"/>
              <w:rPr>
                <w:rFonts w:eastAsia="Times New Roman" w:cs="Calibri"/>
                <w:sz w:val="20"/>
                <w:szCs w:val="20"/>
                <w:lang w:eastAsia="en-AU"/>
              </w:rPr>
            </w:pPr>
            <w:r>
              <w:rPr>
                <w:b/>
                <w:bCs/>
                <w:i/>
                <w:iCs/>
                <w:sz w:val="20"/>
                <w:szCs w:val="20"/>
              </w:rPr>
              <w:t>$119,915</w:t>
            </w:r>
          </w:p>
        </w:tc>
      </w:tr>
    </w:tbl>
    <w:p w:rsidR="009437DD" w:rsidRDefault="009437DD" w:rsidP="009437DD"/>
    <w:p w:rsidR="00BD28C4" w:rsidRDefault="00BD28C4">
      <w:pPr>
        <w:rPr>
          <w:i/>
          <w:color w:val="53565A"/>
          <w:sz w:val="24"/>
          <w:szCs w:val="24"/>
        </w:rPr>
      </w:pPr>
      <w:bookmarkStart w:id="241" w:name="_Toc469529219"/>
      <w:r>
        <w:br w:type="page"/>
      </w:r>
    </w:p>
    <w:p w:rsidR="009437DD" w:rsidRDefault="009437DD" w:rsidP="005E307C">
      <w:pPr>
        <w:pStyle w:val="Heading3"/>
      </w:pPr>
      <w:bookmarkStart w:id="242" w:name="_Toc477190243"/>
      <w:r>
        <w:lastRenderedPageBreak/>
        <w:t>A4.10.2: Rearing (16 weeks to 18 months)</w:t>
      </w:r>
      <w:bookmarkEnd w:id="241"/>
      <w:bookmarkEnd w:id="242"/>
    </w:p>
    <w:p w:rsidR="00864518" w:rsidRDefault="00C100E9" w:rsidP="00C100E9">
      <w:pPr>
        <w:jc w:val="both"/>
      </w:pPr>
      <w:r>
        <w:t xml:space="preserve">Additional handling </w:t>
      </w:r>
      <w:r w:rsidR="005374C1">
        <w:t xml:space="preserve">costs for all dogs being reared and broken in </w:t>
      </w:r>
      <w:r>
        <w:t>under proposed standard 6.3.9 are calculated on the basis of 1.95 hours per group of dogs per week</w:t>
      </w:r>
      <w:r w:rsidR="00864518">
        <w:t xml:space="preserve"> for Options 1 to 5 (or 1.02 hours per group of dogs per week for Option 6)</w:t>
      </w:r>
      <w:r>
        <w:t xml:space="preserve"> at a charge out rate of </w:t>
      </w:r>
      <w:r w:rsidRPr="00296F33">
        <w:t>$38.15</w:t>
      </w:r>
      <w:r>
        <w:t xml:space="preserve"> for a volunteer (see Table A3.1 of Appendix 3) or, in other words, $74.40 per week per group of dogs</w:t>
      </w:r>
      <w:r w:rsidR="00864518">
        <w:t xml:space="preserve"> for Options 1 to 5 (or $38.97 per week per group of dogs for Option 6)</w:t>
      </w:r>
      <w:r>
        <w:t>.</w:t>
      </w:r>
      <w:r w:rsidR="007B521C">
        <w:t xml:space="preserve"> </w:t>
      </w:r>
      <w:r w:rsidR="00864518">
        <w:t xml:space="preserve">The </w:t>
      </w:r>
      <w:r>
        <w:t>cost</w:t>
      </w:r>
      <w:r w:rsidR="00864518">
        <w:t xml:space="preserve"> additional handling</w:t>
      </w:r>
      <w:r>
        <w:t xml:space="preserve"> per group of dogs would be </w:t>
      </w:r>
      <w:r w:rsidRPr="00086015">
        <w:t>$3,869</w:t>
      </w:r>
      <w:r w:rsidR="00864518">
        <w:t xml:space="preserve"> per annum under Options 1 to 5 (or $2,017 per annum under Option 6)</w:t>
      </w:r>
      <w:r>
        <w:t>.</w:t>
      </w:r>
      <w:r w:rsidR="007B521C">
        <w:t xml:space="preserve"> </w:t>
      </w:r>
    </w:p>
    <w:p w:rsidR="00864518" w:rsidRDefault="00864518" w:rsidP="00C100E9">
      <w:pPr>
        <w:jc w:val="both"/>
      </w:pPr>
    </w:p>
    <w:p w:rsidR="00364D2B" w:rsidRDefault="00864518" w:rsidP="00C100E9">
      <w:pPr>
        <w:jc w:val="both"/>
      </w:pPr>
      <w:r>
        <w:t>The</w:t>
      </w:r>
      <w:r w:rsidR="002F7E71">
        <w:t xml:space="preserve"> estimated total</w:t>
      </w:r>
      <w:r w:rsidR="00C100E9">
        <w:t xml:space="preserve"> number of dogs per group by category of participant</w:t>
      </w:r>
      <w:r>
        <w:t xml:space="preserve"> is variable, as shown in Panel A4.2</w:t>
      </w:r>
      <w:r w:rsidR="00002C78">
        <w:t xml:space="preserve">, </w:t>
      </w:r>
      <w:r>
        <w:t>and</w:t>
      </w:r>
      <w:r w:rsidR="00C100E9">
        <w:t xml:space="preserve"> is determined</w:t>
      </w:r>
      <w:r>
        <w:t xml:space="preserve"> as follows</w:t>
      </w:r>
      <w:r w:rsidR="00C100E9">
        <w:t>.</w:t>
      </w:r>
      <w:r w:rsidR="007B521C">
        <w:t xml:space="preserve"> </w:t>
      </w:r>
      <w:r w:rsidR="00C100E9">
        <w:t xml:space="preserve">Firstly, </w:t>
      </w:r>
      <w:r w:rsidR="00364D2B">
        <w:rPr>
          <w:i/>
        </w:rPr>
        <w:t>the proportion of participants</w:t>
      </w:r>
      <w:r w:rsidR="00C100E9">
        <w:t xml:space="preserve"> in </w:t>
      </w:r>
      <w:r w:rsidR="00364D2B">
        <w:t xml:space="preserve">Panel A4.2 </w:t>
      </w:r>
      <w:r w:rsidR="00C100E9">
        <w:t>are derived by dividing the individual number of</w:t>
      </w:r>
      <w:r w:rsidR="00C100E9" w:rsidRPr="00C0628F">
        <w:t xml:space="preserve"> registered breeders and trainers</w:t>
      </w:r>
      <w:r w:rsidR="00C100E9">
        <w:t xml:space="preserve"> distributed by number of </w:t>
      </w:r>
      <w:r w:rsidR="00C100E9" w:rsidRPr="00C0628F">
        <w:t>dogs under care</w:t>
      </w:r>
      <w:r w:rsidR="00C83A27">
        <w:t xml:space="preserve"> </w:t>
      </w:r>
      <w:r w:rsidR="00C100E9">
        <w:t xml:space="preserve">by the </w:t>
      </w:r>
      <w:r w:rsidR="00C100E9" w:rsidRPr="003057F8">
        <w:rPr>
          <w:i/>
        </w:rPr>
        <w:t>total number of participants</w:t>
      </w:r>
      <w:r w:rsidR="00C83A27">
        <w:rPr>
          <w:i/>
        </w:rPr>
        <w:t xml:space="preserve"> (542 for breeders and 1,705 for trainers)</w:t>
      </w:r>
      <w:r w:rsidR="00C100E9">
        <w:t>.</w:t>
      </w:r>
      <w:r w:rsidR="007B521C">
        <w:t xml:space="preserve"> </w:t>
      </w:r>
    </w:p>
    <w:p w:rsidR="00364D2B" w:rsidRDefault="00364D2B" w:rsidP="00C100E9">
      <w:pPr>
        <w:jc w:val="both"/>
      </w:pPr>
    </w:p>
    <w:p w:rsidR="00C100E9" w:rsidRDefault="00C100E9" w:rsidP="00C100E9">
      <w:pPr>
        <w:jc w:val="both"/>
      </w:pPr>
      <w:r>
        <w:t>The number of dogs per group</w:t>
      </w:r>
      <w:r w:rsidR="002F7E71">
        <w:t xml:space="preserve"> for each category of participant</w:t>
      </w:r>
      <w:r>
        <w:t xml:space="preserve"> </w:t>
      </w:r>
      <w:r w:rsidR="00B02E5D">
        <w:t xml:space="preserve">in Panel A4.2 </w:t>
      </w:r>
      <w:r>
        <w:t xml:space="preserve">is then </w:t>
      </w:r>
      <w:r w:rsidR="00B02E5D">
        <w:t>determined by taking the product of the number of dogs per group; the number of groups required; and the proportion of participants</w:t>
      </w:r>
      <w:r w:rsidR="002F7E71">
        <w:t xml:space="preserve"> (for each participant category and number of dogs under care) </w:t>
      </w:r>
      <w:r w:rsidR="00B02E5D">
        <w:t>– using the following formula</w:t>
      </w:r>
      <w:r>
        <w:t xml:space="preserve">: </w:t>
      </w:r>
    </w:p>
    <w:p w:rsidR="00C100E9" w:rsidRDefault="00C100E9" w:rsidP="00C100E9">
      <w:pPr>
        <w:jc w:val="both"/>
      </w:pPr>
    </w:p>
    <w:p w:rsidR="00C100E9" w:rsidRPr="009E30A8" w:rsidRDefault="00A2412C" w:rsidP="00C100E9">
      <w:pPr>
        <w:jc w:val="center"/>
        <w:rPr>
          <w:i/>
          <w:sz w:val="20"/>
        </w:rPr>
      </w:pPr>
      <w:r>
        <w:rPr>
          <w:i/>
          <w:sz w:val="20"/>
        </w:rPr>
        <w:t xml:space="preserve">Number of dogs per group = </w:t>
      </w:r>
      <w:r w:rsidR="00364D2B">
        <w:rPr>
          <w:i/>
          <w:sz w:val="20"/>
        </w:rPr>
        <w:t xml:space="preserve">No. </w:t>
      </w:r>
      <w:r w:rsidR="00C100E9" w:rsidRPr="009E30A8">
        <w:rPr>
          <w:i/>
          <w:sz w:val="20"/>
        </w:rPr>
        <w:t>dogs per group</w:t>
      </w:r>
      <w:r w:rsidR="00364D2B">
        <w:rPr>
          <w:i/>
          <w:sz w:val="20"/>
        </w:rPr>
        <w:t xml:space="preserve"> </w:t>
      </w:r>
      <w:r w:rsidR="00C100E9" w:rsidRPr="009E30A8">
        <w:rPr>
          <w:i/>
          <w:sz w:val="20"/>
        </w:rPr>
        <w:t xml:space="preserve">x </w:t>
      </w:r>
      <w:r w:rsidR="00364D2B">
        <w:rPr>
          <w:i/>
          <w:sz w:val="20"/>
        </w:rPr>
        <w:t xml:space="preserve">No. </w:t>
      </w:r>
      <w:r w:rsidR="00C100E9" w:rsidRPr="009E30A8">
        <w:rPr>
          <w:i/>
          <w:sz w:val="20"/>
        </w:rPr>
        <w:t>groups required</w:t>
      </w:r>
      <w:r w:rsidR="00364D2B">
        <w:rPr>
          <w:i/>
          <w:sz w:val="20"/>
        </w:rPr>
        <w:t xml:space="preserve"> </w:t>
      </w:r>
      <w:r w:rsidR="00C100E9" w:rsidRPr="009E30A8">
        <w:rPr>
          <w:i/>
          <w:sz w:val="20"/>
        </w:rPr>
        <w:t xml:space="preserve">x proportion </w:t>
      </w:r>
      <w:r w:rsidR="00364D2B">
        <w:rPr>
          <w:i/>
          <w:sz w:val="20"/>
        </w:rPr>
        <w:t>of participants</w:t>
      </w:r>
      <w:r w:rsidR="00C100E9" w:rsidRPr="009E30A8">
        <w:rPr>
          <w:i/>
          <w:sz w:val="20"/>
        </w:rPr>
        <w:t>.</w:t>
      </w:r>
    </w:p>
    <w:p w:rsidR="00C100E9" w:rsidRDefault="00C100E9" w:rsidP="00C100E9">
      <w:pPr>
        <w:jc w:val="both"/>
      </w:pPr>
    </w:p>
    <w:p w:rsidR="001D6BD0" w:rsidRDefault="001D6BD0">
      <w:pPr>
        <w:rPr>
          <w:b/>
          <w:sz w:val="20"/>
        </w:rPr>
      </w:pPr>
      <w:r>
        <w:rPr>
          <w:b/>
          <w:sz w:val="20"/>
        </w:rPr>
        <w:br w:type="page"/>
      </w:r>
    </w:p>
    <w:p w:rsidR="00C100E9" w:rsidRDefault="00C100E9" w:rsidP="00C100E9">
      <w:pPr>
        <w:jc w:val="center"/>
        <w:rPr>
          <w:b/>
          <w:sz w:val="20"/>
        </w:rPr>
      </w:pPr>
      <w:r w:rsidRPr="00864518">
        <w:rPr>
          <w:b/>
          <w:sz w:val="20"/>
        </w:rPr>
        <w:lastRenderedPageBreak/>
        <w:t>Panel A4.2: Estimation of average number of dogs per group affected by category of participant</w:t>
      </w:r>
      <w:r w:rsidR="00B02E5D">
        <w:rPr>
          <w:b/>
          <w:sz w:val="20"/>
        </w:rPr>
        <w:t xml:space="preserve"> under standard 6.3.9 – Options 1 to 6</w:t>
      </w:r>
    </w:p>
    <w:p w:rsidR="00864518" w:rsidRPr="00864518" w:rsidRDefault="00864518" w:rsidP="00C100E9">
      <w:pPr>
        <w:jc w:val="center"/>
        <w:rPr>
          <w:b/>
          <w:sz w:val="20"/>
        </w:rPr>
      </w:pPr>
    </w:p>
    <w:tbl>
      <w:tblPr>
        <w:tblW w:w="8506"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tblBorders>
        <w:shd w:val="clear" w:color="auto" w:fill="C6D9F1" w:themeFill="text2" w:themeFillTint="33"/>
        <w:tblLook w:val="04A0" w:firstRow="1" w:lastRow="0" w:firstColumn="1" w:lastColumn="0" w:noHBand="0" w:noVBand="1"/>
      </w:tblPr>
      <w:tblGrid>
        <w:gridCol w:w="2694"/>
        <w:gridCol w:w="993"/>
        <w:gridCol w:w="875"/>
        <w:gridCol w:w="992"/>
        <w:gridCol w:w="1417"/>
        <w:gridCol w:w="1535"/>
      </w:tblGrid>
      <w:tr w:rsidR="00891358" w:rsidRPr="00C0628F" w:rsidTr="00CB6897">
        <w:trPr>
          <w:trHeight w:val="657"/>
          <w:jc w:val="center"/>
        </w:trPr>
        <w:tc>
          <w:tcPr>
            <w:tcW w:w="2694" w:type="dxa"/>
            <w:tcBorders>
              <w:top w:val="double" w:sz="4" w:space="0" w:color="4F81BD" w:themeColor="accent1"/>
            </w:tcBorders>
            <w:shd w:val="clear" w:color="auto" w:fill="DBE5F1" w:themeFill="accent1" w:themeFillTint="33"/>
            <w:noWrap/>
            <w:vAlign w:val="bottom"/>
          </w:tcPr>
          <w:p w:rsidR="00891358" w:rsidRPr="00BD28C4" w:rsidRDefault="003A0098" w:rsidP="00973C4B">
            <w:pPr>
              <w:rPr>
                <w:rFonts w:eastAsia="Times New Roman" w:cs="Calibri"/>
                <w:b/>
                <w:color w:val="53565A"/>
                <w:sz w:val="20"/>
                <w:lang w:eastAsia="en-AU"/>
              </w:rPr>
            </w:pPr>
            <w:r w:rsidRPr="00BD28C4">
              <w:rPr>
                <w:b/>
                <w:color w:val="53565A"/>
                <w:sz w:val="20"/>
              </w:rPr>
              <w:t>Category of participants</w:t>
            </w:r>
          </w:p>
        </w:tc>
        <w:tc>
          <w:tcPr>
            <w:tcW w:w="4277" w:type="dxa"/>
            <w:gridSpan w:val="4"/>
            <w:tcBorders>
              <w:top w:val="double" w:sz="4" w:space="0" w:color="4F81BD" w:themeColor="accent1"/>
              <w:bottom w:val="single" w:sz="4" w:space="0" w:color="1F497D" w:themeColor="text2"/>
            </w:tcBorders>
            <w:shd w:val="clear" w:color="auto" w:fill="DBE5F1" w:themeFill="accent1" w:themeFillTint="33"/>
            <w:noWrap/>
            <w:vAlign w:val="bottom"/>
          </w:tcPr>
          <w:p w:rsidR="00891358" w:rsidRPr="00BD28C4" w:rsidRDefault="002F7E71" w:rsidP="00973C4B">
            <w:pPr>
              <w:jc w:val="center"/>
              <w:rPr>
                <w:rFonts w:eastAsia="Times New Roman" w:cs="Calibri"/>
                <w:b/>
                <w:color w:val="53565A"/>
                <w:sz w:val="20"/>
                <w:lang w:eastAsia="en-AU"/>
              </w:rPr>
            </w:pPr>
            <w:r w:rsidRPr="00BD28C4">
              <w:rPr>
                <w:rFonts w:eastAsia="Times New Roman" w:cs="Calibri"/>
                <w:b/>
                <w:color w:val="53565A"/>
                <w:sz w:val="20"/>
                <w:lang w:eastAsia="en-AU"/>
              </w:rPr>
              <w:t xml:space="preserve">No. dogs under care </w:t>
            </w:r>
          </w:p>
        </w:tc>
        <w:tc>
          <w:tcPr>
            <w:tcW w:w="1535" w:type="dxa"/>
            <w:tcBorders>
              <w:top w:val="double" w:sz="4" w:space="0" w:color="4F81BD" w:themeColor="accent1"/>
            </w:tcBorders>
            <w:shd w:val="clear" w:color="auto" w:fill="DBE5F1" w:themeFill="accent1" w:themeFillTint="33"/>
            <w:vAlign w:val="bottom"/>
          </w:tcPr>
          <w:p w:rsidR="00891358" w:rsidRPr="00BD28C4" w:rsidRDefault="00891358" w:rsidP="00973C4B">
            <w:pPr>
              <w:jc w:val="center"/>
              <w:rPr>
                <w:rFonts w:eastAsia="Times New Roman" w:cs="Calibri"/>
                <w:b/>
                <w:color w:val="53565A"/>
                <w:sz w:val="20"/>
                <w:lang w:eastAsia="en-AU"/>
              </w:rPr>
            </w:pPr>
          </w:p>
        </w:tc>
      </w:tr>
      <w:tr w:rsidR="00C100E9" w:rsidRPr="00C0628F" w:rsidTr="00CB6897">
        <w:trPr>
          <w:trHeight w:val="80"/>
          <w:jc w:val="center"/>
        </w:trPr>
        <w:tc>
          <w:tcPr>
            <w:tcW w:w="2694" w:type="dxa"/>
            <w:shd w:val="clear" w:color="auto" w:fill="DBE5F1" w:themeFill="accent1" w:themeFillTint="33"/>
            <w:noWrap/>
            <w:vAlign w:val="bottom"/>
            <w:hideMark/>
          </w:tcPr>
          <w:p w:rsidR="00C100E9" w:rsidRPr="00BD28C4" w:rsidRDefault="00C100E9" w:rsidP="00973C4B">
            <w:pPr>
              <w:rPr>
                <w:rFonts w:eastAsia="Times New Roman" w:cs="Calibri"/>
                <w:b/>
                <w:color w:val="53565A"/>
                <w:sz w:val="20"/>
                <w:lang w:eastAsia="en-AU"/>
              </w:rPr>
            </w:pPr>
          </w:p>
        </w:tc>
        <w:tc>
          <w:tcPr>
            <w:tcW w:w="993" w:type="dxa"/>
            <w:tcBorders>
              <w:top w:val="single" w:sz="4" w:space="0" w:color="1F497D" w:themeColor="text2"/>
            </w:tcBorders>
            <w:shd w:val="clear" w:color="auto" w:fill="DBE5F1" w:themeFill="accent1" w:themeFillTint="33"/>
            <w:noWrap/>
            <w:vAlign w:val="bottom"/>
            <w:hideMark/>
          </w:tcPr>
          <w:p w:rsidR="00C100E9" w:rsidRPr="00BD28C4" w:rsidRDefault="00C100E9" w:rsidP="00973C4B">
            <w:pPr>
              <w:jc w:val="center"/>
              <w:rPr>
                <w:rFonts w:eastAsia="Times New Roman" w:cs="Calibri"/>
                <w:b/>
                <w:color w:val="53565A"/>
                <w:sz w:val="20"/>
                <w:lang w:eastAsia="en-AU"/>
              </w:rPr>
            </w:pPr>
            <w:r w:rsidRPr="00BD28C4">
              <w:rPr>
                <w:rFonts w:eastAsia="Times New Roman" w:cs="Calibri"/>
                <w:b/>
                <w:color w:val="53565A"/>
                <w:sz w:val="20"/>
                <w:lang w:eastAsia="en-AU"/>
              </w:rPr>
              <w:t>1 to 5 dogs</w:t>
            </w:r>
          </w:p>
        </w:tc>
        <w:tc>
          <w:tcPr>
            <w:tcW w:w="875" w:type="dxa"/>
            <w:tcBorders>
              <w:top w:val="single" w:sz="4" w:space="0" w:color="1F497D" w:themeColor="text2"/>
            </w:tcBorders>
            <w:shd w:val="clear" w:color="auto" w:fill="DBE5F1" w:themeFill="accent1" w:themeFillTint="33"/>
            <w:noWrap/>
            <w:vAlign w:val="bottom"/>
            <w:hideMark/>
          </w:tcPr>
          <w:p w:rsidR="00C100E9" w:rsidRPr="00BD28C4" w:rsidRDefault="00C100E9" w:rsidP="00973C4B">
            <w:pPr>
              <w:jc w:val="center"/>
              <w:rPr>
                <w:rFonts w:eastAsia="Times New Roman" w:cs="Calibri"/>
                <w:b/>
                <w:color w:val="53565A"/>
                <w:sz w:val="20"/>
                <w:lang w:eastAsia="en-AU"/>
              </w:rPr>
            </w:pPr>
            <w:r w:rsidRPr="00BD28C4">
              <w:rPr>
                <w:rFonts w:eastAsia="Times New Roman" w:cs="Calibri"/>
                <w:b/>
                <w:color w:val="53565A"/>
                <w:sz w:val="20"/>
                <w:lang w:eastAsia="en-AU"/>
              </w:rPr>
              <w:t>6 to 10 dogs</w:t>
            </w:r>
          </w:p>
        </w:tc>
        <w:tc>
          <w:tcPr>
            <w:tcW w:w="992" w:type="dxa"/>
            <w:tcBorders>
              <w:top w:val="single" w:sz="4" w:space="0" w:color="1F497D" w:themeColor="text2"/>
            </w:tcBorders>
            <w:shd w:val="clear" w:color="auto" w:fill="DBE5F1" w:themeFill="accent1" w:themeFillTint="33"/>
            <w:noWrap/>
            <w:vAlign w:val="bottom"/>
            <w:hideMark/>
          </w:tcPr>
          <w:p w:rsidR="00C100E9" w:rsidRPr="00BD28C4" w:rsidRDefault="00C100E9" w:rsidP="00973C4B">
            <w:pPr>
              <w:jc w:val="center"/>
              <w:rPr>
                <w:rFonts w:eastAsia="Times New Roman" w:cs="Calibri"/>
                <w:b/>
                <w:color w:val="53565A"/>
                <w:sz w:val="20"/>
                <w:lang w:eastAsia="en-AU"/>
              </w:rPr>
            </w:pPr>
            <w:r w:rsidRPr="00BD28C4">
              <w:rPr>
                <w:rFonts w:eastAsia="Times New Roman" w:cs="Calibri"/>
                <w:b/>
                <w:color w:val="53565A"/>
                <w:sz w:val="20"/>
                <w:lang w:eastAsia="en-AU"/>
              </w:rPr>
              <w:t>11 to 29 dogs</w:t>
            </w:r>
          </w:p>
        </w:tc>
        <w:tc>
          <w:tcPr>
            <w:tcW w:w="1417" w:type="dxa"/>
            <w:tcBorders>
              <w:top w:val="single" w:sz="4" w:space="0" w:color="1F497D" w:themeColor="text2"/>
            </w:tcBorders>
            <w:shd w:val="clear" w:color="auto" w:fill="DBE5F1" w:themeFill="accent1" w:themeFillTint="33"/>
            <w:noWrap/>
            <w:vAlign w:val="bottom"/>
            <w:hideMark/>
          </w:tcPr>
          <w:p w:rsidR="00C100E9" w:rsidRPr="00BD28C4" w:rsidRDefault="00C100E9" w:rsidP="00973C4B">
            <w:pPr>
              <w:jc w:val="center"/>
              <w:rPr>
                <w:rFonts w:eastAsia="Times New Roman" w:cs="Calibri"/>
                <w:b/>
                <w:color w:val="53565A"/>
                <w:sz w:val="20"/>
                <w:lang w:eastAsia="en-AU"/>
              </w:rPr>
            </w:pPr>
            <w:r w:rsidRPr="00BD28C4">
              <w:rPr>
                <w:rFonts w:eastAsia="Times New Roman" w:cs="Calibri"/>
                <w:b/>
                <w:color w:val="53565A"/>
                <w:sz w:val="20"/>
                <w:lang w:eastAsia="en-AU"/>
              </w:rPr>
              <w:t>30 or more dogs</w:t>
            </w:r>
          </w:p>
        </w:tc>
        <w:tc>
          <w:tcPr>
            <w:tcW w:w="1535" w:type="dxa"/>
            <w:shd w:val="clear" w:color="auto" w:fill="DBE5F1" w:themeFill="accent1" w:themeFillTint="33"/>
            <w:vAlign w:val="bottom"/>
            <w:hideMark/>
          </w:tcPr>
          <w:p w:rsidR="00C100E9" w:rsidRPr="00BD28C4" w:rsidRDefault="00364D2B" w:rsidP="00973C4B">
            <w:pPr>
              <w:jc w:val="center"/>
              <w:rPr>
                <w:rFonts w:eastAsia="Times New Roman" w:cs="Calibri"/>
                <w:b/>
                <w:color w:val="53565A"/>
                <w:sz w:val="20"/>
                <w:lang w:eastAsia="en-AU"/>
              </w:rPr>
            </w:pPr>
            <w:r w:rsidRPr="00BD28C4">
              <w:rPr>
                <w:rFonts w:eastAsia="Times New Roman" w:cs="Calibri"/>
                <w:b/>
                <w:color w:val="53565A"/>
                <w:sz w:val="20"/>
                <w:lang w:eastAsia="en-AU"/>
              </w:rPr>
              <w:t xml:space="preserve">Total </w:t>
            </w:r>
          </w:p>
        </w:tc>
      </w:tr>
      <w:tr w:rsidR="00891358" w:rsidRPr="00C0628F" w:rsidTr="00CB6897">
        <w:trPr>
          <w:trHeight w:val="80"/>
          <w:jc w:val="center"/>
        </w:trPr>
        <w:tc>
          <w:tcPr>
            <w:tcW w:w="2694" w:type="dxa"/>
            <w:tcBorders>
              <w:bottom w:val="single" w:sz="4" w:space="0" w:color="1F497D" w:themeColor="text2"/>
            </w:tcBorders>
            <w:shd w:val="clear" w:color="auto" w:fill="DBE5F1" w:themeFill="accent1" w:themeFillTint="33"/>
            <w:noWrap/>
            <w:vAlign w:val="bottom"/>
          </w:tcPr>
          <w:p w:rsidR="00891358" w:rsidRPr="00BD28C4" w:rsidRDefault="003A0098" w:rsidP="00891358">
            <w:pPr>
              <w:rPr>
                <w:b/>
                <w:color w:val="53565A"/>
                <w:sz w:val="20"/>
              </w:rPr>
            </w:pPr>
            <w:r w:rsidRPr="00BD28C4">
              <w:rPr>
                <w:b/>
                <w:color w:val="53565A"/>
                <w:sz w:val="20"/>
              </w:rPr>
              <w:t>Number of participants</w:t>
            </w:r>
          </w:p>
        </w:tc>
        <w:tc>
          <w:tcPr>
            <w:tcW w:w="993" w:type="dxa"/>
            <w:tcBorders>
              <w:bottom w:val="single" w:sz="4" w:space="0" w:color="1F497D" w:themeColor="text2"/>
            </w:tcBorders>
            <w:shd w:val="clear" w:color="auto" w:fill="DBE5F1" w:themeFill="accent1" w:themeFillTint="33"/>
            <w:noWrap/>
            <w:vAlign w:val="bottom"/>
          </w:tcPr>
          <w:p w:rsidR="00891358" w:rsidRPr="00BD28C4" w:rsidRDefault="00891358" w:rsidP="00891358">
            <w:pPr>
              <w:jc w:val="center"/>
              <w:rPr>
                <w:color w:val="53565A"/>
                <w:sz w:val="20"/>
              </w:rPr>
            </w:pPr>
          </w:p>
        </w:tc>
        <w:tc>
          <w:tcPr>
            <w:tcW w:w="875" w:type="dxa"/>
            <w:tcBorders>
              <w:bottom w:val="single" w:sz="4" w:space="0" w:color="1F497D" w:themeColor="text2"/>
            </w:tcBorders>
            <w:shd w:val="clear" w:color="auto" w:fill="DBE5F1" w:themeFill="accent1" w:themeFillTint="33"/>
            <w:noWrap/>
            <w:vAlign w:val="bottom"/>
          </w:tcPr>
          <w:p w:rsidR="00891358" w:rsidRPr="00BD28C4" w:rsidRDefault="00891358" w:rsidP="00891358">
            <w:pPr>
              <w:jc w:val="center"/>
              <w:rPr>
                <w:color w:val="53565A"/>
                <w:sz w:val="20"/>
              </w:rPr>
            </w:pPr>
          </w:p>
        </w:tc>
        <w:tc>
          <w:tcPr>
            <w:tcW w:w="992" w:type="dxa"/>
            <w:tcBorders>
              <w:bottom w:val="single" w:sz="4" w:space="0" w:color="1F497D" w:themeColor="text2"/>
            </w:tcBorders>
            <w:shd w:val="clear" w:color="auto" w:fill="DBE5F1" w:themeFill="accent1" w:themeFillTint="33"/>
            <w:noWrap/>
            <w:vAlign w:val="bottom"/>
          </w:tcPr>
          <w:p w:rsidR="00891358" w:rsidRPr="00BD28C4" w:rsidRDefault="00891358" w:rsidP="00891358">
            <w:pPr>
              <w:jc w:val="center"/>
              <w:rPr>
                <w:color w:val="53565A"/>
                <w:sz w:val="20"/>
              </w:rPr>
            </w:pPr>
          </w:p>
        </w:tc>
        <w:tc>
          <w:tcPr>
            <w:tcW w:w="1417" w:type="dxa"/>
            <w:tcBorders>
              <w:bottom w:val="single" w:sz="4" w:space="0" w:color="1F497D" w:themeColor="text2"/>
            </w:tcBorders>
            <w:shd w:val="clear" w:color="auto" w:fill="DBE5F1" w:themeFill="accent1" w:themeFillTint="33"/>
            <w:noWrap/>
            <w:vAlign w:val="bottom"/>
          </w:tcPr>
          <w:p w:rsidR="00891358" w:rsidRPr="00BD28C4" w:rsidRDefault="00891358" w:rsidP="00891358">
            <w:pPr>
              <w:jc w:val="center"/>
              <w:rPr>
                <w:color w:val="53565A"/>
                <w:sz w:val="20"/>
              </w:rPr>
            </w:pPr>
          </w:p>
        </w:tc>
        <w:tc>
          <w:tcPr>
            <w:tcW w:w="1535" w:type="dxa"/>
            <w:tcBorders>
              <w:bottom w:val="single" w:sz="4" w:space="0" w:color="1F497D" w:themeColor="text2"/>
            </w:tcBorders>
            <w:shd w:val="clear" w:color="auto" w:fill="DBE5F1" w:themeFill="accent1" w:themeFillTint="33"/>
            <w:noWrap/>
            <w:vAlign w:val="bottom"/>
          </w:tcPr>
          <w:p w:rsidR="00891358" w:rsidRPr="00BD28C4" w:rsidRDefault="00891358" w:rsidP="00891358">
            <w:pPr>
              <w:rPr>
                <w:rFonts w:eastAsia="Times New Roman" w:cs="Calibri"/>
                <w:color w:val="53565A"/>
                <w:sz w:val="20"/>
                <w:lang w:eastAsia="en-AU"/>
              </w:rPr>
            </w:pPr>
          </w:p>
        </w:tc>
      </w:tr>
      <w:tr w:rsidR="00364D2B" w:rsidRPr="00C0628F" w:rsidTr="00CB6897">
        <w:trPr>
          <w:trHeight w:val="80"/>
          <w:jc w:val="center"/>
        </w:trPr>
        <w:tc>
          <w:tcPr>
            <w:tcW w:w="2694" w:type="dxa"/>
            <w:tcBorders>
              <w:top w:val="single" w:sz="4" w:space="0" w:color="1F497D" w:themeColor="text2"/>
              <w:left w:val="double" w:sz="4" w:space="0" w:color="4F81BD" w:themeColor="accent1"/>
              <w:bottom w:val="nil"/>
            </w:tcBorders>
            <w:shd w:val="clear" w:color="auto" w:fill="DBE5F1" w:themeFill="accent1" w:themeFillTint="33"/>
            <w:noWrap/>
            <w:vAlign w:val="bottom"/>
          </w:tcPr>
          <w:p w:rsidR="00364D2B" w:rsidRPr="00BD28C4" w:rsidRDefault="00364D2B" w:rsidP="00364D2B">
            <w:pPr>
              <w:rPr>
                <w:rFonts w:eastAsia="Times New Roman" w:cs="Calibri"/>
                <w:color w:val="53565A"/>
                <w:sz w:val="20"/>
                <w:lang w:eastAsia="en-AU"/>
              </w:rPr>
            </w:pPr>
            <w:r w:rsidRPr="00BD28C4">
              <w:rPr>
                <w:color w:val="53565A"/>
                <w:sz w:val="20"/>
              </w:rPr>
              <w:t>Large breeders</w:t>
            </w:r>
          </w:p>
        </w:tc>
        <w:tc>
          <w:tcPr>
            <w:tcW w:w="993"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875"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992"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18</w:t>
            </w:r>
          </w:p>
        </w:tc>
        <w:tc>
          <w:tcPr>
            <w:tcW w:w="1417"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40</w:t>
            </w:r>
          </w:p>
        </w:tc>
        <w:tc>
          <w:tcPr>
            <w:tcW w:w="1535" w:type="dxa"/>
            <w:tcBorders>
              <w:top w:val="single" w:sz="4" w:space="0" w:color="1F497D" w:themeColor="text2"/>
              <w:bottom w:val="nil"/>
              <w:right w:val="double" w:sz="4" w:space="0" w:color="4F81BD" w:themeColor="accent1"/>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p>
        </w:tc>
      </w:tr>
      <w:tr w:rsidR="00364D2B" w:rsidRPr="00C0628F" w:rsidTr="00CB6897">
        <w:trPr>
          <w:trHeight w:val="80"/>
          <w:jc w:val="center"/>
        </w:trPr>
        <w:tc>
          <w:tcPr>
            <w:tcW w:w="2694" w:type="dxa"/>
            <w:tcBorders>
              <w:top w:val="nil"/>
              <w:left w:val="double" w:sz="4" w:space="0" w:color="4F81BD" w:themeColor="accent1"/>
              <w:bottom w:val="single" w:sz="4" w:space="0" w:color="1F497D" w:themeColor="text2"/>
            </w:tcBorders>
            <w:shd w:val="clear" w:color="auto" w:fill="DBE5F1" w:themeFill="accent1" w:themeFillTint="33"/>
            <w:noWrap/>
            <w:vAlign w:val="bottom"/>
          </w:tcPr>
          <w:p w:rsidR="00364D2B" w:rsidRPr="00BD28C4" w:rsidRDefault="00364D2B" w:rsidP="00364D2B">
            <w:pPr>
              <w:rPr>
                <w:rFonts w:eastAsia="Times New Roman" w:cs="Calibri"/>
                <w:color w:val="53565A"/>
                <w:sz w:val="20"/>
                <w:lang w:eastAsia="en-AU"/>
              </w:rPr>
            </w:pPr>
            <w:r w:rsidRPr="00BD28C4">
              <w:rPr>
                <w:color w:val="53565A"/>
                <w:sz w:val="20"/>
              </w:rPr>
              <w:t>Small breeders</w:t>
            </w:r>
          </w:p>
        </w:tc>
        <w:tc>
          <w:tcPr>
            <w:tcW w:w="993"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291</w:t>
            </w:r>
          </w:p>
        </w:tc>
        <w:tc>
          <w:tcPr>
            <w:tcW w:w="875"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168</w:t>
            </w:r>
          </w:p>
        </w:tc>
        <w:tc>
          <w:tcPr>
            <w:tcW w:w="992"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25</w:t>
            </w:r>
          </w:p>
        </w:tc>
        <w:tc>
          <w:tcPr>
            <w:tcW w:w="1417"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1535" w:type="dxa"/>
            <w:tcBorders>
              <w:top w:val="nil"/>
              <w:bottom w:val="single" w:sz="4" w:space="0" w:color="1F497D" w:themeColor="text2"/>
              <w:right w:val="double" w:sz="4" w:space="0" w:color="4F81BD" w:themeColor="accent1"/>
            </w:tcBorders>
            <w:shd w:val="clear" w:color="auto" w:fill="DBE5F1" w:themeFill="accent1" w:themeFillTint="33"/>
            <w:noWrap/>
            <w:vAlign w:val="bottom"/>
          </w:tcPr>
          <w:p w:rsidR="00364D2B" w:rsidRPr="00BD28C4" w:rsidRDefault="00C83A27" w:rsidP="00364D2B">
            <w:pPr>
              <w:jc w:val="center"/>
              <w:rPr>
                <w:rFonts w:eastAsia="Times New Roman" w:cs="Calibri"/>
                <w:b/>
                <w:color w:val="53565A"/>
                <w:sz w:val="20"/>
                <w:lang w:eastAsia="en-AU"/>
              </w:rPr>
            </w:pPr>
            <w:r w:rsidRPr="00BD28C4">
              <w:rPr>
                <w:b/>
                <w:color w:val="53565A"/>
                <w:sz w:val="20"/>
              </w:rPr>
              <w:t>542</w:t>
            </w:r>
          </w:p>
        </w:tc>
      </w:tr>
      <w:tr w:rsidR="00364D2B" w:rsidRPr="00C0628F" w:rsidTr="00CB6897">
        <w:trPr>
          <w:trHeight w:val="80"/>
          <w:jc w:val="center"/>
        </w:trPr>
        <w:tc>
          <w:tcPr>
            <w:tcW w:w="2694" w:type="dxa"/>
            <w:tcBorders>
              <w:top w:val="single" w:sz="4" w:space="0" w:color="1F497D" w:themeColor="text2"/>
              <w:left w:val="double" w:sz="4" w:space="0" w:color="4F81BD" w:themeColor="accent1"/>
              <w:bottom w:val="nil"/>
            </w:tcBorders>
            <w:shd w:val="clear" w:color="auto" w:fill="DBE5F1" w:themeFill="accent1" w:themeFillTint="33"/>
            <w:noWrap/>
            <w:vAlign w:val="bottom"/>
          </w:tcPr>
          <w:p w:rsidR="00364D2B" w:rsidRPr="00BD28C4" w:rsidRDefault="00364D2B" w:rsidP="00364D2B">
            <w:pPr>
              <w:rPr>
                <w:rFonts w:eastAsia="Times New Roman" w:cs="Calibri"/>
                <w:color w:val="53565A"/>
                <w:sz w:val="20"/>
                <w:lang w:eastAsia="en-AU"/>
              </w:rPr>
            </w:pPr>
            <w:r w:rsidRPr="00BD28C4">
              <w:rPr>
                <w:color w:val="53565A"/>
                <w:sz w:val="20"/>
              </w:rPr>
              <w:t>Large trainers</w:t>
            </w:r>
          </w:p>
        </w:tc>
        <w:tc>
          <w:tcPr>
            <w:tcW w:w="993"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875"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992"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179</w:t>
            </w:r>
          </w:p>
        </w:tc>
        <w:tc>
          <w:tcPr>
            <w:tcW w:w="1417" w:type="dxa"/>
            <w:tcBorders>
              <w:top w:val="single" w:sz="4" w:space="0" w:color="1F497D" w:themeColor="text2"/>
              <w:bottom w:val="nil"/>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77</w:t>
            </w:r>
          </w:p>
        </w:tc>
        <w:tc>
          <w:tcPr>
            <w:tcW w:w="1535" w:type="dxa"/>
            <w:tcBorders>
              <w:top w:val="single" w:sz="4" w:space="0" w:color="1F497D" w:themeColor="text2"/>
              <w:bottom w:val="nil"/>
              <w:right w:val="double" w:sz="4" w:space="0" w:color="4F81BD" w:themeColor="accent1"/>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p>
        </w:tc>
      </w:tr>
      <w:tr w:rsidR="00364D2B" w:rsidRPr="00C0628F" w:rsidTr="00CB6897">
        <w:trPr>
          <w:trHeight w:val="80"/>
          <w:jc w:val="center"/>
        </w:trPr>
        <w:tc>
          <w:tcPr>
            <w:tcW w:w="2694" w:type="dxa"/>
            <w:tcBorders>
              <w:top w:val="nil"/>
              <w:left w:val="double" w:sz="4" w:space="0" w:color="4F81BD" w:themeColor="accent1"/>
              <w:bottom w:val="single" w:sz="4" w:space="0" w:color="1F497D" w:themeColor="text2"/>
            </w:tcBorders>
            <w:shd w:val="clear" w:color="auto" w:fill="DBE5F1" w:themeFill="accent1" w:themeFillTint="33"/>
            <w:noWrap/>
            <w:vAlign w:val="bottom"/>
          </w:tcPr>
          <w:p w:rsidR="00364D2B" w:rsidRPr="00BD28C4" w:rsidRDefault="00364D2B" w:rsidP="00364D2B">
            <w:pPr>
              <w:rPr>
                <w:rFonts w:eastAsia="Times New Roman" w:cs="Calibri"/>
                <w:color w:val="53565A"/>
                <w:sz w:val="20"/>
                <w:lang w:eastAsia="en-AU"/>
              </w:rPr>
            </w:pPr>
            <w:r w:rsidRPr="00BD28C4">
              <w:rPr>
                <w:color w:val="53565A"/>
                <w:sz w:val="20"/>
              </w:rPr>
              <w:t>Small trainers</w:t>
            </w:r>
          </w:p>
        </w:tc>
        <w:tc>
          <w:tcPr>
            <w:tcW w:w="993"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1,071</w:t>
            </w:r>
          </w:p>
        </w:tc>
        <w:tc>
          <w:tcPr>
            <w:tcW w:w="875"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379</w:t>
            </w:r>
          </w:p>
        </w:tc>
        <w:tc>
          <w:tcPr>
            <w:tcW w:w="992"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1417" w:type="dxa"/>
            <w:tcBorders>
              <w:top w:val="nil"/>
              <w:bottom w:val="single" w:sz="4" w:space="0" w:color="1F497D" w:themeColor="text2"/>
            </w:tcBorders>
            <w:shd w:val="clear" w:color="auto" w:fill="DBE5F1" w:themeFill="accent1" w:themeFillTint="33"/>
            <w:noWrap/>
            <w:vAlign w:val="bottom"/>
          </w:tcPr>
          <w:p w:rsidR="00364D2B" w:rsidRPr="00BD28C4" w:rsidRDefault="00364D2B" w:rsidP="00364D2B">
            <w:pPr>
              <w:jc w:val="center"/>
              <w:rPr>
                <w:rFonts w:eastAsia="Times New Roman" w:cs="Calibri"/>
                <w:color w:val="53565A"/>
                <w:sz w:val="20"/>
                <w:lang w:eastAsia="en-AU"/>
              </w:rPr>
            </w:pPr>
            <w:r w:rsidRPr="00BD28C4">
              <w:rPr>
                <w:color w:val="53565A"/>
                <w:sz w:val="20"/>
              </w:rPr>
              <w:t>0</w:t>
            </w:r>
          </w:p>
        </w:tc>
        <w:tc>
          <w:tcPr>
            <w:tcW w:w="1535" w:type="dxa"/>
            <w:tcBorders>
              <w:top w:val="nil"/>
              <w:bottom w:val="single" w:sz="4" w:space="0" w:color="1F497D" w:themeColor="text2"/>
              <w:right w:val="double" w:sz="4" w:space="0" w:color="4F81BD" w:themeColor="accent1"/>
            </w:tcBorders>
            <w:shd w:val="clear" w:color="auto" w:fill="DBE5F1" w:themeFill="accent1" w:themeFillTint="33"/>
            <w:noWrap/>
            <w:vAlign w:val="bottom"/>
          </w:tcPr>
          <w:p w:rsidR="00364D2B" w:rsidRPr="00BD28C4" w:rsidRDefault="00C83A27" w:rsidP="00364D2B">
            <w:pPr>
              <w:jc w:val="center"/>
              <w:rPr>
                <w:rFonts w:eastAsia="Times New Roman" w:cs="Calibri"/>
                <w:b/>
                <w:color w:val="53565A"/>
                <w:sz w:val="20"/>
                <w:lang w:eastAsia="en-AU"/>
              </w:rPr>
            </w:pPr>
            <w:r w:rsidRPr="00BD28C4">
              <w:rPr>
                <w:b/>
                <w:color w:val="53565A"/>
                <w:sz w:val="20"/>
              </w:rPr>
              <w:t>1,705</w:t>
            </w:r>
          </w:p>
        </w:tc>
      </w:tr>
      <w:tr w:rsidR="00891358" w:rsidRPr="00C0628F" w:rsidTr="00CB6897">
        <w:trPr>
          <w:trHeight w:val="249"/>
          <w:jc w:val="center"/>
        </w:trPr>
        <w:tc>
          <w:tcPr>
            <w:tcW w:w="2694" w:type="dxa"/>
            <w:shd w:val="clear" w:color="auto" w:fill="DBE5F1" w:themeFill="accent1" w:themeFillTint="33"/>
            <w:noWrap/>
            <w:vAlign w:val="bottom"/>
          </w:tcPr>
          <w:p w:rsidR="00891358" w:rsidRPr="00BD28C4" w:rsidRDefault="00891358" w:rsidP="00973C4B">
            <w:pPr>
              <w:rPr>
                <w:rFonts w:eastAsia="Times New Roman" w:cs="Calibri"/>
                <w:color w:val="53565A"/>
                <w:sz w:val="20"/>
                <w:lang w:eastAsia="en-AU"/>
              </w:rPr>
            </w:pPr>
          </w:p>
        </w:tc>
        <w:tc>
          <w:tcPr>
            <w:tcW w:w="993" w:type="dxa"/>
            <w:shd w:val="clear" w:color="auto" w:fill="DBE5F1" w:themeFill="accent1" w:themeFillTint="33"/>
            <w:noWrap/>
            <w:vAlign w:val="bottom"/>
          </w:tcPr>
          <w:p w:rsidR="00891358" w:rsidRPr="00BD28C4" w:rsidRDefault="00891358" w:rsidP="00973C4B">
            <w:pPr>
              <w:jc w:val="center"/>
              <w:rPr>
                <w:rFonts w:eastAsia="Times New Roman" w:cs="Calibri"/>
                <w:color w:val="53565A"/>
                <w:sz w:val="20"/>
                <w:lang w:eastAsia="en-AU"/>
              </w:rPr>
            </w:pPr>
          </w:p>
        </w:tc>
        <w:tc>
          <w:tcPr>
            <w:tcW w:w="875" w:type="dxa"/>
            <w:shd w:val="clear" w:color="auto" w:fill="DBE5F1" w:themeFill="accent1" w:themeFillTint="33"/>
            <w:noWrap/>
            <w:vAlign w:val="bottom"/>
          </w:tcPr>
          <w:p w:rsidR="00891358" w:rsidRPr="00BD28C4" w:rsidRDefault="00891358" w:rsidP="00973C4B">
            <w:pPr>
              <w:jc w:val="center"/>
              <w:rPr>
                <w:rFonts w:eastAsia="Times New Roman" w:cs="Calibri"/>
                <w:color w:val="53565A"/>
                <w:sz w:val="20"/>
                <w:lang w:eastAsia="en-AU"/>
              </w:rPr>
            </w:pPr>
          </w:p>
        </w:tc>
        <w:tc>
          <w:tcPr>
            <w:tcW w:w="992" w:type="dxa"/>
            <w:shd w:val="clear" w:color="auto" w:fill="DBE5F1" w:themeFill="accent1" w:themeFillTint="33"/>
            <w:noWrap/>
            <w:vAlign w:val="bottom"/>
          </w:tcPr>
          <w:p w:rsidR="00891358" w:rsidRPr="00BD28C4" w:rsidRDefault="00891358" w:rsidP="00973C4B">
            <w:pPr>
              <w:jc w:val="center"/>
              <w:rPr>
                <w:rFonts w:eastAsia="Times New Roman" w:cs="Calibri"/>
                <w:color w:val="53565A"/>
                <w:sz w:val="20"/>
                <w:lang w:eastAsia="en-AU"/>
              </w:rPr>
            </w:pPr>
          </w:p>
        </w:tc>
        <w:tc>
          <w:tcPr>
            <w:tcW w:w="1417" w:type="dxa"/>
            <w:shd w:val="clear" w:color="auto" w:fill="DBE5F1" w:themeFill="accent1" w:themeFillTint="33"/>
            <w:noWrap/>
            <w:vAlign w:val="bottom"/>
          </w:tcPr>
          <w:p w:rsidR="00891358" w:rsidRPr="00BD28C4" w:rsidRDefault="00891358" w:rsidP="00973C4B">
            <w:pPr>
              <w:jc w:val="center"/>
              <w:rPr>
                <w:rFonts w:eastAsia="Times New Roman" w:cs="Calibri"/>
                <w:color w:val="53565A"/>
                <w:sz w:val="20"/>
                <w:lang w:eastAsia="en-AU"/>
              </w:rPr>
            </w:pPr>
          </w:p>
        </w:tc>
        <w:tc>
          <w:tcPr>
            <w:tcW w:w="1535" w:type="dxa"/>
            <w:shd w:val="clear" w:color="auto" w:fill="DBE5F1" w:themeFill="accent1" w:themeFillTint="33"/>
            <w:noWrap/>
            <w:vAlign w:val="bottom"/>
          </w:tcPr>
          <w:p w:rsidR="00891358" w:rsidRPr="00BD28C4" w:rsidRDefault="00891358" w:rsidP="00973C4B">
            <w:pPr>
              <w:rPr>
                <w:rFonts w:eastAsia="Times New Roman" w:cs="Calibri"/>
                <w:color w:val="53565A"/>
                <w:sz w:val="20"/>
                <w:lang w:eastAsia="en-AU"/>
              </w:rPr>
            </w:pPr>
          </w:p>
        </w:tc>
      </w:tr>
      <w:tr w:rsidR="00C83A27" w:rsidRPr="00C0628F" w:rsidTr="00CB6897">
        <w:trPr>
          <w:trHeight w:val="315"/>
          <w:jc w:val="center"/>
        </w:trPr>
        <w:tc>
          <w:tcPr>
            <w:tcW w:w="2694" w:type="dxa"/>
            <w:tcBorders>
              <w:bottom w:val="single" w:sz="4" w:space="0" w:color="1F497D" w:themeColor="text2"/>
            </w:tcBorders>
            <w:shd w:val="clear" w:color="auto" w:fill="DBE5F1" w:themeFill="accent1" w:themeFillTint="33"/>
            <w:noWrap/>
            <w:vAlign w:val="bottom"/>
          </w:tcPr>
          <w:p w:rsidR="00C83A27" w:rsidRPr="00BD28C4" w:rsidRDefault="003A0098" w:rsidP="00C83A27">
            <w:pPr>
              <w:rPr>
                <w:rFonts w:eastAsia="Times New Roman" w:cs="Calibri"/>
                <w:color w:val="53565A"/>
                <w:sz w:val="20"/>
                <w:lang w:eastAsia="en-AU"/>
              </w:rPr>
            </w:pPr>
            <w:r w:rsidRPr="00BD28C4">
              <w:rPr>
                <w:rFonts w:eastAsia="Times New Roman" w:cs="Calibri"/>
                <w:b/>
                <w:color w:val="53565A"/>
                <w:sz w:val="20"/>
                <w:lang w:eastAsia="en-AU"/>
              </w:rPr>
              <w:t>Proportion of participants</w:t>
            </w:r>
          </w:p>
        </w:tc>
        <w:tc>
          <w:tcPr>
            <w:tcW w:w="993" w:type="dxa"/>
            <w:tcBorders>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b/>
                <w:color w:val="53565A"/>
                <w:sz w:val="20"/>
                <w:lang w:eastAsia="en-AU"/>
              </w:rPr>
              <w:t>1 to 5 dogs</w:t>
            </w:r>
          </w:p>
        </w:tc>
        <w:tc>
          <w:tcPr>
            <w:tcW w:w="875" w:type="dxa"/>
            <w:tcBorders>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b/>
                <w:color w:val="53565A"/>
                <w:sz w:val="20"/>
                <w:lang w:eastAsia="en-AU"/>
              </w:rPr>
              <w:t>6 to 10 dogs</w:t>
            </w:r>
          </w:p>
        </w:tc>
        <w:tc>
          <w:tcPr>
            <w:tcW w:w="992" w:type="dxa"/>
            <w:tcBorders>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b/>
                <w:color w:val="53565A"/>
                <w:sz w:val="20"/>
                <w:lang w:eastAsia="en-AU"/>
              </w:rPr>
              <w:t>11 to 29 dogs</w:t>
            </w:r>
          </w:p>
        </w:tc>
        <w:tc>
          <w:tcPr>
            <w:tcW w:w="1417" w:type="dxa"/>
            <w:tcBorders>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b/>
                <w:color w:val="53565A"/>
                <w:sz w:val="20"/>
                <w:lang w:eastAsia="en-AU"/>
              </w:rPr>
              <w:t>30 or more dogs</w:t>
            </w:r>
          </w:p>
        </w:tc>
        <w:tc>
          <w:tcPr>
            <w:tcW w:w="1535" w:type="dxa"/>
            <w:tcBorders>
              <w:bottom w:val="single" w:sz="4" w:space="0" w:color="1F497D" w:themeColor="text2"/>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p>
        </w:tc>
      </w:tr>
      <w:tr w:rsidR="00C83A27" w:rsidRPr="00C0628F" w:rsidTr="00CB6897">
        <w:trPr>
          <w:trHeight w:val="70"/>
          <w:jc w:val="center"/>
        </w:trPr>
        <w:tc>
          <w:tcPr>
            <w:tcW w:w="2694" w:type="dxa"/>
            <w:tcBorders>
              <w:top w:val="single" w:sz="4" w:space="0" w:color="1F497D" w:themeColor="text2"/>
              <w:left w:val="double" w:sz="4" w:space="0" w:color="4F81BD" w:themeColor="accent1"/>
              <w:bottom w:val="nil"/>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Large breeders</w:t>
            </w:r>
          </w:p>
        </w:tc>
        <w:tc>
          <w:tcPr>
            <w:tcW w:w="993"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875"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992"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3.29%</w:t>
            </w:r>
          </w:p>
        </w:tc>
        <w:tc>
          <w:tcPr>
            <w:tcW w:w="1417"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7.40%</w:t>
            </w:r>
          </w:p>
        </w:tc>
        <w:tc>
          <w:tcPr>
            <w:tcW w:w="1535" w:type="dxa"/>
            <w:tcBorders>
              <w:top w:val="single" w:sz="4" w:space="0" w:color="1F497D" w:themeColor="text2"/>
              <w:bottom w:val="nil"/>
              <w:right w:val="double" w:sz="4" w:space="0" w:color="4F81BD" w:themeColor="accent1"/>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p>
        </w:tc>
      </w:tr>
      <w:tr w:rsidR="00C83A27" w:rsidRPr="00C0628F" w:rsidTr="00CB6897">
        <w:trPr>
          <w:trHeight w:val="80"/>
          <w:jc w:val="center"/>
        </w:trPr>
        <w:tc>
          <w:tcPr>
            <w:tcW w:w="2694" w:type="dxa"/>
            <w:tcBorders>
              <w:top w:val="nil"/>
              <w:left w:val="double" w:sz="4" w:space="0" w:color="4F81BD" w:themeColor="accent1"/>
              <w:bottom w:val="single" w:sz="4" w:space="0" w:color="1F497D" w:themeColor="text2"/>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 xml:space="preserve">Small breeders </w:t>
            </w:r>
          </w:p>
        </w:tc>
        <w:tc>
          <w:tcPr>
            <w:tcW w:w="993"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53.60%</w:t>
            </w:r>
          </w:p>
        </w:tc>
        <w:tc>
          <w:tcPr>
            <w:tcW w:w="875"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31.03%</w:t>
            </w:r>
          </w:p>
        </w:tc>
        <w:tc>
          <w:tcPr>
            <w:tcW w:w="992"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4.67%</w:t>
            </w:r>
          </w:p>
        </w:tc>
        <w:tc>
          <w:tcPr>
            <w:tcW w:w="1417"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1535" w:type="dxa"/>
            <w:tcBorders>
              <w:top w:val="nil"/>
              <w:bottom w:val="single" w:sz="4" w:space="0" w:color="1F497D" w:themeColor="text2"/>
              <w:right w:val="double" w:sz="4" w:space="0" w:color="4F81BD" w:themeColor="accent1"/>
            </w:tcBorders>
            <w:shd w:val="clear" w:color="auto" w:fill="DBE5F1" w:themeFill="accent1" w:themeFillTint="33"/>
            <w:noWrap/>
            <w:vAlign w:val="bottom"/>
          </w:tcPr>
          <w:p w:rsidR="00C83A27" w:rsidRPr="00BD28C4" w:rsidRDefault="00C83A27" w:rsidP="00C83A27">
            <w:pPr>
              <w:jc w:val="center"/>
              <w:rPr>
                <w:rFonts w:eastAsia="Times New Roman" w:cs="Calibri"/>
                <w:b/>
                <w:color w:val="53565A"/>
                <w:sz w:val="20"/>
                <w:lang w:eastAsia="en-AU"/>
              </w:rPr>
            </w:pPr>
            <w:r w:rsidRPr="00BD28C4">
              <w:rPr>
                <w:rFonts w:eastAsia="Times New Roman" w:cs="Calibri"/>
                <w:b/>
                <w:color w:val="53565A"/>
                <w:sz w:val="20"/>
                <w:lang w:eastAsia="en-AU"/>
              </w:rPr>
              <w:t>100%</w:t>
            </w:r>
          </w:p>
        </w:tc>
      </w:tr>
      <w:tr w:rsidR="00C83A27" w:rsidRPr="00C0628F" w:rsidTr="00CB6897">
        <w:trPr>
          <w:trHeight w:val="70"/>
          <w:jc w:val="center"/>
        </w:trPr>
        <w:tc>
          <w:tcPr>
            <w:tcW w:w="2694" w:type="dxa"/>
            <w:tcBorders>
              <w:top w:val="single" w:sz="4" w:space="0" w:color="1F497D" w:themeColor="text2"/>
              <w:left w:val="double" w:sz="4" w:space="0" w:color="4F81BD" w:themeColor="accent1"/>
              <w:bottom w:val="nil"/>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Large trainers</w:t>
            </w:r>
          </w:p>
        </w:tc>
        <w:tc>
          <w:tcPr>
            <w:tcW w:w="993"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875"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992"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10.48%</w:t>
            </w:r>
          </w:p>
        </w:tc>
        <w:tc>
          <w:tcPr>
            <w:tcW w:w="1417" w:type="dxa"/>
            <w:tcBorders>
              <w:top w:val="single" w:sz="4" w:space="0" w:color="1F497D" w:themeColor="text2"/>
              <w:bottom w:val="nil"/>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4.49%</w:t>
            </w:r>
          </w:p>
        </w:tc>
        <w:tc>
          <w:tcPr>
            <w:tcW w:w="1535" w:type="dxa"/>
            <w:tcBorders>
              <w:top w:val="single" w:sz="4" w:space="0" w:color="1F497D" w:themeColor="text2"/>
              <w:bottom w:val="nil"/>
              <w:right w:val="double" w:sz="4" w:space="0" w:color="4F81BD" w:themeColor="accent1"/>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p>
        </w:tc>
      </w:tr>
      <w:tr w:rsidR="00C83A27" w:rsidRPr="00C0628F" w:rsidTr="00CB6897">
        <w:trPr>
          <w:trHeight w:val="80"/>
          <w:jc w:val="center"/>
        </w:trPr>
        <w:tc>
          <w:tcPr>
            <w:tcW w:w="2694" w:type="dxa"/>
            <w:tcBorders>
              <w:top w:val="nil"/>
              <w:left w:val="double" w:sz="4" w:space="0" w:color="4F81BD" w:themeColor="accent1"/>
              <w:bottom w:val="single" w:sz="4" w:space="0" w:color="1F497D" w:themeColor="text2"/>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Small trainers</w:t>
            </w:r>
          </w:p>
        </w:tc>
        <w:tc>
          <w:tcPr>
            <w:tcW w:w="993"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62.81%</w:t>
            </w:r>
          </w:p>
        </w:tc>
        <w:tc>
          <w:tcPr>
            <w:tcW w:w="875"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22.21%</w:t>
            </w:r>
          </w:p>
        </w:tc>
        <w:tc>
          <w:tcPr>
            <w:tcW w:w="992"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1417" w:type="dxa"/>
            <w:tcBorders>
              <w:top w:val="nil"/>
              <w:bottom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0.00%</w:t>
            </w:r>
          </w:p>
        </w:tc>
        <w:tc>
          <w:tcPr>
            <w:tcW w:w="1535" w:type="dxa"/>
            <w:tcBorders>
              <w:top w:val="nil"/>
              <w:bottom w:val="single" w:sz="4" w:space="0" w:color="1F497D" w:themeColor="text2"/>
              <w:right w:val="double" w:sz="4" w:space="0" w:color="4F81BD" w:themeColor="accent1"/>
            </w:tcBorders>
            <w:shd w:val="clear" w:color="auto" w:fill="DBE5F1" w:themeFill="accent1" w:themeFillTint="33"/>
            <w:noWrap/>
            <w:vAlign w:val="bottom"/>
          </w:tcPr>
          <w:p w:rsidR="00C83A27" w:rsidRPr="00BD28C4" w:rsidRDefault="00C83A27" w:rsidP="00C83A27">
            <w:pPr>
              <w:jc w:val="center"/>
              <w:rPr>
                <w:rFonts w:eastAsia="Times New Roman" w:cs="Calibri"/>
                <w:b/>
                <w:color w:val="53565A"/>
                <w:sz w:val="20"/>
                <w:lang w:eastAsia="en-AU"/>
              </w:rPr>
            </w:pPr>
            <w:r w:rsidRPr="00BD28C4">
              <w:rPr>
                <w:rFonts w:eastAsia="Times New Roman" w:cs="Calibri"/>
                <w:b/>
                <w:color w:val="53565A"/>
                <w:sz w:val="20"/>
                <w:lang w:eastAsia="en-AU"/>
              </w:rPr>
              <w:t>100%</w:t>
            </w:r>
          </w:p>
        </w:tc>
      </w:tr>
      <w:tr w:rsidR="00C83A27" w:rsidRPr="00C0628F" w:rsidTr="00CB6897">
        <w:trPr>
          <w:trHeight w:val="315"/>
          <w:jc w:val="center"/>
        </w:trPr>
        <w:tc>
          <w:tcPr>
            <w:tcW w:w="2694" w:type="dxa"/>
            <w:tcBorders>
              <w:top w:val="single" w:sz="4" w:space="0" w:color="1F497D" w:themeColor="text2"/>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p>
        </w:tc>
        <w:tc>
          <w:tcPr>
            <w:tcW w:w="993" w:type="dxa"/>
            <w:tcBorders>
              <w:top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p>
        </w:tc>
        <w:tc>
          <w:tcPr>
            <w:tcW w:w="875" w:type="dxa"/>
            <w:tcBorders>
              <w:top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p>
        </w:tc>
        <w:tc>
          <w:tcPr>
            <w:tcW w:w="992" w:type="dxa"/>
            <w:tcBorders>
              <w:top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p>
        </w:tc>
        <w:tc>
          <w:tcPr>
            <w:tcW w:w="1417" w:type="dxa"/>
            <w:tcBorders>
              <w:top w:val="single" w:sz="4" w:space="0" w:color="1F497D" w:themeColor="text2"/>
            </w:tcBorders>
            <w:shd w:val="clear" w:color="auto" w:fill="DBE5F1" w:themeFill="accent1" w:themeFillTint="33"/>
            <w:noWrap/>
            <w:vAlign w:val="bottom"/>
          </w:tcPr>
          <w:p w:rsidR="00C83A27" w:rsidRPr="00BD28C4" w:rsidRDefault="00C83A27" w:rsidP="00C83A27">
            <w:pPr>
              <w:jc w:val="center"/>
              <w:rPr>
                <w:rFonts w:eastAsia="Times New Roman" w:cs="Calibri"/>
                <w:color w:val="53565A"/>
                <w:sz w:val="20"/>
                <w:lang w:eastAsia="en-AU"/>
              </w:rPr>
            </w:pPr>
          </w:p>
        </w:tc>
        <w:tc>
          <w:tcPr>
            <w:tcW w:w="1535" w:type="dxa"/>
            <w:tcBorders>
              <w:top w:val="single" w:sz="4" w:space="0" w:color="1F497D" w:themeColor="text2"/>
            </w:tcBorders>
            <w:shd w:val="clear" w:color="auto" w:fill="DBE5F1" w:themeFill="accent1" w:themeFillTint="33"/>
            <w:noWrap/>
            <w:vAlign w:val="bottom"/>
          </w:tcPr>
          <w:p w:rsidR="00C83A27" w:rsidRPr="00BD28C4" w:rsidRDefault="00C83A27" w:rsidP="00C83A27">
            <w:pPr>
              <w:rPr>
                <w:rFonts w:eastAsia="Times New Roman" w:cs="Calibri"/>
                <w:color w:val="53565A"/>
                <w:sz w:val="20"/>
                <w:lang w:eastAsia="en-AU"/>
              </w:rPr>
            </w:pPr>
          </w:p>
        </w:tc>
      </w:tr>
      <w:tr w:rsidR="00C83A27" w:rsidRPr="00C0628F" w:rsidTr="00CB6897">
        <w:trPr>
          <w:trHeight w:val="315"/>
          <w:jc w:val="center"/>
        </w:trPr>
        <w:tc>
          <w:tcPr>
            <w:tcW w:w="2694" w:type="dxa"/>
            <w:shd w:val="clear" w:color="auto" w:fill="DBE5F1" w:themeFill="accent1" w:themeFillTint="33"/>
            <w:noWrap/>
            <w:vAlign w:val="bottom"/>
            <w:hideMark/>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No of dogs per group</w:t>
            </w:r>
          </w:p>
        </w:tc>
        <w:tc>
          <w:tcPr>
            <w:tcW w:w="993" w:type="dxa"/>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3</w:t>
            </w:r>
          </w:p>
        </w:tc>
        <w:tc>
          <w:tcPr>
            <w:tcW w:w="875" w:type="dxa"/>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8</w:t>
            </w:r>
          </w:p>
        </w:tc>
        <w:tc>
          <w:tcPr>
            <w:tcW w:w="992" w:type="dxa"/>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20</w:t>
            </w:r>
          </w:p>
        </w:tc>
        <w:tc>
          <w:tcPr>
            <w:tcW w:w="1417" w:type="dxa"/>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40</w:t>
            </w:r>
          </w:p>
        </w:tc>
        <w:tc>
          <w:tcPr>
            <w:tcW w:w="1535" w:type="dxa"/>
            <w:shd w:val="clear" w:color="auto" w:fill="DBE5F1" w:themeFill="accent1" w:themeFillTint="33"/>
            <w:noWrap/>
            <w:vAlign w:val="bottom"/>
            <w:hideMark/>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 </w:t>
            </w:r>
          </w:p>
        </w:tc>
      </w:tr>
      <w:tr w:rsidR="00C83A27" w:rsidRPr="00C0628F" w:rsidTr="00CB6897">
        <w:trPr>
          <w:trHeight w:val="300"/>
          <w:jc w:val="center"/>
        </w:trPr>
        <w:tc>
          <w:tcPr>
            <w:tcW w:w="2694" w:type="dxa"/>
            <w:shd w:val="clear" w:color="auto" w:fill="DBE5F1" w:themeFill="accent1" w:themeFillTint="33"/>
            <w:noWrap/>
            <w:vAlign w:val="bottom"/>
            <w:hideMark/>
          </w:tcPr>
          <w:p w:rsidR="00C83A27" w:rsidRPr="00BD28C4" w:rsidRDefault="00C83A27" w:rsidP="00C83A27">
            <w:pPr>
              <w:rPr>
                <w:rFonts w:eastAsia="Times New Roman" w:cs="Calibri"/>
                <w:color w:val="53565A"/>
                <w:sz w:val="20"/>
                <w:lang w:eastAsia="en-AU"/>
              </w:rPr>
            </w:pPr>
            <w:r w:rsidRPr="00BD28C4">
              <w:rPr>
                <w:rFonts w:eastAsia="Times New Roman" w:cs="Calibri"/>
                <w:color w:val="53565A"/>
                <w:sz w:val="20"/>
                <w:lang w:eastAsia="en-AU"/>
              </w:rPr>
              <w:t>No of groups required</w:t>
            </w:r>
          </w:p>
        </w:tc>
        <w:tc>
          <w:tcPr>
            <w:tcW w:w="993" w:type="dxa"/>
            <w:tcBorders>
              <w:bottom w:val="nil"/>
            </w:tcBorders>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1</w:t>
            </w:r>
          </w:p>
        </w:tc>
        <w:tc>
          <w:tcPr>
            <w:tcW w:w="875" w:type="dxa"/>
            <w:tcBorders>
              <w:bottom w:val="nil"/>
            </w:tcBorders>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1</w:t>
            </w:r>
          </w:p>
        </w:tc>
        <w:tc>
          <w:tcPr>
            <w:tcW w:w="992" w:type="dxa"/>
            <w:tcBorders>
              <w:bottom w:val="nil"/>
            </w:tcBorders>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2</w:t>
            </w:r>
          </w:p>
        </w:tc>
        <w:tc>
          <w:tcPr>
            <w:tcW w:w="1417" w:type="dxa"/>
            <w:tcBorders>
              <w:bottom w:val="nil"/>
            </w:tcBorders>
            <w:shd w:val="clear" w:color="auto" w:fill="DBE5F1" w:themeFill="accent1" w:themeFillTint="33"/>
            <w:noWrap/>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3</w:t>
            </w:r>
          </w:p>
        </w:tc>
        <w:tc>
          <w:tcPr>
            <w:tcW w:w="1535" w:type="dxa"/>
            <w:shd w:val="clear" w:color="auto" w:fill="DBE5F1" w:themeFill="accent1" w:themeFillTint="33"/>
            <w:vAlign w:val="bottom"/>
            <w:hideMark/>
          </w:tcPr>
          <w:p w:rsidR="00C83A27" w:rsidRPr="00BD28C4" w:rsidRDefault="00C83A27" w:rsidP="00C83A27">
            <w:pPr>
              <w:jc w:val="center"/>
              <w:rPr>
                <w:rFonts w:eastAsia="Times New Roman" w:cs="Calibri"/>
                <w:color w:val="53565A"/>
                <w:sz w:val="20"/>
                <w:lang w:eastAsia="en-AU"/>
              </w:rPr>
            </w:pPr>
            <w:r w:rsidRPr="00BD28C4">
              <w:rPr>
                <w:rFonts w:eastAsia="Times New Roman" w:cs="Calibri"/>
                <w:color w:val="53565A"/>
                <w:sz w:val="20"/>
                <w:lang w:eastAsia="en-AU"/>
              </w:rPr>
              <w:t> </w:t>
            </w:r>
          </w:p>
        </w:tc>
      </w:tr>
      <w:tr w:rsidR="003A0098" w:rsidRPr="00C0628F" w:rsidTr="00CB6897">
        <w:trPr>
          <w:trHeight w:val="300"/>
          <w:jc w:val="center"/>
        </w:trPr>
        <w:tc>
          <w:tcPr>
            <w:tcW w:w="2694" w:type="dxa"/>
            <w:shd w:val="clear" w:color="auto" w:fill="DBE5F1" w:themeFill="accent1" w:themeFillTint="33"/>
            <w:noWrap/>
            <w:vAlign w:val="bottom"/>
          </w:tcPr>
          <w:p w:rsidR="003A0098" w:rsidRPr="00BD28C4" w:rsidRDefault="003A0098" w:rsidP="00C83A27">
            <w:pPr>
              <w:rPr>
                <w:rFonts w:eastAsia="Times New Roman" w:cs="Calibri"/>
                <w:color w:val="53565A"/>
                <w:sz w:val="20"/>
                <w:lang w:eastAsia="en-AU"/>
              </w:rPr>
            </w:pPr>
          </w:p>
        </w:tc>
        <w:tc>
          <w:tcPr>
            <w:tcW w:w="993" w:type="dxa"/>
            <w:tcBorders>
              <w:bottom w:val="nil"/>
            </w:tcBorders>
            <w:shd w:val="clear" w:color="auto" w:fill="DBE5F1" w:themeFill="accent1" w:themeFillTint="33"/>
            <w:noWrap/>
            <w:vAlign w:val="bottom"/>
          </w:tcPr>
          <w:p w:rsidR="003A0098" w:rsidRPr="00BD28C4" w:rsidRDefault="003A0098" w:rsidP="00C83A27">
            <w:pPr>
              <w:jc w:val="center"/>
              <w:rPr>
                <w:rFonts w:eastAsia="Times New Roman" w:cs="Calibri"/>
                <w:color w:val="53565A"/>
                <w:sz w:val="20"/>
                <w:lang w:eastAsia="en-AU"/>
              </w:rPr>
            </w:pPr>
          </w:p>
        </w:tc>
        <w:tc>
          <w:tcPr>
            <w:tcW w:w="875" w:type="dxa"/>
            <w:tcBorders>
              <w:bottom w:val="nil"/>
            </w:tcBorders>
            <w:shd w:val="clear" w:color="auto" w:fill="DBE5F1" w:themeFill="accent1" w:themeFillTint="33"/>
            <w:noWrap/>
            <w:vAlign w:val="bottom"/>
          </w:tcPr>
          <w:p w:rsidR="003A0098" w:rsidRPr="00BD28C4" w:rsidRDefault="003A0098" w:rsidP="00C83A27">
            <w:pPr>
              <w:jc w:val="center"/>
              <w:rPr>
                <w:rFonts w:eastAsia="Times New Roman" w:cs="Calibri"/>
                <w:color w:val="53565A"/>
                <w:sz w:val="20"/>
                <w:lang w:eastAsia="en-AU"/>
              </w:rPr>
            </w:pPr>
          </w:p>
        </w:tc>
        <w:tc>
          <w:tcPr>
            <w:tcW w:w="992" w:type="dxa"/>
            <w:tcBorders>
              <w:bottom w:val="nil"/>
            </w:tcBorders>
            <w:shd w:val="clear" w:color="auto" w:fill="DBE5F1" w:themeFill="accent1" w:themeFillTint="33"/>
            <w:noWrap/>
            <w:vAlign w:val="bottom"/>
          </w:tcPr>
          <w:p w:rsidR="003A0098" w:rsidRPr="00BD28C4" w:rsidRDefault="003A0098" w:rsidP="00C83A27">
            <w:pPr>
              <w:jc w:val="center"/>
              <w:rPr>
                <w:rFonts w:eastAsia="Times New Roman" w:cs="Calibri"/>
                <w:color w:val="53565A"/>
                <w:sz w:val="20"/>
                <w:lang w:eastAsia="en-AU"/>
              </w:rPr>
            </w:pPr>
          </w:p>
        </w:tc>
        <w:tc>
          <w:tcPr>
            <w:tcW w:w="1417" w:type="dxa"/>
            <w:tcBorders>
              <w:bottom w:val="nil"/>
            </w:tcBorders>
            <w:shd w:val="clear" w:color="auto" w:fill="DBE5F1" w:themeFill="accent1" w:themeFillTint="33"/>
            <w:noWrap/>
            <w:vAlign w:val="bottom"/>
          </w:tcPr>
          <w:p w:rsidR="003A0098" w:rsidRPr="00BD28C4" w:rsidRDefault="003A0098" w:rsidP="00C83A27">
            <w:pPr>
              <w:jc w:val="center"/>
              <w:rPr>
                <w:rFonts w:eastAsia="Times New Roman" w:cs="Calibri"/>
                <w:color w:val="53565A"/>
                <w:sz w:val="20"/>
                <w:lang w:eastAsia="en-AU"/>
              </w:rPr>
            </w:pPr>
          </w:p>
        </w:tc>
        <w:tc>
          <w:tcPr>
            <w:tcW w:w="1535" w:type="dxa"/>
            <w:shd w:val="clear" w:color="auto" w:fill="DBE5F1" w:themeFill="accent1" w:themeFillTint="33"/>
            <w:vAlign w:val="bottom"/>
          </w:tcPr>
          <w:p w:rsidR="003A0098" w:rsidRPr="00BD28C4" w:rsidRDefault="003A0098" w:rsidP="00C83A27">
            <w:pPr>
              <w:jc w:val="center"/>
              <w:rPr>
                <w:rFonts w:eastAsia="Times New Roman" w:cs="Calibri"/>
                <w:color w:val="53565A"/>
                <w:sz w:val="20"/>
                <w:lang w:eastAsia="en-AU"/>
              </w:rPr>
            </w:pPr>
          </w:p>
        </w:tc>
      </w:tr>
      <w:tr w:rsidR="003A0098" w:rsidRPr="00C0628F" w:rsidTr="00CB6897">
        <w:trPr>
          <w:trHeight w:val="300"/>
          <w:jc w:val="center"/>
        </w:trPr>
        <w:tc>
          <w:tcPr>
            <w:tcW w:w="2694" w:type="dxa"/>
            <w:shd w:val="clear" w:color="auto" w:fill="DBE5F1" w:themeFill="accent1" w:themeFillTint="33"/>
            <w:noWrap/>
            <w:vAlign w:val="bottom"/>
          </w:tcPr>
          <w:p w:rsidR="003A0098" w:rsidRPr="00BD28C4" w:rsidRDefault="00A2412C" w:rsidP="003A0098">
            <w:pPr>
              <w:rPr>
                <w:rFonts w:eastAsia="Times New Roman" w:cs="Calibri"/>
                <w:b/>
                <w:color w:val="53565A"/>
                <w:sz w:val="20"/>
                <w:lang w:eastAsia="en-AU"/>
              </w:rPr>
            </w:pPr>
            <w:r w:rsidRPr="00BD28C4">
              <w:rPr>
                <w:rFonts w:eastAsia="Times New Roman" w:cs="Calibri"/>
                <w:b/>
                <w:color w:val="53565A"/>
                <w:sz w:val="20"/>
                <w:lang w:eastAsia="en-AU"/>
              </w:rPr>
              <w:t>Number of dogs per group</w:t>
            </w:r>
          </w:p>
        </w:tc>
        <w:tc>
          <w:tcPr>
            <w:tcW w:w="993" w:type="dxa"/>
            <w:tcBorders>
              <w:bottom w:val="nil"/>
            </w:tcBorders>
            <w:shd w:val="clear" w:color="auto" w:fill="DBE5F1" w:themeFill="accent1" w:themeFillTint="33"/>
            <w:noWrap/>
            <w:vAlign w:val="bottom"/>
          </w:tcPr>
          <w:p w:rsidR="003A0098" w:rsidRPr="00BD28C4" w:rsidRDefault="003A0098" w:rsidP="003A0098">
            <w:pPr>
              <w:jc w:val="center"/>
              <w:rPr>
                <w:rFonts w:eastAsia="Times New Roman" w:cs="Calibri"/>
                <w:color w:val="53565A"/>
                <w:sz w:val="20"/>
                <w:lang w:eastAsia="en-AU"/>
              </w:rPr>
            </w:pPr>
            <w:r w:rsidRPr="00BD28C4">
              <w:rPr>
                <w:rFonts w:eastAsia="Times New Roman" w:cs="Calibri"/>
                <w:b/>
                <w:color w:val="53565A"/>
                <w:sz w:val="20"/>
                <w:lang w:eastAsia="en-AU"/>
              </w:rPr>
              <w:t>1 to 5 dogs</w:t>
            </w:r>
          </w:p>
        </w:tc>
        <w:tc>
          <w:tcPr>
            <w:tcW w:w="875" w:type="dxa"/>
            <w:tcBorders>
              <w:bottom w:val="nil"/>
            </w:tcBorders>
            <w:shd w:val="clear" w:color="auto" w:fill="DBE5F1" w:themeFill="accent1" w:themeFillTint="33"/>
            <w:noWrap/>
            <w:vAlign w:val="bottom"/>
          </w:tcPr>
          <w:p w:rsidR="003A0098" w:rsidRPr="00BD28C4" w:rsidRDefault="003A0098" w:rsidP="003A0098">
            <w:pPr>
              <w:jc w:val="center"/>
              <w:rPr>
                <w:rFonts w:eastAsia="Times New Roman" w:cs="Calibri"/>
                <w:color w:val="53565A"/>
                <w:sz w:val="20"/>
                <w:lang w:eastAsia="en-AU"/>
              </w:rPr>
            </w:pPr>
            <w:r w:rsidRPr="00BD28C4">
              <w:rPr>
                <w:rFonts w:eastAsia="Times New Roman" w:cs="Calibri"/>
                <w:b/>
                <w:color w:val="53565A"/>
                <w:sz w:val="20"/>
                <w:lang w:eastAsia="en-AU"/>
              </w:rPr>
              <w:t>6 to 10 dogs</w:t>
            </w:r>
          </w:p>
        </w:tc>
        <w:tc>
          <w:tcPr>
            <w:tcW w:w="992" w:type="dxa"/>
            <w:tcBorders>
              <w:bottom w:val="nil"/>
            </w:tcBorders>
            <w:shd w:val="clear" w:color="auto" w:fill="DBE5F1" w:themeFill="accent1" w:themeFillTint="33"/>
            <w:noWrap/>
            <w:vAlign w:val="bottom"/>
          </w:tcPr>
          <w:p w:rsidR="003A0098" w:rsidRPr="00BD28C4" w:rsidRDefault="003A0098" w:rsidP="003A0098">
            <w:pPr>
              <w:jc w:val="center"/>
              <w:rPr>
                <w:rFonts w:eastAsia="Times New Roman" w:cs="Calibri"/>
                <w:color w:val="53565A"/>
                <w:sz w:val="20"/>
                <w:lang w:eastAsia="en-AU"/>
              </w:rPr>
            </w:pPr>
            <w:r w:rsidRPr="00BD28C4">
              <w:rPr>
                <w:rFonts w:eastAsia="Times New Roman" w:cs="Calibri"/>
                <w:b/>
                <w:color w:val="53565A"/>
                <w:sz w:val="20"/>
                <w:lang w:eastAsia="en-AU"/>
              </w:rPr>
              <w:t>11 to 29 dogs</w:t>
            </w:r>
          </w:p>
        </w:tc>
        <w:tc>
          <w:tcPr>
            <w:tcW w:w="1417" w:type="dxa"/>
            <w:tcBorders>
              <w:bottom w:val="nil"/>
            </w:tcBorders>
            <w:shd w:val="clear" w:color="auto" w:fill="DBE5F1" w:themeFill="accent1" w:themeFillTint="33"/>
            <w:noWrap/>
            <w:vAlign w:val="bottom"/>
          </w:tcPr>
          <w:p w:rsidR="003A0098" w:rsidRPr="00BD28C4" w:rsidRDefault="003A0098" w:rsidP="003A0098">
            <w:pPr>
              <w:jc w:val="center"/>
              <w:rPr>
                <w:rFonts w:eastAsia="Times New Roman" w:cs="Calibri"/>
                <w:color w:val="53565A"/>
                <w:sz w:val="20"/>
                <w:lang w:eastAsia="en-AU"/>
              </w:rPr>
            </w:pPr>
            <w:r w:rsidRPr="00BD28C4">
              <w:rPr>
                <w:rFonts w:eastAsia="Times New Roman" w:cs="Calibri"/>
                <w:b/>
                <w:color w:val="53565A"/>
                <w:sz w:val="20"/>
                <w:lang w:eastAsia="en-AU"/>
              </w:rPr>
              <w:t>30 or more dogs</w:t>
            </w:r>
          </w:p>
        </w:tc>
        <w:tc>
          <w:tcPr>
            <w:tcW w:w="1535" w:type="dxa"/>
            <w:shd w:val="clear" w:color="auto" w:fill="DBE5F1" w:themeFill="accent1" w:themeFillTint="33"/>
            <w:vAlign w:val="bottom"/>
          </w:tcPr>
          <w:p w:rsidR="003A0098" w:rsidRPr="00BD28C4" w:rsidRDefault="003A0098" w:rsidP="003A0098">
            <w:pPr>
              <w:jc w:val="center"/>
              <w:rPr>
                <w:rFonts w:eastAsia="Times New Roman" w:cs="Calibri"/>
                <w:color w:val="53565A"/>
                <w:sz w:val="20"/>
                <w:lang w:eastAsia="en-AU"/>
              </w:rPr>
            </w:pPr>
          </w:p>
        </w:tc>
      </w:tr>
      <w:tr w:rsidR="003A0098" w:rsidRPr="00C0628F" w:rsidTr="00CB6897">
        <w:trPr>
          <w:trHeight w:val="80"/>
          <w:jc w:val="center"/>
        </w:trPr>
        <w:tc>
          <w:tcPr>
            <w:tcW w:w="2694" w:type="dxa"/>
            <w:shd w:val="clear" w:color="auto" w:fill="DBE5F1" w:themeFill="accent1" w:themeFillTint="33"/>
            <w:noWrap/>
            <w:vAlign w:val="bottom"/>
          </w:tcPr>
          <w:p w:rsidR="003A0098" w:rsidRPr="00BD28C4" w:rsidRDefault="003A0098" w:rsidP="003A0098">
            <w:pPr>
              <w:rPr>
                <w:rFonts w:eastAsia="Times New Roman" w:cs="Calibri"/>
                <w:color w:val="53565A"/>
                <w:sz w:val="20"/>
                <w:lang w:eastAsia="en-AU"/>
              </w:rPr>
            </w:pPr>
            <w:r w:rsidRPr="00BD28C4">
              <w:rPr>
                <w:color w:val="53565A"/>
                <w:sz w:val="20"/>
              </w:rPr>
              <w:t>Large breeders</w:t>
            </w:r>
          </w:p>
        </w:tc>
        <w:tc>
          <w:tcPr>
            <w:tcW w:w="993"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875"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992"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1.32</w:t>
            </w:r>
          </w:p>
        </w:tc>
        <w:tc>
          <w:tcPr>
            <w:tcW w:w="1417"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8.89</w:t>
            </w:r>
          </w:p>
        </w:tc>
        <w:tc>
          <w:tcPr>
            <w:tcW w:w="1535" w:type="dxa"/>
            <w:shd w:val="clear" w:color="auto" w:fill="B8CCE4" w:themeFill="accent1" w:themeFillTint="66"/>
          </w:tcPr>
          <w:p w:rsidR="003A0098" w:rsidRPr="00BD28C4" w:rsidRDefault="003A0098" w:rsidP="003A0098">
            <w:pPr>
              <w:jc w:val="center"/>
              <w:rPr>
                <w:rFonts w:eastAsia="Times New Roman" w:cs="Calibri"/>
                <w:b/>
                <w:color w:val="53565A"/>
                <w:sz w:val="20"/>
                <w:lang w:eastAsia="en-AU"/>
              </w:rPr>
            </w:pPr>
            <w:r w:rsidRPr="00BD28C4">
              <w:rPr>
                <w:b/>
                <w:color w:val="53565A"/>
                <w:sz w:val="20"/>
              </w:rPr>
              <w:t>10.20</w:t>
            </w:r>
          </w:p>
        </w:tc>
      </w:tr>
      <w:tr w:rsidR="003A0098" w:rsidRPr="00C0628F" w:rsidTr="00CB6897">
        <w:trPr>
          <w:trHeight w:val="80"/>
          <w:jc w:val="center"/>
        </w:trPr>
        <w:tc>
          <w:tcPr>
            <w:tcW w:w="2694" w:type="dxa"/>
            <w:shd w:val="clear" w:color="auto" w:fill="DBE5F1" w:themeFill="accent1" w:themeFillTint="33"/>
            <w:noWrap/>
            <w:vAlign w:val="bottom"/>
          </w:tcPr>
          <w:p w:rsidR="003A0098" w:rsidRPr="00BD28C4" w:rsidRDefault="003A0098" w:rsidP="003A0098">
            <w:pPr>
              <w:rPr>
                <w:rFonts w:eastAsia="Times New Roman" w:cs="Calibri"/>
                <w:color w:val="53565A"/>
                <w:sz w:val="20"/>
                <w:lang w:eastAsia="en-AU"/>
              </w:rPr>
            </w:pPr>
            <w:r w:rsidRPr="00BD28C4">
              <w:rPr>
                <w:color w:val="53565A"/>
                <w:sz w:val="20"/>
              </w:rPr>
              <w:t>Small breeders</w:t>
            </w:r>
          </w:p>
        </w:tc>
        <w:tc>
          <w:tcPr>
            <w:tcW w:w="993"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1.61</w:t>
            </w:r>
          </w:p>
        </w:tc>
        <w:tc>
          <w:tcPr>
            <w:tcW w:w="875"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2.48</w:t>
            </w:r>
          </w:p>
        </w:tc>
        <w:tc>
          <w:tcPr>
            <w:tcW w:w="992"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1.87</w:t>
            </w:r>
          </w:p>
        </w:tc>
        <w:tc>
          <w:tcPr>
            <w:tcW w:w="1417"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1535" w:type="dxa"/>
            <w:shd w:val="clear" w:color="auto" w:fill="B8CCE4" w:themeFill="accent1" w:themeFillTint="66"/>
          </w:tcPr>
          <w:p w:rsidR="003A0098" w:rsidRPr="00BD28C4" w:rsidRDefault="003A0098" w:rsidP="003A0098">
            <w:pPr>
              <w:jc w:val="center"/>
              <w:rPr>
                <w:rFonts w:eastAsia="Times New Roman" w:cs="Calibri"/>
                <w:b/>
                <w:color w:val="53565A"/>
                <w:sz w:val="20"/>
                <w:lang w:eastAsia="en-AU"/>
              </w:rPr>
            </w:pPr>
            <w:r w:rsidRPr="00BD28C4">
              <w:rPr>
                <w:b/>
                <w:color w:val="53565A"/>
                <w:sz w:val="20"/>
              </w:rPr>
              <w:t>5.96</w:t>
            </w:r>
          </w:p>
        </w:tc>
      </w:tr>
      <w:tr w:rsidR="003A0098" w:rsidRPr="00C0628F" w:rsidTr="00CB6897">
        <w:trPr>
          <w:trHeight w:val="80"/>
          <w:jc w:val="center"/>
        </w:trPr>
        <w:tc>
          <w:tcPr>
            <w:tcW w:w="2694" w:type="dxa"/>
            <w:shd w:val="clear" w:color="auto" w:fill="DBE5F1" w:themeFill="accent1" w:themeFillTint="33"/>
            <w:noWrap/>
            <w:vAlign w:val="bottom"/>
          </w:tcPr>
          <w:p w:rsidR="003A0098" w:rsidRPr="00BD28C4" w:rsidRDefault="003A0098" w:rsidP="003A0098">
            <w:pPr>
              <w:rPr>
                <w:rFonts w:eastAsia="Times New Roman" w:cs="Calibri"/>
                <w:color w:val="53565A"/>
                <w:sz w:val="20"/>
                <w:lang w:eastAsia="en-AU"/>
              </w:rPr>
            </w:pPr>
            <w:r w:rsidRPr="00BD28C4">
              <w:rPr>
                <w:color w:val="53565A"/>
                <w:sz w:val="20"/>
              </w:rPr>
              <w:t>Large trainers</w:t>
            </w:r>
          </w:p>
        </w:tc>
        <w:tc>
          <w:tcPr>
            <w:tcW w:w="993"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875"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992"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4.19</w:t>
            </w:r>
          </w:p>
        </w:tc>
        <w:tc>
          <w:tcPr>
            <w:tcW w:w="1417" w:type="dxa"/>
            <w:tcBorders>
              <w:bottom w:val="nil"/>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5.39</w:t>
            </w:r>
          </w:p>
        </w:tc>
        <w:tc>
          <w:tcPr>
            <w:tcW w:w="1535" w:type="dxa"/>
            <w:shd w:val="clear" w:color="auto" w:fill="B8CCE4" w:themeFill="accent1" w:themeFillTint="66"/>
          </w:tcPr>
          <w:p w:rsidR="003A0098" w:rsidRPr="00BD28C4" w:rsidRDefault="003A0098" w:rsidP="003A0098">
            <w:pPr>
              <w:jc w:val="center"/>
              <w:rPr>
                <w:rFonts w:eastAsia="Times New Roman" w:cs="Calibri"/>
                <w:b/>
                <w:color w:val="53565A"/>
                <w:sz w:val="20"/>
                <w:lang w:eastAsia="en-AU"/>
              </w:rPr>
            </w:pPr>
            <w:r w:rsidRPr="00BD28C4">
              <w:rPr>
                <w:b/>
                <w:color w:val="53565A"/>
                <w:sz w:val="20"/>
              </w:rPr>
              <w:t>9.59</w:t>
            </w:r>
          </w:p>
        </w:tc>
      </w:tr>
      <w:tr w:rsidR="003A0098" w:rsidRPr="00C0628F" w:rsidTr="00CB6897">
        <w:trPr>
          <w:trHeight w:val="80"/>
          <w:jc w:val="center"/>
        </w:trPr>
        <w:tc>
          <w:tcPr>
            <w:tcW w:w="2694" w:type="dxa"/>
            <w:tcBorders>
              <w:bottom w:val="double" w:sz="4" w:space="0" w:color="4F81BD" w:themeColor="accent1"/>
            </w:tcBorders>
            <w:shd w:val="clear" w:color="auto" w:fill="DBE5F1" w:themeFill="accent1" w:themeFillTint="33"/>
            <w:noWrap/>
            <w:vAlign w:val="bottom"/>
          </w:tcPr>
          <w:p w:rsidR="003A0098" w:rsidRPr="00BD28C4" w:rsidRDefault="003A0098" w:rsidP="003A0098">
            <w:pPr>
              <w:rPr>
                <w:rFonts w:eastAsia="Times New Roman" w:cs="Calibri"/>
                <w:color w:val="53565A"/>
                <w:sz w:val="20"/>
                <w:lang w:eastAsia="en-AU"/>
              </w:rPr>
            </w:pPr>
            <w:r w:rsidRPr="00BD28C4">
              <w:rPr>
                <w:color w:val="53565A"/>
                <w:sz w:val="20"/>
              </w:rPr>
              <w:t>Small trainers</w:t>
            </w:r>
          </w:p>
        </w:tc>
        <w:tc>
          <w:tcPr>
            <w:tcW w:w="993" w:type="dxa"/>
            <w:tcBorders>
              <w:bottom w:val="double" w:sz="4" w:space="0" w:color="4F81BD" w:themeColor="accent1"/>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1.88</w:t>
            </w:r>
          </w:p>
        </w:tc>
        <w:tc>
          <w:tcPr>
            <w:tcW w:w="875" w:type="dxa"/>
            <w:tcBorders>
              <w:bottom w:val="double" w:sz="4" w:space="0" w:color="4F81BD" w:themeColor="accent1"/>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1.78</w:t>
            </w:r>
          </w:p>
        </w:tc>
        <w:tc>
          <w:tcPr>
            <w:tcW w:w="992" w:type="dxa"/>
            <w:tcBorders>
              <w:bottom w:val="double" w:sz="4" w:space="0" w:color="4F81BD" w:themeColor="accent1"/>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1417" w:type="dxa"/>
            <w:tcBorders>
              <w:bottom w:val="double" w:sz="4" w:space="0" w:color="4F81BD" w:themeColor="accent1"/>
            </w:tcBorders>
            <w:shd w:val="clear" w:color="auto" w:fill="DBE5F1" w:themeFill="accent1" w:themeFillTint="33"/>
            <w:noWrap/>
          </w:tcPr>
          <w:p w:rsidR="003A0098" w:rsidRPr="00BD28C4" w:rsidRDefault="003A0098" w:rsidP="003A0098">
            <w:pPr>
              <w:jc w:val="center"/>
              <w:rPr>
                <w:rFonts w:eastAsia="Times New Roman" w:cs="Calibri"/>
                <w:color w:val="53565A"/>
                <w:sz w:val="20"/>
                <w:lang w:eastAsia="en-AU"/>
              </w:rPr>
            </w:pPr>
            <w:r w:rsidRPr="00BD28C4">
              <w:rPr>
                <w:color w:val="53565A"/>
                <w:sz w:val="20"/>
              </w:rPr>
              <w:t>0.00</w:t>
            </w:r>
          </w:p>
        </w:tc>
        <w:tc>
          <w:tcPr>
            <w:tcW w:w="1535" w:type="dxa"/>
            <w:tcBorders>
              <w:bottom w:val="double" w:sz="4" w:space="0" w:color="4F81BD" w:themeColor="accent1"/>
            </w:tcBorders>
            <w:shd w:val="clear" w:color="auto" w:fill="B8CCE4" w:themeFill="accent1" w:themeFillTint="66"/>
          </w:tcPr>
          <w:p w:rsidR="003A0098" w:rsidRPr="00BD28C4" w:rsidRDefault="003A0098" w:rsidP="003A0098">
            <w:pPr>
              <w:jc w:val="center"/>
              <w:rPr>
                <w:rFonts w:eastAsia="Times New Roman" w:cs="Calibri"/>
                <w:b/>
                <w:color w:val="53565A"/>
                <w:sz w:val="20"/>
                <w:lang w:eastAsia="en-AU"/>
              </w:rPr>
            </w:pPr>
            <w:r w:rsidRPr="00BD28C4">
              <w:rPr>
                <w:b/>
                <w:color w:val="53565A"/>
                <w:sz w:val="20"/>
              </w:rPr>
              <w:t>3.66</w:t>
            </w:r>
          </w:p>
        </w:tc>
      </w:tr>
    </w:tbl>
    <w:p w:rsidR="00C100E9" w:rsidRDefault="00C100E9" w:rsidP="00C100E9">
      <w:pPr>
        <w:jc w:val="both"/>
      </w:pPr>
    </w:p>
    <w:p w:rsidR="005374C1" w:rsidRDefault="005374C1" w:rsidP="005374C1">
      <w:pPr>
        <w:jc w:val="both"/>
      </w:pPr>
      <w:r>
        <w:t xml:space="preserve">The estimated number of </w:t>
      </w:r>
      <w:r w:rsidR="00C353F4">
        <w:t xml:space="preserve">rearing </w:t>
      </w:r>
      <w:r>
        <w:t>dogs</w:t>
      </w:r>
      <w:r w:rsidR="00C353F4">
        <w:t xml:space="preserve"> or dogs </w:t>
      </w:r>
      <w:r w:rsidR="002F7E71">
        <w:t xml:space="preserve">breaking in </w:t>
      </w:r>
      <w:r w:rsidRPr="003C40A5">
        <w:rPr>
          <w:i/>
        </w:rPr>
        <w:t>affected</w:t>
      </w:r>
      <w:r>
        <w:t xml:space="preserve"> </w:t>
      </w:r>
      <w:r w:rsidR="002F7E71">
        <w:t xml:space="preserve">in Table A4.16 </w:t>
      </w:r>
      <w:r>
        <w:t>is calculated by taking the product of the number of rearing dogs</w:t>
      </w:r>
      <w:r w:rsidR="00C353F4">
        <w:t xml:space="preserve"> or dogs broken in </w:t>
      </w:r>
      <w:r>
        <w:t xml:space="preserve">(3,913 </w:t>
      </w:r>
      <w:r w:rsidR="00C353F4">
        <w:t xml:space="preserve">rearing </w:t>
      </w:r>
      <w:r>
        <w:t>dogs</w:t>
      </w:r>
      <w:r>
        <w:rPr>
          <w:rStyle w:val="FootnoteReference"/>
        </w:rPr>
        <w:footnoteReference w:id="175"/>
      </w:r>
      <w:r>
        <w:t xml:space="preserve"> apportioned against large and small breeders </w:t>
      </w:r>
      <w:r w:rsidR="00C353F4">
        <w:t xml:space="preserve">– </w:t>
      </w:r>
      <w:r>
        <w:t>10.69%</w:t>
      </w:r>
      <w:r>
        <w:rPr>
          <w:rStyle w:val="FootnoteReference"/>
        </w:rPr>
        <w:footnoteReference w:id="176"/>
      </w:r>
      <w:r>
        <w:t xml:space="preserve"> and 89.31%</w:t>
      </w:r>
      <w:r>
        <w:rPr>
          <w:rStyle w:val="FootnoteReference"/>
        </w:rPr>
        <w:footnoteReference w:id="177"/>
      </w:r>
      <w:r>
        <w:t>, respectively</w:t>
      </w:r>
      <w:r w:rsidR="00C353F4">
        <w:t xml:space="preserve"> and 3,913 dogs </w:t>
      </w:r>
      <w:r w:rsidR="002F7E71">
        <w:t>breaking</w:t>
      </w:r>
      <w:r w:rsidR="00C353F4">
        <w:t xml:space="preserve"> in apportioned against large and small trainers – 14.98%</w:t>
      </w:r>
      <w:r w:rsidR="00C353F4">
        <w:rPr>
          <w:rStyle w:val="FootnoteReference"/>
        </w:rPr>
        <w:footnoteReference w:id="178"/>
      </w:r>
      <w:r w:rsidR="00C353F4">
        <w:t xml:space="preserve"> and 85.02%</w:t>
      </w:r>
      <w:r w:rsidR="003C40A5">
        <w:rPr>
          <w:rStyle w:val="FootnoteReference"/>
        </w:rPr>
        <w:footnoteReference w:id="179"/>
      </w:r>
      <w:r w:rsidR="00C353F4">
        <w:t>, respectively</w:t>
      </w:r>
      <w:r>
        <w:t xml:space="preserve">); and </w:t>
      </w:r>
      <w:r w:rsidRPr="00740E56">
        <w:t>the last column in Table A</w:t>
      </w:r>
      <w:r>
        <w:t xml:space="preserve">4.3 against each of the </w:t>
      </w:r>
      <w:r w:rsidR="003C40A5">
        <w:t xml:space="preserve">participant </w:t>
      </w:r>
      <w:r>
        <w:t>categories</w:t>
      </w:r>
      <w:r w:rsidRPr="00740E56">
        <w:t xml:space="preserve"> </w:t>
      </w:r>
      <w:r>
        <w:t>–</w:t>
      </w:r>
      <w:r w:rsidRPr="00740E56">
        <w:t xml:space="preserve"> </w:t>
      </w:r>
      <w:r>
        <w:t xml:space="preserve">using the </w:t>
      </w:r>
      <w:r w:rsidRPr="00740E56">
        <w:t>following formula:</w:t>
      </w:r>
    </w:p>
    <w:p w:rsidR="005374C1" w:rsidRPr="009E30A8" w:rsidRDefault="005374C1" w:rsidP="005374C1">
      <w:pPr>
        <w:jc w:val="center"/>
        <w:rPr>
          <w:i/>
          <w:sz w:val="20"/>
        </w:rPr>
      </w:pPr>
      <w:r>
        <w:rPr>
          <w:i/>
          <w:sz w:val="20"/>
        </w:rPr>
        <w:t>Estimated No. rearing dogs</w:t>
      </w:r>
      <w:r w:rsidR="002F7E71">
        <w:rPr>
          <w:i/>
          <w:sz w:val="20"/>
        </w:rPr>
        <w:t xml:space="preserve"> or dogs breaking</w:t>
      </w:r>
      <w:r w:rsidR="003C40A5">
        <w:rPr>
          <w:i/>
          <w:sz w:val="20"/>
        </w:rPr>
        <w:t xml:space="preserve"> in</w:t>
      </w:r>
      <w:r>
        <w:rPr>
          <w:i/>
          <w:sz w:val="20"/>
        </w:rPr>
        <w:t xml:space="preserve"> affected = </w:t>
      </w:r>
      <w:r w:rsidR="003C40A5">
        <w:rPr>
          <w:i/>
          <w:sz w:val="20"/>
        </w:rPr>
        <w:t>[</w:t>
      </w:r>
      <w:r>
        <w:rPr>
          <w:i/>
          <w:sz w:val="20"/>
        </w:rPr>
        <w:t>{number of rearing dogs x 10.69% for large breeders or 89.31% for small breeders}</w:t>
      </w:r>
      <w:r w:rsidR="003C40A5">
        <w:rPr>
          <w:i/>
          <w:sz w:val="20"/>
        </w:rPr>
        <w:t xml:space="preserve"> +</w:t>
      </w:r>
      <w:r>
        <w:rPr>
          <w:i/>
          <w:sz w:val="20"/>
        </w:rPr>
        <w:t xml:space="preserve"> </w:t>
      </w:r>
      <w:r w:rsidR="003C40A5">
        <w:rPr>
          <w:i/>
          <w:sz w:val="20"/>
        </w:rPr>
        <w:t>{number of dogs</w:t>
      </w:r>
      <w:r w:rsidR="002F7E71">
        <w:rPr>
          <w:i/>
          <w:sz w:val="20"/>
        </w:rPr>
        <w:t xml:space="preserve"> breaking</w:t>
      </w:r>
      <w:r w:rsidR="003C40A5">
        <w:rPr>
          <w:i/>
          <w:sz w:val="20"/>
        </w:rPr>
        <w:t xml:space="preserve"> in x 14.98% for large trainers or 85.02% for small trainers}] </w:t>
      </w:r>
      <w:r>
        <w:rPr>
          <w:i/>
          <w:sz w:val="20"/>
        </w:rPr>
        <w:t>x % of</w:t>
      </w:r>
      <w:r w:rsidRPr="00E63EC4">
        <w:rPr>
          <w:i/>
          <w:sz w:val="20"/>
        </w:rPr>
        <w:t xml:space="preserve"> total </w:t>
      </w:r>
      <w:r w:rsidR="003C40A5">
        <w:rPr>
          <w:i/>
          <w:sz w:val="20"/>
        </w:rPr>
        <w:t xml:space="preserve">participants </w:t>
      </w:r>
      <w:r w:rsidRPr="00E63EC4">
        <w:rPr>
          <w:i/>
          <w:sz w:val="20"/>
        </w:rPr>
        <w:t>affected by behaviour change</w:t>
      </w:r>
      <w:r>
        <w:rPr>
          <w:i/>
          <w:sz w:val="20"/>
        </w:rPr>
        <w:t xml:space="preserve"> (see last column of Table A4.3 for options 1 to 6)</w:t>
      </w:r>
      <w:r w:rsidRPr="000A6D5E">
        <w:rPr>
          <w:i/>
          <w:sz w:val="20"/>
        </w:rPr>
        <w:t>.</w:t>
      </w:r>
    </w:p>
    <w:p w:rsidR="005374C1" w:rsidRDefault="005374C1" w:rsidP="00C100E9">
      <w:pPr>
        <w:jc w:val="both"/>
        <w:rPr>
          <w:highlight w:val="yellow"/>
        </w:rPr>
      </w:pPr>
    </w:p>
    <w:p w:rsidR="00BD28C4" w:rsidRDefault="00BD28C4">
      <w:r>
        <w:br w:type="page"/>
      </w:r>
    </w:p>
    <w:p w:rsidR="00C100E9" w:rsidRDefault="009354B8" w:rsidP="00C100E9">
      <w:pPr>
        <w:jc w:val="both"/>
      </w:pPr>
      <w:r>
        <w:lastRenderedPageBreak/>
        <w:t>T</w:t>
      </w:r>
      <w:r w:rsidR="00C100E9">
        <w:t>he annual cost of additional handling</w:t>
      </w:r>
      <w:r w:rsidR="00E95A23">
        <w:t xml:space="preserve"> in Table A4.16</w:t>
      </w:r>
      <w:r w:rsidR="00C100E9">
        <w:t xml:space="preserve"> is estimated by the following formula:</w:t>
      </w:r>
    </w:p>
    <w:p w:rsidR="00C100E9" w:rsidRPr="00633454" w:rsidRDefault="00C100E9" w:rsidP="00C100E9">
      <w:pPr>
        <w:jc w:val="center"/>
        <w:rPr>
          <w:i/>
          <w:sz w:val="20"/>
        </w:rPr>
      </w:pPr>
      <w:r w:rsidRPr="00633454">
        <w:rPr>
          <w:i/>
          <w:sz w:val="20"/>
        </w:rPr>
        <w:t>Estimated number of dogs affected (rearing and breaking in)</w:t>
      </w:r>
      <w:r w:rsidR="002F7E71">
        <w:rPr>
          <w:i/>
          <w:sz w:val="20"/>
        </w:rPr>
        <w:t xml:space="preserve"> (see Table A4.16)</w:t>
      </w:r>
      <w:r w:rsidRPr="00633454">
        <w:rPr>
          <w:i/>
          <w:sz w:val="20"/>
        </w:rPr>
        <w:t xml:space="preserve">/ divided by the average number of dogs per groups </w:t>
      </w:r>
      <w:r w:rsidR="00E95A23">
        <w:rPr>
          <w:i/>
          <w:sz w:val="20"/>
        </w:rPr>
        <w:t xml:space="preserve">per participant category </w:t>
      </w:r>
      <w:r w:rsidRPr="00633454">
        <w:rPr>
          <w:i/>
          <w:sz w:val="20"/>
        </w:rPr>
        <w:t>(see</w:t>
      </w:r>
      <w:r w:rsidR="001D6BD0">
        <w:rPr>
          <w:i/>
          <w:sz w:val="20"/>
        </w:rPr>
        <w:t xml:space="preserve"> Panel A4.2</w:t>
      </w:r>
      <w:r w:rsidRPr="00633454">
        <w:rPr>
          <w:i/>
          <w:sz w:val="20"/>
        </w:rPr>
        <w:t xml:space="preserve">) x the cost of handling </w:t>
      </w:r>
      <w:r>
        <w:rPr>
          <w:i/>
          <w:sz w:val="20"/>
        </w:rPr>
        <w:t>a group of dogs of $3,869/annum</w:t>
      </w:r>
      <w:r w:rsidR="00786BBE">
        <w:rPr>
          <w:i/>
          <w:sz w:val="20"/>
        </w:rPr>
        <w:t xml:space="preserve"> for O</w:t>
      </w:r>
      <w:r w:rsidR="001D6BD0">
        <w:rPr>
          <w:i/>
          <w:sz w:val="20"/>
        </w:rPr>
        <w:t xml:space="preserve">ptions 1 to 5 (or $2,017/annum for </w:t>
      </w:r>
      <w:r w:rsidR="00786BBE">
        <w:rPr>
          <w:i/>
          <w:sz w:val="20"/>
        </w:rPr>
        <w:t>Option 6)</w:t>
      </w:r>
    </w:p>
    <w:p w:rsidR="00C100E9" w:rsidRDefault="00C100E9" w:rsidP="00C100E9">
      <w:pPr>
        <w:jc w:val="both"/>
      </w:pPr>
    </w:p>
    <w:p w:rsidR="0080065F" w:rsidRDefault="0057019D" w:rsidP="0080065F">
      <w:pPr>
        <w:jc w:val="both"/>
      </w:pPr>
      <w:r>
        <w:t>The 10-year additional cost of rearing (16 weeks to 18 weeks) for participants under proposed standard 6.3.9 is estimated to be $37.23m for Options 3 and 5, $1.52m for Option 1; $9.73m for Option 2; $23.48m for Option 4; and $19.41m for Option 6 –</w:t>
      </w:r>
      <w:r w:rsidRPr="00BC7FAE">
        <w:t xml:space="preserve"> </w:t>
      </w:r>
      <w:r>
        <w:t xml:space="preserve">in 2016 dollars, as shown in </w:t>
      </w:r>
      <w:r w:rsidR="00264017">
        <w:t>Table A4.16</w:t>
      </w:r>
      <w:r w:rsidR="00C100E9">
        <w:t>.</w:t>
      </w:r>
      <w:r w:rsidR="0080065F" w:rsidRPr="0080065F">
        <w:t xml:space="preserve"> </w:t>
      </w:r>
      <w:r w:rsidR="0080065F">
        <w:t>DEDJTR note that these costs are conservatively high as some rearers and breakers will have some exercise areas incorporated into their facilities reducing handling costs however the extent of this remains unknown.</w:t>
      </w:r>
      <w:r w:rsidR="0080065F">
        <w:tab/>
      </w:r>
    </w:p>
    <w:p w:rsidR="00C100E9" w:rsidRDefault="0080065F" w:rsidP="0080065F">
      <w:pPr>
        <w:jc w:val="both"/>
      </w:pPr>
      <w:r>
        <w:tab/>
      </w:r>
    </w:p>
    <w:p w:rsidR="00264017" w:rsidRPr="00E95A23" w:rsidRDefault="00C100E9" w:rsidP="00264017">
      <w:pPr>
        <w:jc w:val="center"/>
        <w:rPr>
          <w:b/>
          <w:sz w:val="20"/>
        </w:rPr>
      </w:pPr>
      <w:r w:rsidRPr="00E95A23">
        <w:rPr>
          <w:b/>
          <w:sz w:val="20"/>
        </w:rPr>
        <w:t>Table A</w:t>
      </w:r>
      <w:r w:rsidR="00264017" w:rsidRPr="00E95A23">
        <w:rPr>
          <w:b/>
          <w:sz w:val="20"/>
        </w:rPr>
        <w:t>4.16</w:t>
      </w:r>
      <w:r w:rsidRPr="00E95A23">
        <w:rPr>
          <w:b/>
          <w:sz w:val="20"/>
        </w:rPr>
        <w:t>: Estimated 10-year additional cost of handling for participants</w:t>
      </w:r>
      <w:r w:rsidR="00264017" w:rsidRPr="00E95A23">
        <w:rPr>
          <w:b/>
          <w:sz w:val="20"/>
        </w:rPr>
        <w:t xml:space="preserve"> under proposed standard 6.3.9 – Options 1 to 6</w:t>
      </w:r>
    </w:p>
    <w:p w:rsidR="00C100E9" w:rsidRDefault="00C100E9" w:rsidP="00C100E9">
      <w:pPr>
        <w:jc w:val="both"/>
      </w:pPr>
    </w:p>
    <w:tbl>
      <w:tblPr>
        <w:tblW w:w="8462" w:type="dxa"/>
        <w:tblLook w:val="04A0" w:firstRow="1" w:lastRow="0" w:firstColumn="1" w:lastColumn="0" w:noHBand="0" w:noVBand="1"/>
      </w:tblPr>
      <w:tblGrid>
        <w:gridCol w:w="2552"/>
        <w:gridCol w:w="1648"/>
        <w:gridCol w:w="1187"/>
        <w:gridCol w:w="1843"/>
        <w:gridCol w:w="1232"/>
      </w:tblGrid>
      <w:tr w:rsidR="00C100E9" w:rsidRPr="00BD28C4" w:rsidTr="009354B8">
        <w:trPr>
          <w:trHeight w:val="481"/>
          <w:tblHeader/>
        </w:trPr>
        <w:tc>
          <w:tcPr>
            <w:tcW w:w="2552"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64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 (rearing and breaking in)</w:t>
            </w:r>
          </w:p>
        </w:tc>
        <w:tc>
          <w:tcPr>
            <w:tcW w:w="1187"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843"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232"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264017" w:rsidRPr="0033493D" w:rsidTr="009354B8">
        <w:trPr>
          <w:trHeight w:val="315"/>
        </w:trPr>
        <w:tc>
          <w:tcPr>
            <w:tcW w:w="2552" w:type="dxa"/>
            <w:tcBorders>
              <w:top w:val="nil"/>
              <w:left w:val="nil"/>
              <w:bottom w:val="nil"/>
              <w:right w:val="nil"/>
            </w:tcBorders>
            <w:shd w:val="clear" w:color="000000" w:fill="FFFFFF"/>
            <w:noWrap/>
            <w:vAlign w:val="bottom"/>
          </w:tcPr>
          <w:p w:rsidR="00264017" w:rsidRPr="00E95A23" w:rsidRDefault="00264017" w:rsidP="00973C4B">
            <w:pPr>
              <w:rPr>
                <w:rFonts w:eastAsia="Times New Roman" w:cs="Calibri"/>
                <w:b/>
                <w:sz w:val="20"/>
                <w:szCs w:val="20"/>
                <w:lang w:eastAsia="en-AU"/>
              </w:rPr>
            </w:pPr>
            <w:r w:rsidRPr="00E95A23">
              <w:rPr>
                <w:rFonts w:eastAsia="Times New Roman" w:cs="Calibri"/>
                <w:b/>
                <w:sz w:val="20"/>
                <w:szCs w:val="20"/>
                <w:lang w:eastAsia="en-AU"/>
              </w:rPr>
              <w:t>Option 1</w:t>
            </w:r>
          </w:p>
        </w:tc>
        <w:tc>
          <w:tcPr>
            <w:tcW w:w="1648" w:type="dxa"/>
            <w:tcBorders>
              <w:top w:val="nil"/>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187" w:type="dxa"/>
            <w:tcBorders>
              <w:top w:val="nil"/>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843" w:type="dxa"/>
            <w:tcBorders>
              <w:top w:val="nil"/>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232" w:type="dxa"/>
            <w:tcBorders>
              <w:top w:val="nil"/>
              <w:left w:val="nil"/>
              <w:bottom w:val="nil"/>
              <w:right w:val="nil"/>
            </w:tcBorders>
            <w:shd w:val="clear" w:color="auto" w:fill="DBE5F1" w:themeFill="accent1" w:themeFillTint="33"/>
            <w:noWrap/>
            <w:vAlign w:val="bottom"/>
          </w:tcPr>
          <w:p w:rsidR="00264017" w:rsidRPr="0033493D" w:rsidRDefault="00264017" w:rsidP="00973C4B">
            <w:pPr>
              <w:jc w:val="center"/>
              <w:rPr>
                <w:rFonts w:eastAsia="Times New Roman" w:cs="Calibri"/>
                <w:sz w:val="20"/>
                <w:szCs w:val="20"/>
                <w:lang w:eastAsia="en-AU"/>
              </w:rPr>
            </w:pP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109</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$70,832</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$708,320</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$597,491</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trainers (breaking in)</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$0</w:t>
            </w:r>
          </w:p>
        </w:tc>
      </w:tr>
      <w:tr w:rsidR="00E95A23" w:rsidRPr="0033493D" w:rsidTr="009354B8">
        <w:trPr>
          <w:trHeight w:val="80"/>
        </w:trPr>
        <w:tc>
          <w:tcPr>
            <w:tcW w:w="2552"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trainers (breaking in)</w:t>
            </w:r>
          </w:p>
        </w:tc>
        <w:tc>
          <w:tcPr>
            <w:tcW w:w="1648"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104</w:t>
            </w:r>
          </w:p>
        </w:tc>
        <w:tc>
          <w:tcPr>
            <w:tcW w:w="1187"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$109,761</w:t>
            </w:r>
          </w:p>
        </w:tc>
        <w:tc>
          <w:tcPr>
            <w:tcW w:w="1843"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$1,097,610</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$925,870</w:t>
            </w:r>
          </w:p>
        </w:tc>
      </w:tr>
      <w:tr w:rsidR="00E95A23" w:rsidRPr="0033493D" w:rsidTr="009354B8">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b/>
                <w:bCs/>
                <w:i/>
                <w:iCs/>
                <w:sz w:val="20"/>
                <w:szCs w:val="20"/>
              </w:rPr>
              <w:t>Total</w:t>
            </w:r>
          </w:p>
        </w:tc>
        <w:tc>
          <w:tcPr>
            <w:tcW w:w="1648"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213</w:t>
            </w:r>
          </w:p>
        </w:tc>
        <w:tc>
          <w:tcPr>
            <w:tcW w:w="1187"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$180,593</w:t>
            </w:r>
          </w:p>
        </w:tc>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$1,805,930</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$1,523,362</w:t>
            </w:r>
          </w:p>
        </w:tc>
      </w:tr>
      <w:tr w:rsidR="00264017" w:rsidRPr="0033493D" w:rsidTr="009354B8">
        <w:trPr>
          <w:trHeight w:val="80"/>
        </w:trPr>
        <w:tc>
          <w:tcPr>
            <w:tcW w:w="2552" w:type="dxa"/>
            <w:tcBorders>
              <w:top w:val="single" w:sz="4" w:space="0" w:color="1F497D" w:themeColor="text2"/>
              <w:left w:val="nil"/>
              <w:bottom w:val="nil"/>
              <w:right w:val="nil"/>
            </w:tcBorders>
            <w:shd w:val="clear" w:color="000000" w:fill="FFFFFF"/>
            <w:noWrap/>
            <w:vAlign w:val="bottom"/>
          </w:tcPr>
          <w:p w:rsidR="00264017" w:rsidRPr="009354B8" w:rsidRDefault="00E95A23" w:rsidP="00973C4B">
            <w:pPr>
              <w:rPr>
                <w:rFonts w:eastAsia="Times New Roman" w:cs="Calibri"/>
                <w:b/>
                <w:sz w:val="20"/>
                <w:szCs w:val="20"/>
                <w:lang w:eastAsia="en-AU"/>
              </w:rPr>
            </w:pPr>
            <w:r w:rsidRPr="009354B8">
              <w:rPr>
                <w:rFonts w:eastAsia="Times New Roman" w:cs="Calibri"/>
                <w:b/>
                <w:sz w:val="20"/>
                <w:szCs w:val="20"/>
                <w:lang w:eastAsia="en-AU"/>
              </w:rPr>
              <w:t>Option 2</w:t>
            </w:r>
          </w:p>
        </w:tc>
        <w:tc>
          <w:tcPr>
            <w:tcW w:w="1648"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187"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843"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264017" w:rsidRPr="0033493D" w:rsidRDefault="00264017" w:rsidP="00973C4B">
            <w:pPr>
              <w:jc w:val="center"/>
              <w:rPr>
                <w:rFonts w:eastAsia="Times New Roman" w:cs="Calibri"/>
                <w:sz w:val="20"/>
                <w:szCs w:val="20"/>
                <w:lang w:eastAsia="en-AU"/>
              </w:rPr>
            </w:pP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35</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$13,272</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$132,721</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$111,955</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701</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$455,325</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$4,553,250</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$3,840,817</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trainers (breaking in)</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49</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$19,781</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$197,814</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$166,863</w:t>
            </w:r>
          </w:p>
        </w:tc>
      </w:tr>
      <w:tr w:rsidR="00E95A23" w:rsidRPr="0033493D" w:rsidTr="009354B8">
        <w:trPr>
          <w:trHeight w:val="80"/>
        </w:trPr>
        <w:tc>
          <w:tcPr>
            <w:tcW w:w="2552"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trainers (breaking in)</w:t>
            </w:r>
          </w:p>
        </w:tc>
        <w:tc>
          <w:tcPr>
            <w:tcW w:w="1648"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629</w:t>
            </w:r>
          </w:p>
        </w:tc>
        <w:tc>
          <w:tcPr>
            <w:tcW w:w="1187"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$664,821</w:t>
            </w:r>
          </w:p>
        </w:tc>
        <w:tc>
          <w:tcPr>
            <w:tcW w:w="1843"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$6,648,212</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$5,607,987</w:t>
            </w:r>
          </w:p>
        </w:tc>
      </w:tr>
      <w:tr w:rsidR="00E95A23" w:rsidRPr="0033493D" w:rsidTr="009354B8">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b/>
                <w:bCs/>
                <w:i/>
                <w:iCs/>
                <w:sz w:val="20"/>
                <w:szCs w:val="20"/>
              </w:rPr>
              <w:t>Total</w:t>
            </w:r>
          </w:p>
        </w:tc>
        <w:tc>
          <w:tcPr>
            <w:tcW w:w="1648"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1,414</w:t>
            </w:r>
          </w:p>
        </w:tc>
        <w:tc>
          <w:tcPr>
            <w:tcW w:w="1187"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$1,153,200</w:t>
            </w:r>
          </w:p>
        </w:tc>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$11,531,998</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$9,727,622</w:t>
            </w:r>
          </w:p>
        </w:tc>
      </w:tr>
      <w:tr w:rsidR="00E95A23" w:rsidRPr="0033493D" w:rsidTr="009354B8">
        <w:trPr>
          <w:trHeight w:val="80"/>
        </w:trPr>
        <w:tc>
          <w:tcPr>
            <w:tcW w:w="2552" w:type="dxa"/>
            <w:tcBorders>
              <w:top w:val="single" w:sz="4" w:space="0" w:color="1F497D" w:themeColor="text2"/>
              <w:left w:val="nil"/>
              <w:bottom w:val="nil"/>
              <w:right w:val="nil"/>
            </w:tcBorders>
            <w:shd w:val="clear" w:color="000000" w:fill="FFFFFF"/>
            <w:noWrap/>
            <w:vAlign w:val="bottom"/>
          </w:tcPr>
          <w:p w:rsidR="00E95A23" w:rsidRPr="00E95A23" w:rsidRDefault="00E95A23" w:rsidP="00973C4B">
            <w:pPr>
              <w:rPr>
                <w:rFonts w:eastAsia="Times New Roman" w:cs="Calibri"/>
                <w:b/>
                <w:sz w:val="20"/>
                <w:szCs w:val="20"/>
                <w:lang w:eastAsia="en-AU"/>
              </w:rPr>
            </w:pPr>
            <w:r w:rsidRPr="00E95A23">
              <w:rPr>
                <w:rFonts w:eastAsia="Times New Roman" w:cs="Calibri"/>
                <w:b/>
                <w:sz w:val="20"/>
                <w:szCs w:val="20"/>
                <w:lang w:eastAsia="en-AU"/>
              </w:rPr>
              <w:t>Options 3 and 5</w:t>
            </w:r>
          </w:p>
        </w:tc>
        <w:tc>
          <w:tcPr>
            <w:tcW w:w="1648"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187"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843"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E95A23" w:rsidRPr="0033493D" w:rsidRDefault="00E95A23" w:rsidP="00973C4B">
            <w:pPr>
              <w:jc w:val="center"/>
              <w:rPr>
                <w:rFonts w:eastAsia="Times New Roman" w:cs="Calibri"/>
                <w:sz w:val="20"/>
                <w:szCs w:val="20"/>
                <w:lang w:eastAsia="en-AU"/>
              </w:rPr>
            </w:pP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134</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$50,790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$507,902</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$428,432</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2,684</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$1,742,454</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$17,424,540</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$14,698,177</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trainers (breaking in)</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188</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$75,700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$757,003</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$638,558</w:t>
            </w:r>
          </w:p>
        </w:tc>
      </w:tr>
      <w:tr w:rsidR="00E95A23" w:rsidRPr="0033493D" w:rsidTr="009354B8">
        <w:trPr>
          <w:trHeight w:val="80"/>
        </w:trPr>
        <w:tc>
          <w:tcPr>
            <w:tcW w:w="2552"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trainers (breaking in)</w:t>
            </w:r>
          </w:p>
        </w:tc>
        <w:tc>
          <w:tcPr>
            <w:tcW w:w="1648"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2,408</w:t>
            </w:r>
          </w:p>
        </w:tc>
        <w:tc>
          <w:tcPr>
            <w:tcW w:w="1187"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$2,544,161</w:t>
            </w:r>
          </w:p>
        </w:tc>
        <w:tc>
          <w:tcPr>
            <w:tcW w:w="1843"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$25,441,614</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$21,460,845</w:t>
            </w:r>
          </w:p>
        </w:tc>
      </w:tr>
      <w:tr w:rsidR="00E95A23" w:rsidRPr="0033493D" w:rsidTr="009354B8">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b/>
                <w:bCs/>
                <w:i/>
                <w:iCs/>
                <w:sz w:val="20"/>
                <w:szCs w:val="20"/>
              </w:rPr>
              <w:t>Total</w:t>
            </w:r>
          </w:p>
        </w:tc>
        <w:tc>
          <w:tcPr>
            <w:tcW w:w="1648"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5,413</w:t>
            </w:r>
          </w:p>
        </w:tc>
        <w:tc>
          <w:tcPr>
            <w:tcW w:w="1187"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$4,413,106</w:t>
            </w:r>
          </w:p>
        </w:tc>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$44,131,060</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$37,226,012</w:t>
            </w:r>
          </w:p>
        </w:tc>
      </w:tr>
      <w:tr w:rsidR="00E95A23" w:rsidRPr="0033493D" w:rsidTr="009354B8">
        <w:trPr>
          <w:trHeight w:val="80"/>
        </w:trPr>
        <w:tc>
          <w:tcPr>
            <w:tcW w:w="2552" w:type="dxa"/>
            <w:tcBorders>
              <w:top w:val="single" w:sz="4" w:space="0" w:color="1F497D" w:themeColor="text2"/>
              <w:left w:val="nil"/>
              <w:bottom w:val="nil"/>
              <w:right w:val="nil"/>
            </w:tcBorders>
            <w:shd w:val="clear" w:color="000000" w:fill="FFFFFF"/>
            <w:noWrap/>
            <w:vAlign w:val="bottom"/>
          </w:tcPr>
          <w:p w:rsidR="00E95A23" w:rsidRPr="0080065F" w:rsidRDefault="00E95A23" w:rsidP="00973C4B">
            <w:pPr>
              <w:rPr>
                <w:rFonts w:eastAsia="Times New Roman" w:cs="Calibri"/>
                <w:b/>
                <w:sz w:val="20"/>
                <w:szCs w:val="20"/>
                <w:lang w:eastAsia="en-AU"/>
              </w:rPr>
            </w:pPr>
            <w:r w:rsidRPr="0080065F">
              <w:rPr>
                <w:rFonts w:eastAsia="Times New Roman" w:cs="Calibri"/>
                <w:b/>
                <w:sz w:val="20"/>
                <w:szCs w:val="20"/>
                <w:lang w:eastAsia="en-AU"/>
              </w:rPr>
              <w:t>Option 4</w:t>
            </w:r>
          </w:p>
        </w:tc>
        <w:tc>
          <w:tcPr>
            <w:tcW w:w="1648"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187"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843" w:type="dxa"/>
            <w:tcBorders>
              <w:top w:val="single" w:sz="4" w:space="0" w:color="1F497D" w:themeColor="text2"/>
              <w:left w:val="nil"/>
              <w:bottom w:val="nil"/>
              <w:right w:val="nil"/>
            </w:tcBorders>
            <w:shd w:val="clear" w:color="000000" w:fill="FFFFFF"/>
            <w:noWrap/>
            <w:vAlign w:val="bottom"/>
          </w:tcPr>
          <w:p w:rsidR="00E95A23" w:rsidRPr="0033493D" w:rsidRDefault="00E95A23" w:rsidP="00973C4B">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E95A23" w:rsidRPr="0033493D" w:rsidRDefault="00E95A23" w:rsidP="00973C4B">
            <w:pPr>
              <w:jc w:val="center"/>
              <w:rPr>
                <w:rFonts w:eastAsia="Times New Roman" w:cs="Calibri"/>
                <w:sz w:val="20"/>
                <w:szCs w:val="20"/>
                <w:lang w:eastAsia="en-AU"/>
              </w:rPr>
            </w:pP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84</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$32,030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$320,304</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$270,187</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breeders (rearing)</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1,693</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$1,098,862</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$10,988,623</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$9,269,268</w:t>
            </w:r>
          </w:p>
        </w:tc>
      </w:tr>
      <w:tr w:rsidR="00E95A23" w:rsidRPr="0033493D" w:rsidTr="009354B8">
        <w:trPr>
          <w:trHeight w:val="80"/>
        </w:trPr>
        <w:tc>
          <w:tcPr>
            <w:tcW w:w="2552" w:type="dxa"/>
            <w:tcBorders>
              <w:top w:val="nil"/>
              <w:left w:val="nil"/>
              <w:bottom w:val="nil"/>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Large trainers (breaking in)</w:t>
            </w:r>
          </w:p>
        </w:tc>
        <w:tc>
          <w:tcPr>
            <w:tcW w:w="1648"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118</w:t>
            </w:r>
          </w:p>
        </w:tc>
        <w:tc>
          <w:tcPr>
            <w:tcW w:w="1187"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$47,740</w:t>
            </w:r>
          </w:p>
        </w:tc>
        <w:tc>
          <w:tcPr>
            <w:tcW w:w="1843" w:type="dxa"/>
            <w:tcBorders>
              <w:top w:val="nil"/>
              <w:left w:val="nil"/>
              <w:bottom w:val="nil"/>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$477,397</w:t>
            </w:r>
          </w:p>
        </w:tc>
        <w:tc>
          <w:tcPr>
            <w:tcW w:w="1232" w:type="dxa"/>
            <w:tcBorders>
              <w:top w:val="nil"/>
              <w:left w:val="nil"/>
              <w:bottom w:val="nil"/>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$402,700</w:t>
            </w:r>
          </w:p>
        </w:tc>
      </w:tr>
      <w:tr w:rsidR="00E95A23" w:rsidRPr="0033493D" w:rsidTr="009354B8">
        <w:trPr>
          <w:trHeight w:val="80"/>
        </w:trPr>
        <w:tc>
          <w:tcPr>
            <w:tcW w:w="2552"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sz w:val="20"/>
                <w:szCs w:val="20"/>
              </w:rPr>
              <w:t>Small trainers (breaking in)</w:t>
            </w:r>
          </w:p>
        </w:tc>
        <w:tc>
          <w:tcPr>
            <w:tcW w:w="1648"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1,518</w:t>
            </w:r>
          </w:p>
        </w:tc>
        <w:tc>
          <w:tcPr>
            <w:tcW w:w="1187"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$1,604,452</w:t>
            </w:r>
          </w:p>
        </w:tc>
        <w:tc>
          <w:tcPr>
            <w:tcW w:w="1843" w:type="dxa"/>
            <w:tcBorders>
              <w:top w:val="nil"/>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sz w:val="20"/>
                <w:szCs w:val="20"/>
              </w:rPr>
              <w:t>$16,044,516</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sz w:val="20"/>
                <w:szCs w:val="20"/>
              </w:rPr>
              <w:t>$13,534,081</w:t>
            </w:r>
          </w:p>
        </w:tc>
      </w:tr>
      <w:tr w:rsidR="00E95A23" w:rsidRPr="0033493D" w:rsidTr="009354B8">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rPr>
                <w:rFonts w:eastAsia="Times New Roman" w:cs="Calibri"/>
                <w:sz w:val="20"/>
                <w:szCs w:val="20"/>
                <w:lang w:eastAsia="en-AU"/>
              </w:rPr>
            </w:pPr>
            <w:r>
              <w:rPr>
                <w:b/>
                <w:bCs/>
                <w:i/>
                <w:iCs/>
                <w:sz w:val="20"/>
                <w:szCs w:val="20"/>
              </w:rPr>
              <w:t>Total</w:t>
            </w:r>
          </w:p>
        </w:tc>
        <w:tc>
          <w:tcPr>
            <w:tcW w:w="1648"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3,414</w:t>
            </w:r>
          </w:p>
        </w:tc>
        <w:tc>
          <w:tcPr>
            <w:tcW w:w="1187"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$2,783,084</w:t>
            </w:r>
          </w:p>
        </w:tc>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$27,830,839</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95A23" w:rsidRPr="0033493D" w:rsidRDefault="00E95A23" w:rsidP="00E95A23">
            <w:pPr>
              <w:jc w:val="center"/>
              <w:rPr>
                <w:rFonts w:eastAsia="Times New Roman" w:cs="Calibri"/>
                <w:sz w:val="20"/>
                <w:szCs w:val="20"/>
                <w:lang w:eastAsia="en-AU"/>
              </w:rPr>
            </w:pPr>
            <w:r>
              <w:rPr>
                <w:b/>
                <w:bCs/>
                <w:i/>
                <w:iCs/>
                <w:sz w:val="20"/>
                <w:szCs w:val="20"/>
              </w:rPr>
              <w:t>$23,476,236</w:t>
            </w:r>
          </w:p>
        </w:tc>
      </w:tr>
      <w:tr w:rsidR="00264017" w:rsidRPr="0033493D" w:rsidTr="009354B8">
        <w:trPr>
          <w:trHeight w:val="80"/>
        </w:trPr>
        <w:tc>
          <w:tcPr>
            <w:tcW w:w="2552" w:type="dxa"/>
            <w:tcBorders>
              <w:top w:val="single" w:sz="4" w:space="0" w:color="1F497D" w:themeColor="text2"/>
              <w:left w:val="nil"/>
              <w:bottom w:val="nil"/>
              <w:right w:val="nil"/>
            </w:tcBorders>
            <w:shd w:val="clear" w:color="000000" w:fill="FFFFFF"/>
            <w:noWrap/>
            <w:vAlign w:val="bottom"/>
          </w:tcPr>
          <w:p w:rsidR="00264017" w:rsidRPr="0080065F" w:rsidRDefault="00E95A23" w:rsidP="00973C4B">
            <w:pPr>
              <w:rPr>
                <w:rFonts w:eastAsia="Times New Roman" w:cs="Calibri"/>
                <w:b/>
                <w:sz w:val="20"/>
                <w:szCs w:val="20"/>
                <w:lang w:eastAsia="en-AU"/>
              </w:rPr>
            </w:pPr>
            <w:r w:rsidRPr="0080065F">
              <w:rPr>
                <w:rFonts w:eastAsia="Times New Roman" w:cs="Calibri"/>
                <w:b/>
                <w:sz w:val="20"/>
                <w:szCs w:val="20"/>
                <w:lang w:eastAsia="en-AU"/>
              </w:rPr>
              <w:t>Option 6</w:t>
            </w:r>
          </w:p>
        </w:tc>
        <w:tc>
          <w:tcPr>
            <w:tcW w:w="1648"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187"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843" w:type="dxa"/>
            <w:tcBorders>
              <w:top w:val="single" w:sz="4" w:space="0" w:color="1F497D" w:themeColor="text2"/>
              <w:left w:val="nil"/>
              <w:bottom w:val="nil"/>
              <w:right w:val="nil"/>
            </w:tcBorders>
            <w:shd w:val="clear" w:color="000000" w:fill="FFFFFF"/>
            <w:noWrap/>
            <w:vAlign w:val="bottom"/>
          </w:tcPr>
          <w:p w:rsidR="00264017" w:rsidRPr="0033493D" w:rsidRDefault="00264017" w:rsidP="00973C4B">
            <w:pPr>
              <w:jc w:val="center"/>
              <w:rPr>
                <w:rFonts w:eastAsia="Times New Roman" w:cs="Calibri"/>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264017" w:rsidRPr="0033493D" w:rsidRDefault="00264017" w:rsidP="00973C4B">
            <w:pPr>
              <w:jc w:val="center"/>
              <w:rPr>
                <w:rFonts w:eastAsia="Times New Roman" w:cs="Calibri"/>
                <w:sz w:val="20"/>
                <w:szCs w:val="20"/>
                <w:lang w:eastAsia="en-AU"/>
              </w:rPr>
            </w:pPr>
          </w:p>
        </w:tc>
      </w:tr>
      <w:tr w:rsidR="00E95A23" w:rsidRPr="0033493D" w:rsidTr="009354B8">
        <w:trPr>
          <w:trHeight w:val="80"/>
        </w:trPr>
        <w:tc>
          <w:tcPr>
            <w:tcW w:w="2552" w:type="dxa"/>
            <w:tcBorders>
              <w:top w:val="nil"/>
              <w:left w:val="nil"/>
              <w:bottom w:val="nil"/>
              <w:right w:val="nil"/>
            </w:tcBorders>
            <w:shd w:val="clear" w:color="000000" w:fill="FFFFFF"/>
            <w:noWrap/>
            <w:vAlign w:val="bottom"/>
            <w:hideMark/>
          </w:tcPr>
          <w:p w:rsidR="00E95A23" w:rsidRPr="0033493D" w:rsidRDefault="00E95A23" w:rsidP="00E95A23">
            <w:pPr>
              <w:rPr>
                <w:rFonts w:eastAsia="Times New Roman" w:cs="Calibri"/>
                <w:sz w:val="20"/>
                <w:szCs w:val="20"/>
                <w:lang w:eastAsia="en-AU"/>
              </w:rPr>
            </w:pPr>
            <w:r>
              <w:rPr>
                <w:sz w:val="20"/>
                <w:szCs w:val="20"/>
              </w:rPr>
              <w:t>Large breeders (rearing)</w:t>
            </w:r>
          </w:p>
        </w:tc>
        <w:tc>
          <w:tcPr>
            <w:tcW w:w="1648"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134</w:t>
            </w:r>
          </w:p>
        </w:tc>
        <w:tc>
          <w:tcPr>
            <w:tcW w:w="1187"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$26,480</w:t>
            </w:r>
          </w:p>
        </w:tc>
        <w:tc>
          <w:tcPr>
            <w:tcW w:w="1843"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$264,804</w:t>
            </w:r>
          </w:p>
        </w:tc>
        <w:tc>
          <w:tcPr>
            <w:tcW w:w="1232" w:type="dxa"/>
            <w:tcBorders>
              <w:top w:val="nil"/>
              <w:left w:val="nil"/>
              <w:bottom w:val="nil"/>
              <w:right w:val="nil"/>
            </w:tcBorders>
            <w:shd w:val="clear" w:color="auto" w:fill="DBE5F1" w:themeFill="accent1" w:themeFillTint="33"/>
            <w:noWrap/>
            <w:vAlign w:val="bottom"/>
            <w:hideMark/>
          </w:tcPr>
          <w:p w:rsidR="00E95A23" w:rsidRPr="0033493D" w:rsidRDefault="00E95A23" w:rsidP="00E95A23">
            <w:pPr>
              <w:jc w:val="center"/>
              <w:rPr>
                <w:rFonts w:eastAsia="Times New Roman" w:cs="Calibri"/>
                <w:sz w:val="20"/>
                <w:szCs w:val="20"/>
                <w:lang w:eastAsia="en-AU"/>
              </w:rPr>
            </w:pPr>
            <w:r>
              <w:rPr>
                <w:sz w:val="20"/>
                <w:szCs w:val="20"/>
              </w:rPr>
              <w:t>$223,371</w:t>
            </w:r>
          </w:p>
        </w:tc>
      </w:tr>
      <w:tr w:rsidR="00E95A23" w:rsidRPr="0033493D" w:rsidTr="009354B8">
        <w:trPr>
          <w:trHeight w:val="80"/>
        </w:trPr>
        <w:tc>
          <w:tcPr>
            <w:tcW w:w="2552" w:type="dxa"/>
            <w:tcBorders>
              <w:top w:val="nil"/>
              <w:left w:val="nil"/>
              <w:bottom w:val="nil"/>
              <w:right w:val="nil"/>
            </w:tcBorders>
            <w:shd w:val="clear" w:color="000000" w:fill="FFFFFF"/>
            <w:noWrap/>
            <w:vAlign w:val="bottom"/>
            <w:hideMark/>
          </w:tcPr>
          <w:p w:rsidR="00E95A23" w:rsidRPr="0033493D" w:rsidRDefault="00E95A23" w:rsidP="00E95A23">
            <w:pPr>
              <w:rPr>
                <w:rFonts w:eastAsia="Times New Roman" w:cs="Calibri"/>
                <w:sz w:val="20"/>
                <w:szCs w:val="20"/>
                <w:lang w:eastAsia="en-AU"/>
              </w:rPr>
            </w:pPr>
            <w:r>
              <w:rPr>
                <w:sz w:val="20"/>
                <w:szCs w:val="20"/>
              </w:rPr>
              <w:t>Small breeders (rearing)</w:t>
            </w:r>
          </w:p>
        </w:tc>
        <w:tc>
          <w:tcPr>
            <w:tcW w:w="1648"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2,684</w:t>
            </w:r>
          </w:p>
        </w:tc>
        <w:tc>
          <w:tcPr>
            <w:tcW w:w="1187"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$908,459</w:t>
            </w:r>
          </w:p>
        </w:tc>
        <w:tc>
          <w:tcPr>
            <w:tcW w:w="1843"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$9,084,589</w:t>
            </w:r>
          </w:p>
        </w:tc>
        <w:tc>
          <w:tcPr>
            <w:tcW w:w="1232" w:type="dxa"/>
            <w:tcBorders>
              <w:top w:val="nil"/>
              <w:left w:val="nil"/>
              <w:bottom w:val="nil"/>
              <w:right w:val="nil"/>
            </w:tcBorders>
            <w:shd w:val="clear" w:color="auto" w:fill="DBE5F1" w:themeFill="accent1" w:themeFillTint="33"/>
            <w:noWrap/>
            <w:vAlign w:val="bottom"/>
            <w:hideMark/>
          </w:tcPr>
          <w:p w:rsidR="00E95A23" w:rsidRPr="0033493D" w:rsidRDefault="00E95A23" w:rsidP="00E95A23">
            <w:pPr>
              <w:jc w:val="center"/>
              <w:rPr>
                <w:rFonts w:eastAsia="Times New Roman" w:cs="Calibri"/>
                <w:sz w:val="20"/>
                <w:szCs w:val="20"/>
                <w:lang w:eastAsia="en-AU"/>
              </w:rPr>
            </w:pPr>
            <w:r>
              <w:rPr>
                <w:sz w:val="20"/>
                <w:szCs w:val="20"/>
              </w:rPr>
              <w:t>$7,663,152</w:t>
            </w:r>
          </w:p>
        </w:tc>
      </w:tr>
      <w:tr w:rsidR="00E95A23" w:rsidRPr="0033493D" w:rsidTr="009354B8">
        <w:trPr>
          <w:trHeight w:val="80"/>
        </w:trPr>
        <w:tc>
          <w:tcPr>
            <w:tcW w:w="2552" w:type="dxa"/>
            <w:tcBorders>
              <w:top w:val="nil"/>
              <w:left w:val="nil"/>
              <w:bottom w:val="nil"/>
              <w:right w:val="nil"/>
            </w:tcBorders>
            <w:shd w:val="clear" w:color="000000" w:fill="FFFFFF"/>
            <w:noWrap/>
            <w:vAlign w:val="bottom"/>
            <w:hideMark/>
          </w:tcPr>
          <w:p w:rsidR="00E95A23" w:rsidRPr="0033493D" w:rsidRDefault="00E95A23" w:rsidP="00E95A23">
            <w:pPr>
              <w:rPr>
                <w:rFonts w:eastAsia="Times New Roman" w:cs="Calibri"/>
                <w:sz w:val="20"/>
                <w:szCs w:val="20"/>
                <w:lang w:eastAsia="en-AU"/>
              </w:rPr>
            </w:pPr>
            <w:r>
              <w:rPr>
                <w:sz w:val="20"/>
                <w:szCs w:val="20"/>
              </w:rPr>
              <w:t>Large trainers (breaking in)</w:t>
            </w:r>
          </w:p>
        </w:tc>
        <w:tc>
          <w:tcPr>
            <w:tcW w:w="1648"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188</w:t>
            </w:r>
          </w:p>
        </w:tc>
        <w:tc>
          <w:tcPr>
            <w:tcW w:w="1187"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$39,468</w:t>
            </w:r>
          </w:p>
        </w:tc>
        <w:tc>
          <w:tcPr>
            <w:tcW w:w="1843"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$394,677</w:t>
            </w:r>
          </w:p>
        </w:tc>
        <w:tc>
          <w:tcPr>
            <w:tcW w:w="1232" w:type="dxa"/>
            <w:tcBorders>
              <w:top w:val="nil"/>
              <w:left w:val="nil"/>
              <w:bottom w:val="nil"/>
              <w:right w:val="nil"/>
            </w:tcBorders>
            <w:shd w:val="clear" w:color="auto" w:fill="DBE5F1" w:themeFill="accent1" w:themeFillTint="33"/>
            <w:noWrap/>
            <w:vAlign w:val="bottom"/>
            <w:hideMark/>
          </w:tcPr>
          <w:p w:rsidR="00E95A23" w:rsidRPr="0033493D" w:rsidRDefault="00E95A23" w:rsidP="00E95A23">
            <w:pPr>
              <w:jc w:val="center"/>
              <w:rPr>
                <w:rFonts w:eastAsia="Times New Roman" w:cs="Calibri"/>
                <w:sz w:val="20"/>
                <w:szCs w:val="20"/>
                <w:lang w:eastAsia="en-AU"/>
              </w:rPr>
            </w:pPr>
            <w:r>
              <w:rPr>
                <w:sz w:val="20"/>
                <w:szCs w:val="20"/>
              </w:rPr>
              <w:t>$332,923</w:t>
            </w:r>
          </w:p>
        </w:tc>
      </w:tr>
      <w:tr w:rsidR="00E95A23" w:rsidRPr="0033493D" w:rsidTr="009354B8">
        <w:trPr>
          <w:trHeight w:val="80"/>
        </w:trPr>
        <w:tc>
          <w:tcPr>
            <w:tcW w:w="2552" w:type="dxa"/>
            <w:tcBorders>
              <w:top w:val="nil"/>
              <w:left w:val="nil"/>
              <w:bottom w:val="nil"/>
              <w:right w:val="nil"/>
            </w:tcBorders>
            <w:shd w:val="clear" w:color="000000" w:fill="FFFFFF"/>
            <w:noWrap/>
            <w:vAlign w:val="bottom"/>
            <w:hideMark/>
          </w:tcPr>
          <w:p w:rsidR="00E95A23" w:rsidRPr="0033493D" w:rsidRDefault="00E95A23" w:rsidP="00E95A23">
            <w:pPr>
              <w:rPr>
                <w:rFonts w:eastAsia="Times New Roman" w:cs="Calibri"/>
                <w:sz w:val="20"/>
                <w:szCs w:val="20"/>
                <w:lang w:eastAsia="en-AU"/>
              </w:rPr>
            </w:pPr>
            <w:r>
              <w:rPr>
                <w:sz w:val="20"/>
                <w:szCs w:val="20"/>
              </w:rPr>
              <w:t>Small trainers (breaking in)</w:t>
            </w:r>
          </w:p>
        </w:tc>
        <w:tc>
          <w:tcPr>
            <w:tcW w:w="1648"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2,408</w:t>
            </w:r>
          </w:p>
        </w:tc>
        <w:tc>
          <w:tcPr>
            <w:tcW w:w="1187"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$1,326,443</w:t>
            </w:r>
          </w:p>
        </w:tc>
        <w:tc>
          <w:tcPr>
            <w:tcW w:w="1843" w:type="dxa"/>
            <w:tcBorders>
              <w:top w:val="nil"/>
              <w:left w:val="nil"/>
              <w:bottom w:val="nil"/>
              <w:right w:val="nil"/>
            </w:tcBorders>
            <w:shd w:val="clear" w:color="000000" w:fill="FFFFFF"/>
            <w:noWrap/>
            <w:vAlign w:val="bottom"/>
            <w:hideMark/>
          </w:tcPr>
          <w:p w:rsidR="00E95A23" w:rsidRPr="0033493D" w:rsidRDefault="00E95A23" w:rsidP="00E95A23">
            <w:pPr>
              <w:jc w:val="center"/>
              <w:rPr>
                <w:rFonts w:eastAsia="Times New Roman" w:cs="Calibri"/>
                <w:sz w:val="20"/>
                <w:szCs w:val="20"/>
                <w:lang w:eastAsia="en-AU"/>
              </w:rPr>
            </w:pPr>
            <w:r>
              <w:rPr>
                <w:sz w:val="20"/>
                <w:szCs w:val="20"/>
              </w:rPr>
              <w:t>$13,264,431</w:t>
            </w:r>
          </w:p>
        </w:tc>
        <w:tc>
          <w:tcPr>
            <w:tcW w:w="1232" w:type="dxa"/>
            <w:tcBorders>
              <w:top w:val="nil"/>
              <w:left w:val="nil"/>
              <w:bottom w:val="nil"/>
              <w:right w:val="nil"/>
            </w:tcBorders>
            <w:shd w:val="clear" w:color="auto" w:fill="DBE5F1" w:themeFill="accent1" w:themeFillTint="33"/>
            <w:noWrap/>
            <w:vAlign w:val="bottom"/>
            <w:hideMark/>
          </w:tcPr>
          <w:p w:rsidR="00E95A23" w:rsidRPr="0033493D" w:rsidRDefault="00E95A23" w:rsidP="00E95A23">
            <w:pPr>
              <w:jc w:val="center"/>
              <w:rPr>
                <w:rFonts w:eastAsia="Times New Roman" w:cs="Calibri"/>
                <w:sz w:val="20"/>
                <w:szCs w:val="20"/>
                <w:lang w:eastAsia="en-AU"/>
              </w:rPr>
            </w:pPr>
            <w:r>
              <w:rPr>
                <w:sz w:val="20"/>
                <w:szCs w:val="20"/>
              </w:rPr>
              <w:t>$11,188,988</w:t>
            </w:r>
          </w:p>
        </w:tc>
      </w:tr>
      <w:tr w:rsidR="00E95A23" w:rsidRPr="0033493D" w:rsidTr="009354B8">
        <w:trPr>
          <w:trHeight w:val="70"/>
        </w:trPr>
        <w:tc>
          <w:tcPr>
            <w:tcW w:w="2552" w:type="dxa"/>
            <w:tcBorders>
              <w:top w:val="single" w:sz="4" w:space="0" w:color="1F4E78"/>
              <w:left w:val="nil"/>
              <w:bottom w:val="single" w:sz="4" w:space="0" w:color="1F4E78"/>
              <w:right w:val="nil"/>
            </w:tcBorders>
            <w:shd w:val="clear" w:color="000000" w:fill="FFFFFF"/>
            <w:noWrap/>
            <w:vAlign w:val="bottom"/>
            <w:hideMark/>
          </w:tcPr>
          <w:p w:rsidR="00E95A23" w:rsidRPr="0033493D" w:rsidRDefault="00E95A23" w:rsidP="00E95A23">
            <w:pPr>
              <w:rPr>
                <w:rFonts w:eastAsia="Times New Roman" w:cs="Calibri"/>
                <w:b/>
                <w:bCs/>
                <w:i/>
                <w:iCs/>
                <w:sz w:val="20"/>
                <w:szCs w:val="20"/>
                <w:lang w:eastAsia="en-AU"/>
              </w:rPr>
            </w:pPr>
            <w:r>
              <w:rPr>
                <w:b/>
                <w:bCs/>
                <w:i/>
                <w:iCs/>
                <w:sz w:val="20"/>
                <w:szCs w:val="20"/>
              </w:rPr>
              <w:t>Total</w:t>
            </w:r>
          </w:p>
        </w:tc>
        <w:tc>
          <w:tcPr>
            <w:tcW w:w="1648" w:type="dxa"/>
            <w:tcBorders>
              <w:top w:val="single" w:sz="4" w:space="0" w:color="1F4E78"/>
              <w:left w:val="nil"/>
              <w:bottom w:val="single" w:sz="4" w:space="0" w:color="1F4E78"/>
              <w:right w:val="nil"/>
            </w:tcBorders>
            <w:shd w:val="clear" w:color="000000" w:fill="FFFFFF"/>
            <w:noWrap/>
            <w:vAlign w:val="bottom"/>
            <w:hideMark/>
          </w:tcPr>
          <w:p w:rsidR="00E95A23" w:rsidRPr="0033493D" w:rsidRDefault="00E95A23" w:rsidP="00E95A23">
            <w:pPr>
              <w:jc w:val="center"/>
              <w:rPr>
                <w:rFonts w:eastAsia="Times New Roman" w:cs="Calibri"/>
                <w:b/>
                <w:bCs/>
                <w:i/>
                <w:iCs/>
                <w:sz w:val="20"/>
                <w:szCs w:val="20"/>
                <w:lang w:eastAsia="en-AU"/>
              </w:rPr>
            </w:pPr>
            <w:r>
              <w:rPr>
                <w:b/>
                <w:bCs/>
                <w:i/>
                <w:iCs/>
                <w:sz w:val="20"/>
                <w:szCs w:val="20"/>
              </w:rPr>
              <w:t>5,413</w:t>
            </w:r>
          </w:p>
        </w:tc>
        <w:tc>
          <w:tcPr>
            <w:tcW w:w="1187" w:type="dxa"/>
            <w:tcBorders>
              <w:top w:val="single" w:sz="4" w:space="0" w:color="1F4E78"/>
              <w:left w:val="nil"/>
              <w:bottom w:val="single" w:sz="4" w:space="0" w:color="1F4E78"/>
              <w:right w:val="nil"/>
            </w:tcBorders>
            <w:shd w:val="clear" w:color="000000" w:fill="FFFFFF"/>
            <w:noWrap/>
            <w:vAlign w:val="bottom"/>
            <w:hideMark/>
          </w:tcPr>
          <w:p w:rsidR="00E95A23" w:rsidRPr="0033493D" w:rsidRDefault="00E95A23" w:rsidP="00E95A23">
            <w:pPr>
              <w:jc w:val="center"/>
              <w:rPr>
                <w:rFonts w:eastAsia="Times New Roman" w:cs="Calibri"/>
                <w:b/>
                <w:bCs/>
                <w:i/>
                <w:iCs/>
                <w:sz w:val="20"/>
                <w:szCs w:val="20"/>
                <w:lang w:eastAsia="en-AU"/>
              </w:rPr>
            </w:pPr>
            <w:r>
              <w:rPr>
                <w:b/>
                <w:bCs/>
                <w:i/>
                <w:iCs/>
                <w:sz w:val="20"/>
                <w:szCs w:val="20"/>
              </w:rPr>
              <w:t>$2,300,850</w:t>
            </w:r>
          </w:p>
        </w:tc>
        <w:tc>
          <w:tcPr>
            <w:tcW w:w="1843" w:type="dxa"/>
            <w:tcBorders>
              <w:top w:val="single" w:sz="4" w:space="0" w:color="1F4E78"/>
              <w:left w:val="nil"/>
              <w:bottom w:val="single" w:sz="4" w:space="0" w:color="1F4E78"/>
              <w:right w:val="nil"/>
            </w:tcBorders>
            <w:shd w:val="clear" w:color="000000" w:fill="FFFFFF"/>
            <w:noWrap/>
            <w:vAlign w:val="bottom"/>
            <w:hideMark/>
          </w:tcPr>
          <w:p w:rsidR="00E95A23" w:rsidRPr="0033493D" w:rsidRDefault="00E95A23" w:rsidP="00E95A23">
            <w:pPr>
              <w:jc w:val="center"/>
              <w:rPr>
                <w:rFonts w:eastAsia="Times New Roman" w:cs="Calibri"/>
                <w:b/>
                <w:bCs/>
                <w:i/>
                <w:iCs/>
                <w:sz w:val="20"/>
                <w:szCs w:val="20"/>
                <w:lang w:eastAsia="en-AU"/>
              </w:rPr>
            </w:pPr>
            <w:r>
              <w:rPr>
                <w:b/>
                <w:bCs/>
                <w:i/>
                <w:iCs/>
                <w:sz w:val="20"/>
                <w:szCs w:val="20"/>
              </w:rPr>
              <w:t>$23,008,501</w:t>
            </w:r>
          </w:p>
        </w:tc>
        <w:tc>
          <w:tcPr>
            <w:tcW w:w="1232" w:type="dxa"/>
            <w:tcBorders>
              <w:top w:val="single" w:sz="4" w:space="0" w:color="1F4E78"/>
              <w:left w:val="nil"/>
              <w:bottom w:val="single" w:sz="4" w:space="0" w:color="1F4E78"/>
              <w:right w:val="nil"/>
            </w:tcBorders>
            <w:shd w:val="clear" w:color="auto" w:fill="DBE5F1" w:themeFill="accent1" w:themeFillTint="33"/>
            <w:noWrap/>
            <w:vAlign w:val="bottom"/>
            <w:hideMark/>
          </w:tcPr>
          <w:p w:rsidR="00E95A23" w:rsidRPr="0033493D" w:rsidRDefault="00E95A23" w:rsidP="00E95A23">
            <w:pPr>
              <w:jc w:val="center"/>
              <w:rPr>
                <w:rFonts w:eastAsia="Times New Roman" w:cs="Calibri"/>
                <w:b/>
                <w:bCs/>
                <w:i/>
                <w:iCs/>
                <w:sz w:val="20"/>
                <w:szCs w:val="20"/>
                <w:lang w:eastAsia="en-AU"/>
              </w:rPr>
            </w:pPr>
            <w:r>
              <w:rPr>
                <w:b/>
                <w:bCs/>
                <w:i/>
                <w:iCs/>
                <w:sz w:val="20"/>
                <w:szCs w:val="20"/>
              </w:rPr>
              <w:t>$19,408,434</w:t>
            </w:r>
          </w:p>
        </w:tc>
      </w:tr>
    </w:tbl>
    <w:p w:rsidR="00C100E9" w:rsidRDefault="00C100E9" w:rsidP="00C100E9">
      <w:pPr>
        <w:jc w:val="both"/>
      </w:pPr>
    </w:p>
    <w:p w:rsidR="00C100E9" w:rsidRDefault="00C100E9" w:rsidP="00C100E9">
      <w:pPr>
        <w:jc w:val="both"/>
      </w:pPr>
      <w:r>
        <w:tab/>
      </w:r>
      <w:r>
        <w:tab/>
      </w:r>
    </w:p>
    <w:p w:rsidR="009354B8" w:rsidRPr="005F3BA9" w:rsidRDefault="00EA26DD" w:rsidP="009354B8">
      <w:pPr>
        <w:pStyle w:val="Heading2"/>
      </w:pPr>
      <w:bookmarkStart w:id="243" w:name="_Toc469529220"/>
      <w:bookmarkStart w:id="244" w:name="_Toc477190244"/>
      <w:r w:rsidRPr="005F3BA9">
        <w:lastRenderedPageBreak/>
        <w:t>A4.11</w:t>
      </w:r>
      <w:r w:rsidR="009354B8" w:rsidRPr="005F3BA9">
        <w:t xml:space="preserve"> – Estimation of costs and dogs affected by proposed standard 6.3.12 (Preparing greyhound for retirement/rehoming) – Options 1 to 6</w:t>
      </w:r>
      <w:bookmarkEnd w:id="243"/>
      <w:bookmarkEnd w:id="244"/>
    </w:p>
    <w:p w:rsidR="00C100E9" w:rsidRDefault="00C100E9" w:rsidP="00C100E9">
      <w:pPr>
        <w:jc w:val="both"/>
      </w:pPr>
      <w:r>
        <w:t>Proposed standard 6.3.12 deals with requirements for owners for greyhounds that need to be retired and rehomed.</w:t>
      </w:r>
      <w:r w:rsidR="007B521C">
        <w:t xml:space="preserve"> </w:t>
      </w:r>
      <w:r>
        <w:t>The net cost of this standard is estimated by looking at a comparison between current rehoming through the GAP program (see Panel A4.3) and what is anticipated under the proposed standard (see Panel A4.4)</w:t>
      </w:r>
      <w:r w:rsidR="009354B8">
        <w:t xml:space="preserve"> which </w:t>
      </w:r>
      <w:r w:rsidR="00CB6897">
        <w:t xml:space="preserve">involves </w:t>
      </w:r>
      <w:r w:rsidR="009354B8">
        <w:t xml:space="preserve">placing the responsibility of rehabilitation of greyhounds </w:t>
      </w:r>
      <w:r w:rsidR="00CB6897">
        <w:t xml:space="preserve">on </w:t>
      </w:r>
      <w:r w:rsidR="009354B8">
        <w:t>owners</w:t>
      </w:r>
      <w:r>
        <w:t>.</w:t>
      </w:r>
    </w:p>
    <w:p w:rsidR="00C100E9" w:rsidRDefault="00C100E9" w:rsidP="00C100E9">
      <w:pPr>
        <w:jc w:val="both"/>
      </w:pPr>
    </w:p>
    <w:p w:rsidR="00C100E9" w:rsidRDefault="00C100E9" w:rsidP="00C100E9">
      <w:pPr>
        <w:jc w:val="center"/>
        <w:rPr>
          <w:b/>
          <w:sz w:val="20"/>
        </w:rPr>
      </w:pPr>
      <w:r w:rsidRPr="00CB6897">
        <w:rPr>
          <w:b/>
          <w:sz w:val="20"/>
        </w:rPr>
        <w:t>Panel A4.3: Retirement activity under the base case</w:t>
      </w:r>
    </w:p>
    <w:tbl>
      <w:tblPr>
        <w:tblW w:w="8212" w:type="dxa"/>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1550"/>
        <w:gridCol w:w="1697"/>
        <w:gridCol w:w="1519"/>
        <w:gridCol w:w="1657"/>
        <w:gridCol w:w="1789"/>
      </w:tblGrid>
      <w:tr w:rsidR="0072671D" w:rsidRPr="00B41F6E" w:rsidTr="0072671D">
        <w:trPr>
          <w:trHeight w:val="50"/>
        </w:trPr>
        <w:tc>
          <w:tcPr>
            <w:tcW w:w="1550" w:type="dxa"/>
            <w:shd w:val="clear" w:color="auto" w:fill="DBE5F1" w:themeFill="accent1" w:themeFillTint="33"/>
            <w:noWrap/>
            <w:vAlign w:val="bottom"/>
          </w:tcPr>
          <w:p w:rsidR="0072671D" w:rsidRPr="00BD28C4" w:rsidRDefault="0072671D" w:rsidP="00973C4B">
            <w:pPr>
              <w:rPr>
                <w:rFonts w:eastAsia="Times New Roman" w:cs="Calibri"/>
                <w:b/>
                <w:color w:val="53565A"/>
                <w:sz w:val="20"/>
                <w:lang w:eastAsia="en-AU"/>
              </w:rPr>
            </w:pPr>
            <w:r w:rsidRPr="00BD28C4">
              <w:rPr>
                <w:rFonts w:eastAsia="Times New Roman" w:cs="Calibri"/>
                <w:b/>
                <w:color w:val="53565A"/>
                <w:sz w:val="20"/>
                <w:lang w:eastAsia="en-AU"/>
              </w:rPr>
              <w:t>Base case</w:t>
            </w:r>
          </w:p>
        </w:tc>
        <w:tc>
          <w:tcPr>
            <w:tcW w:w="1697" w:type="dxa"/>
            <w:shd w:val="clear" w:color="auto" w:fill="DBE5F1" w:themeFill="accent1" w:themeFillTint="33"/>
            <w:vAlign w:val="bottom"/>
          </w:tcPr>
          <w:p w:rsidR="0072671D" w:rsidRPr="00BD28C4" w:rsidRDefault="0072671D" w:rsidP="00973C4B">
            <w:pPr>
              <w:jc w:val="center"/>
              <w:rPr>
                <w:rFonts w:eastAsia="Times New Roman" w:cs="Calibri"/>
                <w:color w:val="53565A"/>
                <w:sz w:val="20"/>
                <w:lang w:eastAsia="en-AU"/>
              </w:rPr>
            </w:pPr>
          </w:p>
        </w:tc>
        <w:tc>
          <w:tcPr>
            <w:tcW w:w="1519" w:type="dxa"/>
            <w:shd w:val="clear" w:color="auto" w:fill="DBE5F1" w:themeFill="accent1" w:themeFillTint="33"/>
            <w:vAlign w:val="bottom"/>
          </w:tcPr>
          <w:p w:rsidR="0072671D" w:rsidRPr="00BD28C4" w:rsidRDefault="0072671D" w:rsidP="00973C4B">
            <w:pPr>
              <w:jc w:val="center"/>
              <w:rPr>
                <w:rFonts w:eastAsia="Times New Roman" w:cs="Calibri"/>
                <w:color w:val="53565A"/>
                <w:sz w:val="20"/>
                <w:lang w:eastAsia="en-AU"/>
              </w:rPr>
            </w:pPr>
          </w:p>
        </w:tc>
        <w:tc>
          <w:tcPr>
            <w:tcW w:w="1657" w:type="dxa"/>
            <w:shd w:val="clear" w:color="auto" w:fill="DBE5F1" w:themeFill="accent1" w:themeFillTint="33"/>
            <w:vAlign w:val="bottom"/>
          </w:tcPr>
          <w:p w:rsidR="0072671D" w:rsidRPr="00BD28C4" w:rsidRDefault="0072671D" w:rsidP="00973C4B">
            <w:pPr>
              <w:jc w:val="center"/>
              <w:rPr>
                <w:rFonts w:eastAsia="Times New Roman" w:cs="Calibri"/>
                <w:color w:val="53565A"/>
                <w:sz w:val="20"/>
                <w:lang w:eastAsia="en-AU"/>
              </w:rPr>
            </w:pPr>
          </w:p>
        </w:tc>
        <w:tc>
          <w:tcPr>
            <w:tcW w:w="1789" w:type="dxa"/>
            <w:shd w:val="clear" w:color="auto" w:fill="DBE5F1" w:themeFill="accent1" w:themeFillTint="33"/>
            <w:vAlign w:val="bottom"/>
          </w:tcPr>
          <w:p w:rsidR="0072671D" w:rsidRPr="00BD28C4" w:rsidRDefault="0072671D" w:rsidP="00973C4B">
            <w:pPr>
              <w:jc w:val="center"/>
              <w:rPr>
                <w:rFonts w:eastAsia="Times New Roman" w:cs="Calibri"/>
                <w:color w:val="53565A"/>
                <w:sz w:val="20"/>
                <w:lang w:eastAsia="en-AU"/>
              </w:rPr>
            </w:pPr>
          </w:p>
        </w:tc>
      </w:tr>
      <w:tr w:rsidR="00C100E9" w:rsidRPr="00B41F6E" w:rsidTr="00C357B6">
        <w:trPr>
          <w:trHeight w:val="80"/>
        </w:trPr>
        <w:tc>
          <w:tcPr>
            <w:tcW w:w="1550"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 </w:t>
            </w:r>
          </w:p>
        </w:tc>
        <w:tc>
          <w:tcPr>
            <w:tcW w:w="1697"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No. being retired</w:t>
            </w:r>
          </w:p>
        </w:tc>
        <w:tc>
          <w:tcPr>
            <w:tcW w:w="1519"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789"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 not going to GAP</w:t>
            </w:r>
          </w:p>
        </w:tc>
      </w:tr>
      <w:tr w:rsidR="00C100E9" w:rsidRPr="00B41F6E" w:rsidTr="00C357B6">
        <w:trPr>
          <w:trHeight w:val="80"/>
        </w:trPr>
        <w:tc>
          <w:tcPr>
            <w:tcW w:w="1550"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 xml:space="preserve">Owner to GAP </w:t>
            </w:r>
          </w:p>
        </w:tc>
        <w:tc>
          <w:tcPr>
            <w:tcW w:w="1697"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5,353</w:t>
            </w:r>
          </w:p>
        </w:tc>
        <w:tc>
          <w:tcPr>
            <w:tcW w:w="1519"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4,508</w:t>
            </w:r>
          </w:p>
        </w:tc>
        <w:tc>
          <w:tcPr>
            <w:tcW w:w="1657"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846</w:t>
            </w:r>
          </w:p>
        </w:tc>
        <w:tc>
          <w:tcPr>
            <w:tcW w:w="1789"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84.20%</w:t>
            </w:r>
          </w:p>
        </w:tc>
      </w:tr>
      <w:tr w:rsidR="00C100E9" w:rsidRPr="00B41F6E" w:rsidTr="00CB6897">
        <w:trPr>
          <w:trHeight w:val="127"/>
        </w:trPr>
        <w:tc>
          <w:tcPr>
            <w:tcW w:w="1550"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 </w:t>
            </w:r>
          </w:p>
        </w:tc>
        <w:tc>
          <w:tcPr>
            <w:tcW w:w="1697"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519"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No. euthanased (GAP)</w:t>
            </w:r>
          </w:p>
        </w:tc>
        <w:tc>
          <w:tcPr>
            <w:tcW w:w="1657"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No. being rehomed</w:t>
            </w:r>
          </w:p>
        </w:tc>
        <w:tc>
          <w:tcPr>
            <w:tcW w:w="1789" w:type="dxa"/>
            <w:shd w:val="clear" w:color="auto" w:fill="DBE5F1" w:themeFill="accent1" w:themeFillTint="33"/>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 euthanased by GAP</w:t>
            </w:r>
          </w:p>
        </w:tc>
      </w:tr>
      <w:tr w:rsidR="00C100E9" w:rsidRPr="00B41F6E" w:rsidTr="00CB6897">
        <w:trPr>
          <w:trHeight w:val="315"/>
        </w:trPr>
        <w:tc>
          <w:tcPr>
            <w:tcW w:w="1550"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GAP onwards</w:t>
            </w:r>
          </w:p>
        </w:tc>
        <w:tc>
          <w:tcPr>
            <w:tcW w:w="1697"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846</w:t>
            </w:r>
          </w:p>
        </w:tc>
        <w:tc>
          <w:tcPr>
            <w:tcW w:w="1519"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159</w:t>
            </w:r>
          </w:p>
        </w:tc>
        <w:tc>
          <w:tcPr>
            <w:tcW w:w="1657"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686</w:t>
            </w:r>
          </w:p>
        </w:tc>
        <w:tc>
          <w:tcPr>
            <w:tcW w:w="1789"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18.84%</w:t>
            </w:r>
          </w:p>
        </w:tc>
      </w:tr>
    </w:tbl>
    <w:p w:rsidR="00C100E9" w:rsidRDefault="00C100E9" w:rsidP="00C100E9">
      <w:pPr>
        <w:jc w:val="both"/>
      </w:pPr>
    </w:p>
    <w:p w:rsidR="00C100E9" w:rsidRDefault="00C100E9" w:rsidP="00C100E9">
      <w:pPr>
        <w:jc w:val="center"/>
        <w:rPr>
          <w:b/>
          <w:sz w:val="20"/>
        </w:rPr>
      </w:pPr>
      <w:r w:rsidRPr="00CB6897">
        <w:rPr>
          <w:b/>
          <w:sz w:val="20"/>
        </w:rPr>
        <w:t>Panel A4.4: Retirement activity under proposed standard 6.3.12</w:t>
      </w:r>
      <w:r w:rsidR="00275885" w:rsidRPr="00CB6897">
        <w:rPr>
          <w:b/>
          <w:sz w:val="20"/>
        </w:rPr>
        <w:t xml:space="preserve"> under Options 1 to 6</w:t>
      </w:r>
    </w:p>
    <w:tbl>
      <w:tblPr>
        <w:tblW w:w="8212" w:type="dxa"/>
        <w:tblBorders>
          <w:top w:val="double" w:sz="4" w:space="0" w:color="4F81BD" w:themeColor="accent1"/>
          <w:left w:val="double" w:sz="4" w:space="0" w:color="4F81BD" w:themeColor="accent1"/>
          <w:bottom w:val="double" w:sz="4" w:space="0" w:color="4F81BD" w:themeColor="accent1"/>
          <w:right w:val="double" w:sz="4" w:space="0" w:color="4F81BD" w:themeColor="accent1"/>
        </w:tblBorders>
        <w:tblLook w:val="04A0" w:firstRow="1" w:lastRow="0" w:firstColumn="1" w:lastColumn="0" w:noHBand="0" w:noVBand="1"/>
      </w:tblPr>
      <w:tblGrid>
        <w:gridCol w:w="1550"/>
        <w:gridCol w:w="1697"/>
        <w:gridCol w:w="1519"/>
        <w:gridCol w:w="1657"/>
        <w:gridCol w:w="1789"/>
      </w:tblGrid>
      <w:tr w:rsidR="00275885" w:rsidRPr="00B41F6E" w:rsidTr="00CB6897">
        <w:trPr>
          <w:trHeight w:val="181"/>
        </w:trPr>
        <w:tc>
          <w:tcPr>
            <w:tcW w:w="1550" w:type="dxa"/>
            <w:shd w:val="clear" w:color="auto" w:fill="DBE5F1" w:themeFill="accent1" w:themeFillTint="33"/>
            <w:noWrap/>
            <w:vAlign w:val="bottom"/>
          </w:tcPr>
          <w:p w:rsidR="00275885" w:rsidRPr="00BD28C4" w:rsidRDefault="00275885" w:rsidP="00973C4B">
            <w:pPr>
              <w:rPr>
                <w:rFonts w:eastAsia="Times New Roman" w:cs="Calibri"/>
                <w:b/>
                <w:color w:val="53565A"/>
                <w:sz w:val="20"/>
                <w:lang w:eastAsia="en-AU"/>
              </w:rPr>
            </w:pPr>
            <w:r w:rsidRPr="00BD28C4">
              <w:rPr>
                <w:rFonts w:eastAsia="Times New Roman" w:cs="Calibri"/>
                <w:b/>
                <w:color w:val="53565A"/>
                <w:sz w:val="20"/>
                <w:lang w:eastAsia="en-AU"/>
              </w:rPr>
              <w:t>Option 1</w:t>
            </w:r>
          </w:p>
        </w:tc>
        <w:tc>
          <w:tcPr>
            <w:tcW w:w="1697" w:type="dxa"/>
            <w:shd w:val="clear" w:color="auto" w:fill="DBE5F1" w:themeFill="accent1" w:themeFillTint="33"/>
            <w:vAlign w:val="bottom"/>
          </w:tcPr>
          <w:p w:rsidR="00275885" w:rsidRPr="00BD28C4" w:rsidRDefault="00275885" w:rsidP="00973C4B">
            <w:pPr>
              <w:jc w:val="center"/>
              <w:rPr>
                <w:rFonts w:eastAsia="Times New Roman" w:cs="Calibri"/>
                <w:color w:val="53565A"/>
                <w:sz w:val="20"/>
                <w:lang w:eastAsia="en-AU"/>
              </w:rPr>
            </w:pPr>
          </w:p>
        </w:tc>
        <w:tc>
          <w:tcPr>
            <w:tcW w:w="1519" w:type="dxa"/>
            <w:shd w:val="clear" w:color="auto" w:fill="DBE5F1" w:themeFill="accent1" w:themeFillTint="33"/>
            <w:vAlign w:val="bottom"/>
          </w:tcPr>
          <w:p w:rsidR="00275885" w:rsidRPr="00BD28C4" w:rsidRDefault="00275885" w:rsidP="00973C4B">
            <w:pPr>
              <w:jc w:val="center"/>
              <w:rPr>
                <w:rFonts w:eastAsia="Times New Roman" w:cs="Calibri"/>
                <w:color w:val="53565A"/>
                <w:sz w:val="20"/>
                <w:lang w:eastAsia="en-AU"/>
              </w:rPr>
            </w:pPr>
          </w:p>
        </w:tc>
        <w:tc>
          <w:tcPr>
            <w:tcW w:w="1657" w:type="dxa"/>
            <w:shd w:val="clear" w:color="auto" w:fill="DBE5F1" w:themeFill="accent1" w:themeFillTint="33"/>
            <w:vAlign w:val="bottom"/>
          </w:tcPr>
          <w:p w:rsidR="00275885" w:rsidRPr="00BD28C4" w:rsidRDefault="00275885" w:rsidP="00973C4B">
            <w:pPr>
              <w:jc w:val="center"/>
              <w:rPr>
                <w:rFonts w:eastAsia="Times New Roman" w:cs="Calibri"/>
                <w:color w:val="53565A"/>
                <w:sz w:val="20"/>
                <w:lang w:eastAsia="en-AU"/>
              </w:rPr>
            </w:pPr>
          </w:p>
        </w:tc>
        <w:tc>
          <w:tcPr>
            <w:tcW w:w="1789" w:type="dxa"/>
            <w:shd w:val="clear" w:color="auto" w:fill="DBE5F1" w:themeFill="accent1" w:themeFillTint="33"/>
            <w:vAlign w:val="bottom"/>
          </w:tcPr>
          <w:p w:rsidR="00275885" w:rsidRPr="00BD28C4" w:rsidRDefault="00275885" w:rsidP="00973C4B">
            <w:pPr>
              <w:jc w:val="center"/>
              <w:rPr>
                <w:rFonts w:eastAsia="Times New Roman" w:cs="Calibri"/>
                <w:color w:val="53565A"/>
                <w:sz w:val="20"/>
                <w:lang w:eastAsia="en-AU"/>
              </w:rPr>
            </w:pPr>
          </w:p>
        </w:tc>
      </w:tr>
      <w:tr w:rsidR="00C100E9" w:rsidRPr="00B41F6E" w:rsidTr="00CB6897">
        <w:trPr>
          <w:trHeight w:val="80"/>
        </w:trPr>
        <w:tc>
          <w:tcPr>
            <w:tcW w:w="1550" w:type="dxa"/>
            <w:shd w:val="clear" w:color="auto" w:fill="DBE5F1" w:themeFill="accent1" w:themeFillTint="33"/>
            <w:noWrap/>
            <w:hideMark/>
          </w:tcPr>
          <w:p w:rsidR="00C100E9" w:rsidRPr="00BD28C4" w:rsidRDefault="00C100E9" w:rsidP="00275885">
            <w:pPr>
              <w:jc w:val="center"/>
              <w:rPr>
                <w:rFonts w:eastAsia="Times New Roman" w:cs="Calibri"/>
                <w:color w:val="53565A"/>
                <w:sz w:val="20"/>
                <w:lang w:eastAsia="en-AU"/>
              </w:rPr>
            </w:pPr>
          </w:p>
        </w:tc>
        <w:tc>
          <w:tcPr>
            <w:tcW w:w="1697"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retired</w:t>
            </w:r>
          </w:p>
        </w:tc>
        <w:tc>
          <w:tcPr>
            <w:tcW w:w="1519"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789"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 not going to GAP</w:t>
            </w:r>
          </w:p>
        </w:tc>
      </w:tr>
      <w:tr w:rsidR="00462118" w:rsidRPr="00B41F6E" w:rsidTr="00CB6897">
        <w:trPr>
          <w:trHeight w:val="300"/>
        </w:trPr>
        <w:tc>
          <w:tcPr>
            <w:tcW w:w="1550" w:type="dxa"/>
            <w:shd w:val="clear" w:color="auto" w:fill="DBE5F1" w:themeFill="accent1" w:themeFillTint="33"/>
            <w:noWrap/>
            <w:hideMark/>
          </w:tcPr>
          <w:p w:rsidR="00462118" w:rsidRPr="00BD28C4" w:rsidRDefault="00462118" w:rsidP="00462118">
            <w:pPr>
              <w:jc w:val="center"/>
              <w:rPr>
                <w:rFonts w:eastAsia="Times New Roman" w:cs="Calibri"/>
                <w:color w:val="53565A"/>
                <w:sz w:val="20"/>
                <w:lang w:eastAsia="en-AU"/>
              </w:rPr>
            </w:pPr>
            <w:r w:rsidRPr="00BD28C4">
              <w:rPr>
                <w:rFonts w:eastAsia="Times New Roman" w:cs="Calibri"/>
                <w:color w:val="53565A"/>
                <w:sz w:val="20"/>
                <w:lang w:eastAsia="en-AU"/>
              </w:rPr>
              <w:t>Owner to GAP</w:t>
            </w:r>
          </w:p>
        </w:tc>
        <w:tc>
          <w:tcPr>
            <w:tcW w:w="1697" w:type="dxa"/>
            <w:shd w:val="clear" w:color="auto" w:fill="DBE5F1" w:themeFill="accent1" w:themeFillTint="33"/>
            <w:hideMark/>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5,353</w:t>
            </w:r>
          </w:p>
        </w:tc>
        <w:tc>
          <w:tcPr>
            <w:tcW w:w="1519" w:type="dxa"/>
            <w:shd w:val="clear" w:color="auto" w:fill="DBE5F1" w:themeFill="accent1" w:themeFillTint="33"/>
            <w:noWrap/>
            <w:hideMark/>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4,346</w:t>
            </w:r>
          </w:p>
        </w:tc>
        <w:tc>
          <w:tcPr>
            <w:tcW w:w="1657" w:type="dxa"/>
            <w:shd w:val="clear" w:color="auto" w:fill="DBE5F1" w:themeFill="accent1" w:themeFillTint="33"/>
            <w:noWrap/>
            <w:hideMark/>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1,008</w:t>
            </w:r>
          </w:p>
        </w:tc>
        <w:tc>
          <w:tcPr>
            <w:tcW w:w="1789" w:type="dxa"/>
            <w:shd w:val="clear" w:color="auto" w:fill="DBE5F1" w:themeFill="accent1" w:themeFillTint="33"/>
            <w:noWrap/>
            <w:hideMark/>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81.18%</w:t>
            </w:r>
            <w:r w:rsidRPr="00BD28C4">
              <w:rPr>
                <w:rStyle w:val="FootnoteReference"/>
                <w:color w:val="53565A"/>
                <w:sz w:val="20"/>
                <w:szCs w:val="20"/>
              </w:rPr>
              <w:footnoteReference w:id="180"/>
            </w:r>
          </w:p>
        </w:tc>
      </w:tr>
      <w:tr w:rsidR="00C100E9" w:rsidRPr="00B41F6E" w:rsidTr="00CB6897">
        <w:trPr>
          <w:trHeight w:val="127"/>
        </w:trPr>
        <w:tc>
          <w:tcPr>
            <w:tcW w:w="1550" w:type="dxa"/>
            <w:shd w:val="clear" w:color="auto" w:fill="DBE5F1" w:themeFill="accent1" w:themeFillTint="33"/>
            <w:noWrap/>
            <w:hideMark/>
          </w:tcPr>
          <w:p w:rsidR="00C100E9" w:rsidRPr="00BD28C4" w:rsidRDefault="00C100E9" w:rsidP="00275885">
            <w:pPr>
              <w:jc w:val="center"/>
              <w:rPr>
                <w:rFonts w:eastAsia="Times New Roman" w:cs="Calibri"/>
                <w:color w:val="53565A"/>
                <w:sz w:val="20"/>
                <w:lang w:eastAsia="en-AU"/>
              </w:rPr>
            </w:pPr>
          </w:p>
        </w:tc>
        <w:tc>
          <w:tcPr>
            <w:tcW w:w="1697"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519"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No. euthanased (GAP)</w:t>
            </w:r>
          </w:p>
        </w:tc>
        <w:tc>
          <w:tcPr>
            <w:tcW w:w="1657"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rehomed</w:t>
            </w:r>
          </w:p>
        </w:tc>
        <w:tc>
          <w:tcPr>
            <w:tcW w:w="1789" w:type="dxa"/>
            <w:shd w:val="clear" w:color="auto" w:fill="DBE5F1" w:themeFill="accent1" w:themeFillTint="33"/>
            <w:hideMark/>
          </w:tcPr>
          <w:p w:rsidR="00C100E9" w:rsidRPr="00BD28C4" w:rsidRDefault="00C100E9" w:rsidP="00275885">
            <w:pPr>
              <w:jc w:val="center"/>
              <w:rPr>
                <w:rFonts w:eastAsia="Times New Roman" w:cs="Calibri"/>
                <w:color w:val="53565A"/>
                <w:sz w:val="20"/>
                <w:lang w:eastAsia="en-AU"/>
              </w:rPr>
            </w:pPr>
            <w:r w:rsidRPr="00BD28C4">
              <w:rPr>
                <w:rFonts w:eastAsia="Times New Roman" w:cs="Calibri"/>
                <w:color w:val="53565A"/>
                <w:sz w:val="20"/>
                <w:lang w:eastAsia="en-AU"/>
              </w:rPr>
              <w:t>% euthanased by GAP</w:t>
            </w:r>
          </w:p>
        </w:tc>
      </w:tr>
      <w:tr w:rsidR="00462118" w:rsidRPr="00B41F6E" w:rsidTr="00CB6897">
        <w:trPr>
          <w:trHeight w:val="50"/>
        </w:trPr>
        <w:tc>
          <w:tcPr>
            <w:tcW w:w="1550" w:type="dxa"/>
            <w:shd w:val="clear" w:color="auto" w:fill="DBE5F1" w:themeFill="accent1" w:themeFillTint="33"/>
            <w:noWrap/>
            <w:hideMark/>
          </w:tcPr>
          <w:p w:rsidR="00462118" w:rsidRPr="00BD28C4" w:rsidRDefault="00462118" w:rsidP="00462118">
            <w:pPr>
              <w:jc w:val="center"/>
              <w:rPr>
                <w:rFonts w:eastAsia="Times New Roman" w:cs="Calibri"/>
                <w:color w:val="53565A"/>
                <w:sz w:val="20"/>
                <w:lang w:eastAsia="en-AU"/>
              </w:rPr>
            </w:pPr>
            <w:r w:rsidRPr="00BD28C4">
              <w:rPr>
                <w:rFonts w:eastAsia="Times New Roman" w:cs="Calibri"/>
                <w:color w:val="53565A"/>
                <w:sz w:val="20"/>
                <w:lang w:eastAsia="en-AU"/>
              </w:rPr>
              <w:t>GAP onwards</w:t>
            </w:r>
          </w:p>
        </w:tc>
        <w:tc>
          <w:tcPr>
            <w:tcW w:w="1697" w:type="dxa"/>
            <w:shd w:val="clear" w:color="auto" w:fill="DBE5F1" w:themeFill="accent1" w:themeFillTint="33"/>
            <w:noWrap/>
            <w:hideMark/>
          </w:tcPr>
          <w:p w:rsidR="00462118" w:rsidRPr="00BD28C4" w:rsidRDefault="00462118" w:rsidP="00462118">
            <w:pPr>
              <w:jc w:val="center"/>
              <w:rPr>
                <w:rFonts w:eastAsia="Times New Roman" w:cs="Calibri"/>
                <w:color w:val="53565A"/>
                <w:sz w:val="18"/>
                <w:szCs w:val="18"/>
                <w:lang w:eastAsia="en-AU"/>
              </w:rPr>
            </w:pPr>
            <w:r w:rsidRPr="00BD28C4">
              <w:rPr>
                <w:color w:val="53565A"/>
                <w:sz w:val="18"/>
                <w:szCs w:val="18"/>
              </w:rPr>
              <w:t>1,008</w:t>
            </w:r>
          </w:p>
        </w:tc>
        <w:tc>
          <w:tcPr>
            <w:tcW w:w="1519" w:type="dxa"/>
            <w:shd w:val="clear" w:color="auto" w:fill="DBE5F1" w:themeFill="accent1" w:themeFillTint="33"/>
            <w:noWrap/>
            <w:hideMark/>
          </w:tcPr>
          <w:p w:rsidR="00462118" w:rsidRPr="00BD28C4" w:rsidRDefault="00462118" w:rsidP="00462118">
            <w:pPr>
              <w:jc w:val="center"/>
              <w:rPr>
                <w:rFonts w:eastAsia="Times New Roman" w:cs="Calibri"/>
                <w:color w:val="53565A"/>
                <w:sz w:val="18"/>
                <w:szCs w:val="18"/>
                <w:lang w:eastAsia="en-AU"/>
              </w:rPr>
            </w:pPr>
            <w:r w:rsidRPr="00BD28C4">
              <w:rPr>
                <w:color w:val="53565A"/>
                <w:sz w:val="18"/>
                <w:szCs w:val="18"/>
              </w:rPr>
              <w:t>10</w:t>
            </w:r>
          </w:p>
        </w:tc>
        <w:tc>
          <w:tcPr>
            <w:tcW w:w="1657" w:type="dxa"/>
            <w:shd w:val="clear" w:color="auto" w:fill="DBE5F1" w:themeFill="accent1" w:themeFillTint="33"/>
            <w:noWrap/>
            <w:hideMark/>
          </w:tcPr>
          <w:p w:rsidR="00462118" w:rsidRPr="00BD28C4" w:rsidRDefault="00462118" w:rsidP="00462118">
            <w:pPr>
              <w:jc w:val="center"/>
              <w:rPr>
                <w:rFonts w:eastAsia="Times New Roman" w:cs="Calibri"/>
                <w:color w:val="53565A"/>
                <w:sz w:val="18"/>
                <w:szCs w:val="18"/>
                <w:lang w:eastAsia="en-AU"/>
              </w:rPr>
            </w:pPr>
            <w:r w:rsidRPr="00BD28C4">
              <w:rPr>
                <w:color w:val="53565A"/>
                <w:sz w:val="18"/>
                <w:szCs w:val="18"/>
              </w:rPr>
              <w:t>997</w:t>
            </w:r>
          </w:p>
        </w:tc>
        <w:tc>
          <w:tcPr>
            <w:tcW w:w="1789" w:type="dxa"/>
            <w:shd w:val="clear" w:color="auto" w:fill="DBE5F1" w:themeFill="accent1" w:themeFillTint="33"/>
            <w:noWrap/>
            <w:hideMark/>
          </w:tcPr>
          <w:p w:rsidR="00462118" w:rsidRPr="00BD28C4" w:rsidRDefault="00462118" w:rsidP="00462118">
            <w:pPr>
              <w:jc w:val="center"/>
              <w:rPr>
                <w:rFonts w:eastAsia="Times New Roman" w:cs="Calibri"/>
                <w:color w:val="53565A"/>
                <w:sz w:val="18"/>
                <w:szCs w:val="18"/>
                <w:lang w:eastAsia="en-AU"/>
              </w:rPr>
            </w:pPr>
            <w:r w:rsidRPr="00BD28C4">
              <w:rPr>
                <w:color w:val="53565A"/>
                <w:sz w:val="18"/>
                <w:szCs w:val="18"/>
              </w:rPr>
              <w:t>1.00%</w:t>
            </w:r>
          </w:p>
        </w:tc>
      </w:tr>
      <w:tr w:rsidR="00275885" w:rsidRPr="00B41F6E" w:rsidTr="00CB6897">
        <w:trPr>
          <w:trHeight w:val="50"/>
        </w:trPr>
        <w:tc>
          <w:tcPr>
            <w:tcW w:w="1550" w:type="dxa"/>
            <w:tcBorders>
              <w:top w:val="single" w:sz="4" w:space="0" w:color="1F497D" w:themeColor="text2"/>
            </w:tcBorders>
            <w:shd w:val="clear" w:color="auto" w:fill="DBE5F1" w:themeFill="accent1" w:themeFillTint="33"/>
            <w:noWrap/>
            <w:vAlign w:val="bottom"/>
          </w:tcPr>
          <w:p w:rsidR="00275885" w:rsidRPr="00BD28C4" w:rsidRDefault="00275885" w:rsidP="00973C4B">
            <w:pPr>
              <w:rPr>
                <w:rFonts w:eastAsia="Times New Roman" w:cs="Calibri"/>
                <w:b/>
                <w:color w:val="53565A"/>
                <w:sz w:val="20"/>
                <w:lang w:eastAsia="en-AU"/>
              </w:rPr>
            </w:pPr>
            <w:r w:rsidRPr="00BD28C4">
              <w:rPr>
                <w:rFonts w:eastAsia="Times New Roman" w:cs="Calibri"/>
                <w:b/>
                <w:color w:val="53565A"/>
                <w:sz w:val="20"/>
                <w:lang w:eastAsia="en-AU"/>
              </w:rPr>
              <w:t>Option 2</w:t>
            </w:r>
          </w:p>
        </w:tc>
        <w:tc>
          <w:tcPr>
            <w:tcW w:w="169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51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65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78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retired</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not going to GAP</w:t>
            </w:r>
          </w:p>
        </w:tc>
      </w:tr>
      <w:tr w:rsidR="00462118" w:rsidRPr="00B41F6E" w:rsidTr="00CB6897">
        <w:trPr>
          <w:trHeight w:val="50"/>
        </w:trPr>
        <w:tc>
          <w:tcPr>
            <w:tcW w:w="1550"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Owner to GAP</w:t>
            </w:r>
          </w:p>
        </w:tc>
        <w:tc>
          <w:tcPr>
            <w:tcW w:w="1697"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5,353</w:t>
            </w:r>
          </w:p>
        </w:tc>
        <w:tc>
          <w:tcPr>
            <w:tcW w:w="1519"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3,442</w:t>
            </w:r>
          </w:p>
        </w:tc>
        <w:tc>
          <w:tcPr>
            <w:tcW w:w="1657"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1,912</w:t>
            </w:r>
          </w:p>
        </w:tc>
        <w:tc>
          <w:tcPr>
            <w:tcW w:w="1789"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64.29%</w:t>
            </w:r>
            <w:r w:rsidRPr="00BD28C4">
              <w:rPr>
                <w:rStyle w:val="FootnoteReference"/>
                <w:color w:val="53565A"/>
                <w:sz w:val="20"/>
              </w:rPr>
              <w:footnoteReference w:id="181"/>
            </w: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euthanased (GAP)</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rehomed</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euthanased by GAP</w:t>
            </w:r>
          </w:p>
        </w:tc>
      </w:tr>
      <w:tr w:rsidR="00462118" w:rsidRPr="00B41F6E" w:rsidTr="00CB6897">
        <w:trPr>
          <w:trHeight w:val="50"/>
        </w:trPr>
        <w:tc>
          <w:tcPr>
            <w:tcW w:w="1550"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GAP onwards</w:t>
            </w:r>
          </w:p>
        </w:tc>
        <w:tc>
          <w:tcPr>
            <w:tcW w:w="1697"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1,912</w:t>
            </w:r>
          </w:p>
        </w:tc>
        <w:tc>
          <w:tcPr>
            <w:tcW w:w="1519"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19</w:t>
            </w:r>
          </w:p>
        </w:tc>
        <w:tc>
          <w:tcPr>
            <w:tcW w:w="1657"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1,893</w:t>
            </w:r>
          </w:p>
        </w:tc>
        <w:tc>
          <w:tcPr>
            <w:tcW w:w="1789" w:type="dxa"/>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1.00%</w:t>
            </w:r>
          </w:p>
        </w:tc>
      </w:tr>
      <w:tr w:rsidR="00275885" w:rsidRPr="00B41F6E" w:rsidTr="00CB6897">
        <w:trPr>
          <w:trHeight w:val="50"/>
        </w:trPr>
        <w:tc>
          <w:tcPr>
            <w:tcW w:w="1550" w:type="dxa"/>
            <w:tcBorders>
              <w:top w:val="single" w:sz="4" w:space="0" w:color="1F497D" w:themeColor="text2"/>
            </w:tcBorders>
            <w:shd w:val="clear" w:color="auto" w:fill="DBE5F1" w:themeFill="accent1" w:themeFillTint="33"/>
            <w:noWrap/>
            <w:vAlign w:val="bottom"/>
          </w:tcPr>
          <w:p w:rsidR="00275885" w:rsidRPr="00BD28C4" w:rsidRDefault="00275885" w:rsidP="00973C4B">
            <w:pPr>
              <w:rPr>
                <w:rFonts w:eastAsia="Times New Roman" w:cs="Calibri"/>
                <w:b/>
                <w:color w:val="53565A"/>
                <w:sz w:val="20"/>
                <w:lang w:eastAsia="en-AU"/>
              </w:rPr>
            </w:pPr>
            <w:r w:rsidRPr="00BD28C4">
              <w:rPr>
                <w:rFonts w:eastAsia="Times New Roman" w:cs="Calibri"/>
                <w:b/>
                <w:color w:val="53565A"/>
                <w:sz w:val="20"/>
                <w:lang w:eastAsia="en-AU"/>
              </w:rPr>
              <w:t>Options 3</w:t>
            </w:r>
            <w:r w:rsidR="00582F0D" w:rsidRPr="00BD28C4">
              <w:rPr>
                <w:rFonts w:eastAsia="Times New Roman" w:cs="Calibri"/>
                <w:b/>
                <w:color w:val="53565A"/>
                <w:sz w:val="20"/>
                <w:lang w:eastAsia="en-AU"/>
              </w:rPr>
              <w:t xml:space="preserve"> and </w:t>
            </w:r>
            <w:r w:rsidRPr="00BD28C4">
              <w:rPr>
                <w:rFonts w:eastAsia="Times New Roman" w:cs="Calibri"/>
                <w:b/>
                <w:color w:val="53565A"/>
                <w:sz w:val="20"/>
                <w:lang w:eastAsia="en-AU"/>
              </w:rPr>
              <w:t>5</w:t>
            </w:r>
          </w:p>
        </w:tc>
        <w:tc>
          <w:tcPr>
            <w:tcW w:w="169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51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65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78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retired</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not going to GAP</w:t>
            </w: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r w:rsidRPr="00BD28C4">
              <w:rPr>
                <w:rFonts w:eastAsia="Times New Roman" w:cs="Calibri"/>
                <w:color w:val="53565A"/>
                <w:sz w:val="20"/>
                <w:lang w:eastAsia="en-AU"/>
              </w:rPr>
              <w:t>Owner to GAP</w:t>
            </w: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5,353</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428</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4,925</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8.00%</w:t>
            </w:r>
            <w:r w:rsidR="002C7707" w:rsidRPr="00BD28C4">
              <w:rPr>
                <w:rStyle w:val="FootnoteReference"/>
                <w:rFonts w:eastAsia="Times New Roman" w:cs="Calibri"/>
                <w:color w:val="53565A"/>
                <w:sz w:val="20"/>
                <w:lang w:eastAsia="en-AU"/>
              </w:rPr>
              <w:footnoteReference w:id="182"/>
            </w: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euthanased (GAP)</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rehomed</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euthanased by GAP</w:t>
            </w: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r w:rsidRPr="00BD28C4">
              <w:rPr>
                <w:rFonts w:eastAsia="Times New Roman" w:cs="Calibri"/>
                <w:color w:val="53565A"/>
                <w:sz w:val="20"/>
                <w:lang w:eastAsia="en-AU"/>
              </w:rPr>
              <w:t>GAP onwards</w:t>
            </w: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4,925</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49</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4,876</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1.00%</w:t>
            </w:r>
          </w:p>
        </w:tc>
      </w:tr>
      <w:tr w:rsidR="00275885" w:rsidRPr="00B41F6E" w:rsidTr="00CB6897">
        <w:trPr>
          <w:trHeight w:val="50"/>
        </w:trPr>
        <w:tc>
          <w:tcPr>
            <w:tcW w:w="1550" w:type="dxa"/>
            <w:tcBorders>
              <w:top w:val="single" w:sz="4" w:space="0" w:color="1F497D" w:themeColor="text2"/>
            </w:tcBorders>
            <w:shd w:val="clear" w:color="auto" w:fill="DBE5F1" w:themeFill="accent1" w:themeFillTint="33"/>
            <w:noWrap/>
            <w:vAlign w:val="bottom"/>
          </w:tcPr>
          <w:p w:rsidR="00275885" w:rsidRPr="00BD28C4" w:rsidRDefault="00275885" w:rsidP="00973C4B">
            <w:pPr>
              <w:rPr>
                <w:rFonts w:eastAsia="Times New Roman" w:cs="Calibri"/>
                <w:b/>
                <w:color w:val="53565A"/>
                <w:sz w:val="20"/>
                <w:lang w:eastAsia="en-AU"/>
              </w:rPr>
            </w:pPr>
            <w:r w:rsidRPr="00BD28C4">
              <w:rPr>
                <w:rFonts w:eastAsia="Times New Roman" w:cs="Calibri"/>
                <w:b/>
                <w:color w:val="53565A"/>
                <w:sz w:val="20"/>
                <w:lang w:eastAsia="en-AU"/>
              </w:rPr>
              <w:t>Option 4</w:t>
            </w:r>
          </w:p>
        </w:tc>
        <w:tc>
          <w:tcPr>
            <w:tcW w:w="169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51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657"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c>
          <w:tcPr>
            <w:tcW w:w="1789" w:type="dxa"/>
            <w:tcBorders>
              <w:top w:val="single" w:sz="4" w:space="0" w:color="1F497D" w:themeColor="text2"/>
            </w:tcBorders>
            <w:shd w:val="clear" w:color="auto" w:fill="DBE5F1" w:themeFill="accent1" w:themeFillTint="33"/>
            <w:noWrap/>
            <w:vAlign w:val="bottom"/>
          </w:tcPr>
          <w:p w:rsidR="00275885" w:rsidRPr="00BD28C4" w:rsidRDefault="00275885" w:rsidP="00973C4B">
            <w:pPr>
              <w:jc w:val="center"/>
              <w:rPr>
                <w:rFonts w:eastAsia="Times New Roman" w:cs="Calibri"/>
                <w:color w:val="53565A"/>
                <w:sz w:val="20"/>
                <w:lang w:eastAsia="en-AU"/>
              </w:rPr>
            </w:pP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retired</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not going to GAP</w:t>
            </w:r>
          </w:p>
        </w:tc>
      </w:tr>
      <w:tr w:rsidR="00462118" w:rsidRPr="00B41F6E" w:rsidTr="00CB6897">
        <w:trPr>
          <w:trHeight w:val="50"/>
        </w:trPr>
        <w:tc>
          <w:tcPr>
            <w:tcW w:w="1550" w:type="dxa"/>
            <w:shd w:val="clear" w:color="auto" w:fill="DBE5F1" w:themeFill="accent1" w:themeFillTint="33"/>
            <w:noWrap/>
          </w:tcPr>
          <w:p w:rsidR="00462118" w:rsidRPr="00BD28C4" w:rsidRDefault="00462118" w:rsidP="00462118">
            <w:pPr>
              <w:rPr>
                <w:rFonts w:eastAsia="Times New Roman" w:cs="Calibri"/>
                <w:color w:val="53565A"/>
                <w:sz w:val="20"/>
                <w:lang w:eastAsia="en-AU"/>
              </w:rPr>
            </w:pPr>
            <w:r w:rsidRPr="00BD28C4">
              <w:rPr>
                <w:rFonts w:eastAsia="Times New Roman" w:cs="Calibri"/>
                <w:color w:val="53565A"/>
                <w:sz w:val="20"/>
                <w:lang w:eastAsia="en-AU"/>
              </w:rPr>
              <w:t>Owner to GAP</w:t>
            </w:r>
          </w:p>
        </w:tc>
        <w:tc>
          <w:tcPr>
            <w:tcW w:w="1697" w:type="dxa"/>
            <w:shd w:val="clear" w:color="auto" w:fill="DBE5F1" w:themeFill="accent1" w:themeFillTint="33"/>
            <w:noWrap/>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5,353</w:t>
            </w:r>
          </w:p>
        </w:tc>
        <w:tc>
          <w:tcPr>
            <w:tcW w:w="1519" w:type="dxa"/>
            <w:shd w:val="clear" w:color="auto" w:fill="DBE5F1" w:themeFill="accent1" w:themeFillTint="33"/>
            <w:noWrap/>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1,935</w:t>
            </w:r>
          </w:p>
        </w:tc>
        <w:tc>
          <w:tcPr>
            <w:tcW w:w="1657" w:type="dxa"/>
            <w:shd w:val="clear" w:color="auto" w:fill="DBE5F1" w:themeFill="accent1" w:themeFillTint="33"/>
            <w:noWrap/>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3,418</w:t>
            </w:r>
          </w:p>
        </w:tc>
        <w:tc>
          <w:tcPr>
            <w:tcW w:w="1789" w:type="dxa"/>
            <w:shd w:val="clear" w:color="auto" w:fill="DBE5F1" w:themeFill="accent1" w:themeFillTint="33"/>
            <w:noWrap/>
          </w:tcPr>
          <w:p w:rsidR="00462118" w:rsidRPr="00BD28C4" w:rsidRDefault="00462118" w:rsidP="00462118">
            <w:pPr>
              <w:jc w:val="center"/>
              <w:rPr>
                <w:rFonts w:eastAsia="Times New Roman" w:cs="Calibri"/>
                <w:color w:val="53565A"/>
                <w:sz w:val="20"/>
                <w:szCs w:val="20"/>
                <w:lang w:eastAsia="en-AU"/>
              </w:rPr>
            </w:pPr>
            <w:r w:rsidRPr="00BD28C4">
              <w:rPr>
                <w:color w:val="53565A"/>
                <w:sz w:val="20"/>
                <w:szCs w:val="20"/>
              </w:rPr>
              <w:t>36.15%</w:t>
            </w:r>
            <w:r w:rsidRPr="00BD28C4">
              <w:rPr>
                <w:rStyle w:val="FootnoteReference"/>
                <w:color w:val="53565A"/>
                <w:sz w:val="20"/>
                <w:szCs w:val="20"/>
              </w:rPr>
              <w:footnoteReference w:id="183"/>
            </w:r>
          </w:p>
        </w:tc>
      </w:tr>
      <w:tr w:rsidR="00275885" w:rsidRPr="00B41F6E" w:rsidTr="00CB6897">
        <w:trPr>
          <w:trHeight w:val="50"/>
        </w:trPr>
        <w:tc>
          <w:tcPr>
            <w:tcW w:w="1550" w:type="dxa"/>
            <w:shd w:val="clear" w:color="auto" w:fill="DBE5F1" w:themeFill="accent1" w:themeFillTint="33"/>
            <w:noWrap/>
          </w:tcPr>
          <w:p w:rsidR="00275885" w:rsidRPr="00BD28C4" w:rsidRDefault="00275885" w:rsidP="00275885">
            <w:pPr>
              <w:rPr>
                <w:rFonts w:eastAsia="Times New Roman" w:cs="Calibri"/>
                <w:color w:val="53565A"/>
                <w:sz w:val="20"/>
                <w:lang w:eastAsia="en-AU"/>
              </w:rPr>
            </w:pPr>
          </w:p>
        </w:tc>
        <w:tc>
          <w:tcPr>
            <w:tcW w:w="169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going to GAP</w:t>
            </w:r>
          </w:p>
        </w:tc>
        <w:tc>
          <w:tcPr>
            <w:tcW w:w="151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euthanased (GAP)</w:t>
            </w:r>
          </w:p>
        </w:tc>
        <w:tc>
          <w:tcPr>
            <w:tcW w:w="1657"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No. being rehomed</w:t>
            </w:r>
          </w:p>
        </w:tc>
        <w:tc>
          <w:tcPr>
            <w:tcW w:w="1789" w:type="dxa"/>
            <w:shd w:val="clear" w:color="auto" w:fill="DBE5F1" w:themeFill="accent1" w:themeFillTint="33"/>
            <w:noWrap/>
          </w:tcPr>
          <w:p w:rsidR="00275885" w:rsidRPr="00BD28C4" w:rsidRDefault="00275885" w:rsidP="00275885">
            <w:pPr>
              <w:jc w:val="center"/>
              <w:rPr>
                <w:rFonts w:eastAsia="Times New Roman" w:cs="Calibri"/>
                <w:color w:val="53565A"/>
                <w:sz w:val="20"/>
                <w:lang w:eastAsia="en-AU"/>
              </w:rPr>
            </w:pPr>
            <w:r w:rsidRPr="00BD28C4">
              <w:rPr>
                <w:rFonts w:eastAsia="Times New Roman" w:cs="Calibri"/>
                <w:color w:val="53565A"/>
                <w:sz w:val="20"/>
                <w:lang w:eastAsia="en-AU"/>
              </w:rPr>
              <w:t>% euthanased by GAP</w:t>
            </w:r>
          </w:p>
        </w:tc>
      </w:tr>
      <w:tr w:rsidR="00462118" w:rsidRPr="00B41F6E" w:rsidTr="00582F0D">
        <w:trPr>
          <w:trHeight w:val="50"/>
        </w:trPr>
        <w:tc>
          <w:tcPr>
            <w:tcW w:w="1550" w:type="dxa"/>
            <w:tcBorders>
              <w:bottom w:val="single" w:sz="4" w:space="0" w:color="244061" w:themeColor="accent1" w:themeShade="80"/>
            </w:tcBorders>
            <w:shd w:val="clear" w:color="auto" w:fill="DBE5F1" w:themeFill="accent1" w:themeFillTint="33"/>
            <w:noWrap/>
          </w:tcPr>
          <w:p w:rsidR="00462118" w:rsidRPr="00BD28C4" w:rsidRDefault="00462118" w:rsidP="00462118">
            <w:pPr>
              <w:rPr>
                <w:rFonts w:eastAsia="Times New Roman" w:cs="Calibri"/>
                <w:color w:val="53565A"/>
                <w:sz w:val="20"/>
                <w:lang w:eastAsia="en-AU"/>
              </w:rPr>
            </w:pPr>
            <w:r w:rsidRPr="00BD28C4">
              <w:rPr>
                <w:rFonts w:eastAsia="Times New Roman" w:cs="Calibri"/>
                <w:color w:val="53565A"/>
                <w:sz w:val="20"/>
                <w:lang w:eastAsia="en-AU"/>
              </w:rPr>
              <w:t>GAP onwards</w:t>
            </w:r>
          </w:p>
        </w:tc>
        <w:tc>
          <w:tcPr>
            <w:tcW w:w="1697" w:type="dxa"/>
            <w:tcBorders>
              <w:bottom w:val="single" w:sz="4" w:space="0" w:color="244061" w:themeColor="accent1" w:themeShade="80"/>
            </w:tcBorders>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3,418</w:t>
            </w:r>
          </w:p>
        </w:tc>
        <w:tc>
          <w:tcPr>
            <w:tcW w:w="1519" w:type="dxa"/>
            <w:tcBorders>
              <w:bottom w:val="single" w:sz="4" w:space="0" w:color="244061" w:themeColor="accent1" w:themeShade="80"/>
            </w:tcBorders>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34</w:t>
            </w:r>
          </w:p>
        </w:tc>
        <w:tc>
          <w:tcPr>
            <w:tcW w:w="1657" w:type="dxa"/>
            <w:tcBorders>
              <w:bottom w:val="single" w:sz="4" w:space="0" w:color="244061" w:themeColor="accent1" w:themeShade="80"/>
            </w:tcBorders>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3,384</w:t>
            </w:r>
          </w:p>
        </w:tc>
        <w:tc>
          <w:tcPr>
            <w:tcW w:w="1789" w:type="dxa"/>
            <w:tcBorders>
              <w:bottom w:val="single" w:sz="4" w:space="0" w:color="244061" w:themeColor="accent1" w:themeShade="80"/>
            </w:tcBorders>
            <w:shd w:val="clear" w:color="auto" w:fill="DBE5F1" w:themeFill="accent1" w:themeFillTint="33"/>
            <w:noWrap/>
          </w:tcPr>
          <w:p w:rsidR="00462118" w:rsidRPr="00BD28C4" w:rsidRDefault="00462118" w:rsidP="00462118">
            <w:pPr>
              <w:jc w:val="center"/>
              <w:rPr>
                <w:rFonts w:eastAsia="Times New Roman" w:cs="Calibri"/>
                <w:color w:val="53565A"/>
                <w:sz w:val="20"/>
                <w:lang w:eastAsia="en-AU"/>
              </w:rPr>
            </w:pPr>
            <w:r w:rsidRPr="00BD28C4">
              <w:rPr>
                <w:color w:val="53565A"/>
                <w:sz w:val="20"/>
              </w:rPr>
              <w:t>1.00%</w:t>
            </w:r>
          </w:p>
        </w:tc>
      </w:tr>
      <w:tr w:rsidR="00582F0D" w:rsidRPr="00B41F6E" w:rsidTr="00C357B6">
        <w:trPr>
          <w:trHeight w:val="50"/>
        </w:trPr>
        <w:tc>
          <w:tcPr>
            <w:tcW w:w="1550" w:type="dxa"/>
            <w:tcBorders>
              <w:top w:val="single" w:sz="4" w:space="0" w:color="244061" w:themeColor="accent1" w:themeShade="80"/>
            </w:tcBorders>
            <w:shd w:val="clear" w:color="auto" w:fill="DBE5F1" w:themeFill="accent1" w:themeFillTint="33"/>
            <w:noWrap/>
            <w:vAlign w:val="bottom"/>
          </w:tcPr>
          <w:p w:rsidR="00582F0D" w:rsidRPr="00BD28C4" w:rsidRDefault="00582F0D" w:rsidP="00582F0D">
            <w:pPr>
              <w:rPr>
                <w:rFonts w:eastAsia="Times New Roman" w:cs="Calibri"/>
                <w:color w:val="53565A"/>
                <w:sz w:val="20"/>
                <w:lang w:eastAsia="en-AU"/>
              </w:rPr>
            </w:pPr>
            <w:r w:rsidRPr="00BD28C4">
              <w:rPr>
                <w:rFonts w:eastAsia="Times New Roman" w:cs="Calibri"/>
                <w:b/>
                <w:color w:val="53565A"/>
                <w:sz w:val="20"/>
                <w:lang w:eastAsia="en-AU"/>
              </w:rPr>
              <w:t>Option 6</w:t>
            </w:r>
          </w:p>
        </w:tc>
        <w:tc>
          <w:tcPr>
            <w:tcW w:w="1697" w:type="dxa"/>
            <w:tcBorders>
              <w:top w:val="single" w:sz="4" w:space="0" w:color="244061" w:themeColor="accent1" w:themeShade="80"/>
            </w:tcBorders>
            <w:shd w:val="clear" w:color="auto" w:fill="DBE5F1" w:themeFill="accent1" w:themeFillTint="33"/>
            <w:noWrap/>
            <w:vAlign w:val="bottom"/>
          </w:tcPr>
          <w:p w:rsidR="00582F0D" w:rsidRPr="00BD28C4" w:rsidRDefault="00582F0D" w:rsidP="00582F0D">
            <w:pPr>
              <w:jc w:val="center"/>
              <w:rPr>
                <w:color w:val="53565A"/>
                <w:sz w:val="20"/>
              </w:rPr>
            </w:pPr>
          </w:p>
        </w:tc>
        <w:tc>
          <w:tcPr>
            <w:tcW w:w="1519" w:type="dxa"/>
            <w:tcBorders>
              <w:top w:val="single" w:sz="4" w:space="0" w:color="244061" w:themeColor="accent1" w:themeShade="80"/>
            </w:tcBorders>
            <w:shd w:val="clear" w:color="auto" w:fill="DBE5F1" w:themeFill="accent1" w:themeFillTint="33"/>
            <w:noWrap/>
            <w:vAlign w:val="bottom"/>
          </w:tcPr>
          <w:p w:rsidR="00582F0D" w:rsidRPr="00BD28C4" w:rsidRDefault="00582F0D" w:rsidP="00582F0D">
            <w:pPr>
              <w:jc w:val="center"/>
              <w:rPr>
                <w:color w:val="53565A"/>
                <w:sz w:val="20"/>
              </w:rPr>
            </w:pPr>
          </w:p>
        </w:tc>
        <w:tc>
          <w:tcPr>
            <w:tcW w:w="1657" w:type="dxa"/>
            <w:tcBorders>
              <w:top w:val="single" w:sz="4" w:space="0" w:color="244061" w:themeColor="accent1" w:themeShade="80"/>
            </w:tcBorders>
            <w:shd w:val="clear" w:color="auto" w:fill="DBE5F1" w:themeFill="accent1" w:themeFillTint="33"/>
            <w:noWrap/>
            <w:vAlign w:val="bottom"/>
          </w:tcPr>
          <w:p w:rsidR="00582F0D" w:rsidRPr="00BD28C4" w:rsidRDefault="00582F0D" w:rsidP="00582F0D">
            <w:pPr>
              <w:jc w:val="center"/>
              <w:rPr>
                <w:color w:val="53565A"/>
                <w:sz w:val="20"/>
              </w:rPr>
            </w:pPr>
          </w:p>
        </w:tc>
        <w:tc>
          <w:tcPr>
            <w:tcW w:w="1789" w:type="dxa"/>
            <w:tcBorders>
              <w:top w:val="single" w:sz="4" w:space="0" w:color="244061" w:themeColor="accent1" w:themeShade="80"/>
            </w:tcBorders>
            <w:shd w:val="clear" w:color="auto" w:fill="DBE5F1" w:themeFill="accent1" w:themeFillTint="33"/>
            <w:noWrap/>
            <w:vAlign w:val="bottom"/>
          </w:tcPr>
          <w:p w:rsidR="00582F0D" w:rsidRPr="00BD28C4" w:rsidRDefault="00582F0D" w:rsidP="00582F0D">
            <w:pPr>
              <w:jc w:val="center"/>
              <w:rPr>
                <w:color w:val="53565A"/>
                <w:sz w:val="20"/>
              </w:rPr>
            </w:pPr>
          </w:p>
        </w:tc>
      </w:tr>
      <w:tr w:rsidR="00582F0D" w:rsidRPr="00B41F6E" w:rsidTr="00CB6897">
        <w:trPr>
          <w:trHeight w:val="50"/>
        </w:trPr>
        <w:tc>
          <w:tcPr>
            <w:tcW w:w="1550" w:type="dxa"/>
            <w:shd w:val="clear" w:color="auto" w:fill="DBE5F1" w:themeFill="accent1" w:themeFillTint="33"/>
            <w:noWrap/>
          </w:tcPr>
          <w:p w:rsidR="00582F0D" w:rsidRPr="00BD28C4" w:rsidRDefault="00582F0D" w:rsidP="00582F0D">
            <w:pPr>
              <w:rPr>
                <w:rFonts w:eastAsia="Times New Roman" w:cs="Calibri"/>
                <w:color w:val="53565A"/>
                <w:sz w:val="20"/>
                <w:lang w:eastAsia="en-AU"/>
              </w:rPr>
            </w:pPr>
          </w:p>
        </w:tc>
        <w:tc>
          <w:tcPr>
            <w:tcW w:w="1697"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No. being retired</w:t>
            </w:r>
          </w:p>
        </w:tc>
        <w:tc>
          <w:tcPr>
            <w:tcW w:w="1519"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 xml:space="preserve">No. exiting </w:t>
            </w:r>
          </w:p>
        </w:tc>
        <w:tc>
          <w:tcPr>
            <w:tcW w:w="1657"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No. going to GAP</w:t>
            </w:r>
          </w:p>
        </w:tc>
        <w:tc>
          <w:tcPr>
            <w:tcW w:w="1789"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 not going to GAP</w:t>
            </w:r>
          </w:p>
        </w:tc>
      </w:tr>
      <w:tr w:rsidR="002C7707" w:rsidRPr="00B41F6E" w:rsidTr="00CB6897">
        <w:trPr>
          <w:trHeight w:val="50"/>
        </w:trPr>
        <w:tc>
          <w:tcPr>
            <w:tcW w:w="1550" w:type="dxa"/>
            <w:shd w:val="clear" w:color="auto" w:fill="DBE5F1" w:themeFill="accent1" w:themeFillTint="33"/>
            <w:noWrap/>
          </w:tcPr>
          <w:p w:rsidR="002C7707" w:rsidRPr="00BD28C4" w:rsidRDefault="002C7707" w:rsidP="002C7707">
            <w:pPr>
              <w:rPr>
                <w:rFonts w:eastAsia="Times New Roman" w:cs="Calibri"/>
                <w:color w:val="53565A"/>
                <w:sz w:val="20"/>
                <w:lang w:eastAsia="en-AU"/>
              </w:rPr>
            </w:pPr>
            <w:r w:rsidRPr="00BD28C4">
              <w:rPr>
                <w:rFonts w:eastAsia="Times New Roman" w:cs="Calibri"/>
                <w:color w:val="53565A"/>
                <w:sz w:val="20"/>
                <w:lang w:eastAsia="en-AU"/>
              </w:rPr>
              <w:t>Owner to GAP</w:t>
            </w:r>
          </w:p>
        </w:tc>
        <w:tc>
          <w:tcPr>
            <w:tcW w:w="1697"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5,353</w:t>
            </w:r>
          </w:p>
        </w:tc>
        <w:tc>
          <w:tcPr>
            <w:tcW w:w="1519"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2,468</w:t>
            </w:r>
          </w:p>
        </w:tc>
        <w:tc>
          <w:tcPr>
            <w:tcW w:w="1657"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2,885</w:t>
            </w:r>
          </w:p>
        </w:tc>
        <w:tc>
          <w:tcPr>
            <w:tcW w:w="1789"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szCs w:val="20"/>
              </w:rPr>
              <w:t>46.10%</w:t>
            </w:r>
            <w:r w:rsidRPr="00BD28C4">
              <w:rPr>
                <w:rStyle w:val="FootnoteReference"/>
                <w:color w:val="53565A"/>
                <w:sz w:val="20"/>
                <w:szCs w:val="20"/>
              </w:rPr>
              <w:footnoteReference w:id="184"/>
            </w:r>
          </w:p>
        </w:tc>
      </w:tr>
      <w:tr w:rsidR="00582F0D" w:rsidRPr="00B41F6E" w:rsidTr="00CB6897">
        <w:trPr>
          <w:trHeight w:val="50"/>
        </w:trPr>
        <w:tc>
          <w:tcPr>
            <w:tcW w:w="1550" w:type="dxa"/>
            <w:shd w:val="clear" w:color="auto" w:fill="DBE5F1" w:themeFill="accent1" w:themeFillTint="33"/>
            <w:noWrap/>
          </w:tcPr>
          <w:p w:rsidR="00582F0D" w:rsidRPr="00BD28C4" w:rsidRDefault="00582F0D" w:rsidP="00582F0D">
            <w:pPr>
              <w:rPr>
                <w:rFonts w:eastAsia="Times New Roman" w:cs="Calibri"/>
                <w:color w:val="53565A"/>
                <w:sz w:val="20"/>
                <w:lang w:eastAsia="en-AU"/>
              </w:rPr>
            </w:pPr>
          </w:p>
        </w:tc>
        <w:tc>
          <w:tcPr>
            <w:tcW w:w="1697"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No. going to GAP</w:t>
            </w:r>
          </w:p>
        </w:tc>
        <w:tc>
          <w:tcPr>
            <w:tcW w:w="1519"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No. euthanased (GAP)</w:t>
            </w:r>
          </w:p>
        </w:tc>
        <w:tc>
          <w:tcPr>
            <w:tcW w:w="1657"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No. being rehomed</w:t>
            </w:r>
          </w:p>
        </w:tc>
        <w:tc>
          <w:tcPr>
            <w:tcW w:w="1789" w:type="dxa"/>
            <w:shd w:val="clear" w:color="auto" w:fill="DBE5F1" w:themeFill="accent1" w:themeFillTint="33"/>
            <w:noWrap/>
          </w:tcPr>
          <w:p w:rsidR="00582F0D" w:rsidRPr="00BD28C4" w:rsidRDefault="00582F0D" w:rsidP="00582F0D">
            <w:pPr>
              <w:jc w:val="center"/>
              <w:rPr>
                <w:color w:val="53565A"/>
                <w:sz w:val="20"/>
              </w:rPr>
            </w:pPr>
            <w:r w:rsidRPr="00BD28C4">
              <w:rPr>
                <w:rFonts w:eastAsia="Times New Roman" w:cs="Calibri"/>
                <w:color w:val="53565A"/>
                <w:sz w:val="20"/>
                <w:lang w:eastAsia="en-AU"/>
              </w:rPr>
              <w:t>% euthanased by GAP</w:t>
            </w:r>
          </w:p>
        </w:tc>
      </w:tr>
      <w:tr w:rsidR="002C7707" w:rsidRPr="00B41F6E" w:rsidTr="00CB6897">
        <w:trPr>
          <w:trHeight w:val="50"/>
        </w:trPr>
        <w:tc>
          <w:tcPr>
            <w:tcW w:w="1550" w:type="dxa"/>
            <w:shd w:val="clear" w:color="auto" w:fill="DBE5F1" w:themeFill="accent1" w:themeFillTint="33"/>
            <w:noWrap/>
          </w:tcPr>
          <w:p w:rsidR="002C7707" w:rsidRPr="00BD28C4" w:rsidRDefault="002C7707" w:rsidP="002C7707">
            <w:pPr>
              <w:rPr>
                <w:rFonts w:eastAsia="Times New Roman" w:cs="Calibri"/>
                <w:color w:val="53565A"/>
                <w:sz w:val="20"/>
                <w:lang w:eastAsia="en-AU"/>
              </w:rPr>
            </w:pPr>
            <w:r w:rsidRPr="00BD28C4">
              <w:rPr>
                <w:rFonts w:eastAsia="Times New Roman" w:cs="Calibri"/>
                <w:color w:val="53565A"/>
                <w:sz w:val="20"/>
                <w:lang w:eastAsia="en-AU"/>
              </w:rPr>
              <w:t>GAP onwards</w:t>
            </w:r>
          </w:p>
        </w:tc>
        <w:tc>
          <w:tcPr>
            <w:tcW w:w="1697"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2,885</w:t>
            </w:r>
          </w:p>
        </w:tc>
        <w:tc>
          <w:tcPr>
            <w:tcW w:w="1519"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29</w:t>
            </w:r>
          </w:p>
        </w:tc>
        <w:tc>
          <w:tcPr>
            <w:tcW w:w="1657"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2,857</w:t>
            </w:r>
          </w:p>
        </w:tc>
        <w:tc>
          <w:tcPr>
            <w:tcW w:w="1789" w:type="dxa"/>
            <w:shd w:val="clear" w:color="auto" w:fill="DBE5F1" w:themeFill="accent1" w:themeFillTint="33"/>
            <w:noWrap/>
          </w:tcPr>
          <w:p w:rsidR="002C7707" w:rsidRPr="00BD28C4" w:rsidRDefault="002C7707" w:rsidP="002C7707">
            <w:pPr>
              <w:jc w:val="center"/>
              <w:rPr>
                <w:color w:val="53565A"/>
                <w:sz w:val="20"/>
              </w:rPr>
            </w:pPr>
            <w:r w:rsidRPr="00BD28C4">
              <w:rPr>
                <w:color w:val="53565A"/>
                <w:sz w:val="20"/>
              </w:rPr>
              <w:t>1.00%</w:t>
            </w:r>
          </w:p>
        </w:tc>
      </w:tr>
    </w:tbl>
    <w:p w:rsidR="00C100E9" w:rsidRDefault="00C100E9" w:rsidP="00C100E9">
      <w:pPr>
        <w:jc w:val="both"/>
      </w:pPr>
    </w:p>
    <w:p w:rsidR="00C100E9" w:rsidRDefault="00C100E9" w:rsidP="00C100E9">
      <w:pPr>
        <w:jc w:val="both"/>
      </w:pPr>
      <w:r>
        <w:t>The following assumptions have also been made to facilitate costing of this standard as shown in Panel A4.5</w:t>
      </w:r>
    </w:p>
    <w:p w:rsidR="00A125AF" w:rsidRDefault="00A125AF" w:rsidP="00B25912">
      <w:pPr>
        <w:jc w:val="both"/>
        <w:rPr>
          <w:b/>
        </w:rPr>
      </w:pPr>
    </w:p>
    <w:p w:rsidR="00C100E9" w:rsidRPr="0060191F" w:rsidRDefault="00C100E9" w:rsidP="00C100E9">
      <w:pPr>
        <w:jc w:val="center"/>
        <w:rPr>
          <w:b/>
          <w:sz w:val="20"/>
        </w:rPr>
      </w:pPr>
      <w:r w:rsidRPr="0060191F">
        <w:rPr>
          <w:b/>
          <w:sz w:val="20"/>
        </w:rPr>
        <w:t>Panel A4.5: Assumptions for costing standard 6.3.12</w:t>
      </w:r>
    </w:p>
    <w:tbl>
      <w:tblPr>
        <w:tblW w:w="7125" w:type="dxa"/>
        <w:jc w:val="center"/>
        <w:tblBorders>
          <w:top w:val="double" w:sz="4" w:space="0" w:color="4F81BD" w:themeColor="accent1"/>
          <w:left w:val="double" w:sz="4" w:space="0" w:color="4F81BD" w:themeColor="accent1"/>
          <w:bottom w:val="double" w:sz="4" w:space="0" w:color="4F81BD" w:themeColor="accent1"/>
          <w:right w:val="double" w:sz="4" w:space="0" w:color="4F81BD" w:themeColor="accent1"/>
        </w:tblBorders>
        <w:shd w:val="clear" w:color="auto" w:fill="C6D9F1" w:themeFill="text2" w:themeFillTint="33"/>
        <w:tblLook w:val="04A0" w:firstRow="1" w:lastRow="0" w:firstColumn="1" w:lastColumn="0" w:noHBand="0" w:noVBand="1"/>
      </w:tblPr>
      <w:tblGrid>
        <w:gridCol w:w="5797"/>
        <w:gridCol w:w="1328"/>
      </w:tblGrid>
      <w:tr w:rsidR="00C100E9" w:rsidRPr="006C2E46" w:rsidTr="00EE3C9A">
        <w:trPr>
          <w:trHeight w:val="37"/>
          <w:jc w:val="center"/>
        </w:trPr>
        <w:tc>
          <w:tcPr>
            <w:tcW w:w="5797" w:type="dxa"/>
            <w:shd w:val="clear" w:color="auto" w:fill="DBE5F1" w:themeFill="accent1" w:themeFillTint="33"/>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Cost of food and shelter per month per dog</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$229</w:t>
            </w:r>
          </w:p>
        </w:tc>
      </w:tr>
      <w:tr w:rsidR="00C100E9" w:rsidRPr="006C2E46" w:rsidTr="00EE3C9A">
        <w:trPr>
          <w:trHeight w:val="50"/>
          <w:jc w:val="center"/>
        </w:trPr>
        <w:tc>
          <w:tcPr>
            <w:tcW w:w="5797" w:type="dxa"/>
            <w:shd w:val="clear" w:color="auto" w:fill="DBE5F1" w:themeFill="accent1" w:themeFillTint="33"/>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Months of food and shelter saved by owner</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2.50</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Cost to rehabilitate a dog</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$556</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Cost to euthanasing a dog</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$120</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Number of dogs euthanased outside of GAP</w:t>
            </w:r>
            <w:r w:rsidR="00EE3C9A" w:rsidRPr="00BD28C4">
              <w:rPr>
                <w:rFonts w:eastAsia="Times New Roman" w:cs="Calibri"/>
                <w:color w:val="53565A"/>
                <w:sz w:val="20"/>
                <w:lang w:eastAsia="en-AU"/>
              </w:rPr>
              <w:t xml:space="preserve"> under the base case</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2</w:t>
            </w:r>
            <w:r w:rsidR="00890997" w:rsidRPr="00BD28C4">
              <w:rPr>
                <w:rFonts w:eastAsia="Times New Roman" w:cs="Calibri"/>
                <w:color w:val="53565A"/>
                <w:sz w:val="20"/>
                <w:lang w:eastAsia="en-AU"/>
              </w:rPr>
              <w:t>,946</w:t>
            </w:r>
            <w:r w:rsidRPr="00BD28C4">
              <w:rPr>
                <w:rFonts w:eastAsia="Times New Roman" w:cs="Calibri"/>
                <w:color w:val="53565A"/>
                <w:sz w:val="20"/>
                <w:lang w:eastAsia="en-AU"/>
              </w:rPr>
              <w:t>*</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Total dogs to be Rehomed</w:t>
            </w:r>
            <w:r w:rsidR="00EE3C9A" w:rsidRPr="00BD28C4">
              <w:rPr>
                <w:rFonts w:eastAsia="Times New Roman" w:cs="Calibri"/>
                <w:color w:val="53565A"/>
                <w:sz w:val="20"/>
                <w:lang w:eastAsia="en-AU"/>
              </w:rPr>
              <w:t xml:space="preserve"> under the base case</w:t>
            </w:r>
          </w:p>
        </w:tc>
        <w:tc>
          <w:tcPr>
            <w:tcW w:w="1328" w:type="dxa"/>
            <w:shd w:val="clear" w:color="auto" w:fill="DBE5F1" w:themeFill="accent1" w:themeFillTint="33"/>
            <w:noWrap/>
            <w:vAlign w:val="bottom"/>
            <w:hideMark/>
          </w:tcPr>
          <w:p w:rsidR="00C100E9" w:rsidRPr="00BD28C4" w:rsidRDefault="00890997" w:rsidP="00973C4B">
            <w:pPr>
              <w:jc w:val="center"/>
              <w:rPr>
                <w:rFonts w:eastAsia="Times New Roman" w:cs="Calibri"/>
                <w:color w:val="53565A"/>
                <w:sz w:val="20"/>
                <w:lang w:eastAsia="en-AU"/>
              </w:rPr>
            </w:pPr>
            <w:r w:rsidRPr="00BD28C4">
              <w:rPr>
                <w:rFonts w:eastAsia="Times New Roman" w:cs="Calibri"/>
                <w:color w:val="53565A"/>
                <w:sz w:val="20"/>
                <w:lang w:eastAsia="en-AU"/>
              </w:rPr>
              <w:t>1,562</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EE3C9A" w:rsidP="00973C4B">
            <w:pPr>
              <w:rPr>
                <w:rFonts w:eastAsia="Times New Roman" w:cs="Calibri"/>
                <w:color w:val="53565A"/>
                <w:sz w:val="20"/>
                <w:lang w:eastAsia="en-AU"/>
              </w:rPr>
            </w:pPr>
            <w:r w:rsidRPr="00BD28C4">
              <w:rPr>
                <w:rFonts w:eastAsia="Times New Roman" w:cs="Calibri"/>
                <w:color w:val="53565A"/>
                <w:sz w:val="20"/>
                <w:lang w:eastAsia="en-AU"/>
              </w:rPr>
              <w:t>Months required at GAP under the base case</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1.40</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Months to be spent at GAP in future</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0.23</w:t>
            </w:r>
          </w:p>
        </w:tc>
      </w:tr>
      <w:tr w:rsidR="00C100E9" w:rsidRPr="006C2E46" w:rsidTr="00EE3C9A">
        <w:trPr>
          <w:trHeight w:val="50"/>
          <w:jc w:val="center"/>
        </w:trPr>
        <w:tc>
          <w:tcPr>
            <w:tcW w:w="579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color w:val="53565A"/>
                <w:sz w:val="20"/>
                <w:lang w:eastAsia="en-AU"/>
              </w:rPr>
              <w:t>Cost to rehome a dog (including de-sexing)</w:t>
            </w:r>
          </w:p>
        </w:tc>
        <w:tc>
          <w:tcPr>
            <w:tcW w:w="1328"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color w:val="53565A"/>
                <w:sz w:val="20"/>
                <w:lang w:eastAsia="en-AU"/>
              </w:rPr>
              <w:t>$300</w:t>
            </w:r>
          </w:p>
        </w:tc>
      </w:tr>
    </w:tbl>
    <w:p w:rsidR="00C100E9" w:rsidRPr="00E27169" w:rsidRDefault="00C100E9" w:rsidP="00EE3C9A">
      <w:pPr>
        <w:ind w:firstLine="567"/>
        <w:jc w:val="both"/>
        <w:rPr>
          <w:sz w:val="18"/>
        </w:rPr>
      </w:pPr>
      <w:r w:rsidRPr="00E27169">
        <w:rPr>
          <w:sz w:val="18"/>
        </w:rPr>
        <w:t>*See Table</w:t>
      </w:r>
      <w:r>
        <w:rPr>
          <w:sz w:val="18"/>
        </w:rPr>
        <w:t xml:space="preserve"> 7</w:t>
      </w:r>
      <w:r w:rsidRPr="00E27169">
        <w:rPr>
          <w:sz w:val="18"/>
        </w:rPr>
        <w:t xml:space="preserve"> for source of estimate</w:t>
      </w:r>
      <w:r>
        <w:rPr>
          <w:sz w:val="18"/>
        </w:rPr>
        <w:t>.</w:t>
      </w:r>
      <w:r w:rsidR="007B521C">
        <w:rPr>
          <w:sz w:val="18"/>
        </w:rPr>
        <w:t xml:space="preserve"> </w:t>
      </w:r>
      <w:r>
        <w:rPr>
          <w:sz w:val="18"/>
        </w:rPr>
        <w:t>All other estimates provided by DEDJTR</w:t>
      </w:r>
    </w:p>
    <w:p w:rsidR="00C100E9" w:rsidRDefault="00C100E9" w:rsidP="00C100E9">
      <w:pPr>
        <w:jc w:val="both"/>
        <w:rPr>
          <w:i/>
        </w:rPr>
      </w:pPr>
    </w:p>
    <w:p w:rsidR="00C100E9" w:rsidRPr="00895DD4" w:rsidRDefault="00EA26DD" w:rsidP="005E307C">
      <w:pPr>
        <w:pStyle w:val="Heading3"/>
      </w:pPr>
      <w:bookmarkStart w:id="245" w:name="_Toc469529221"/>
      <w:bookmarkStart w:id="246" w:name="_Toc477190245"/>
      <w:r>
        <w:t>A4.11</w:t>
      </w:r>
      <w:r w:rsidR="00BE76C5">
        <w:t>.1 I</w:t>
      </w:r>
      <w:r w:rsidR="00C100E9">
        <w:t>ncremental cost savings</w:t>
      </w:r>
      <w:r w:rsidR="00BE76C5">
        <w:t xml:space="preserve"> for owners</w:t>
      </w:r>
      <w:r w:rsidR="00C100E9">
        <w:t xml:space="preserve"> </w:t>
      </w:r>
      <w:r w:rsidR="00BE76C5">
        <w:t xml:space="preserve">under proposed standard 6.3.12 </w:t>
      </w:r>
      <w:r w:rsidR="00EE3C9A">
        <w:t>(Options 1 to 6)</w:t>
      </w:r>
      <w:bookmarkEnd w:id="245"/>
      <w:bookmarkEnd w:id="246"/>
    </w:p>
    <w:p w:rsidR="00C100E9" w:rsidRDefault="00C100E9" w:rsidP="00C100E9">
      <w:pPr>
        <w:jc w:val="both"/>
      </w:pPr>
      <w:r>
        <w:t>With respect to owners there are anticipated additional cost savings provided by not having to provide food and shelter, euthanase or rehome a dog that would otherwise be required under the base case.</w:t>
      </w:r>
      <w:r w:rsidR="007B521C">
        <w:t xml:space="preserve"> </w:t>
      </w:r>
      <w:r>
        <w:t>The annual cost savings is estimated by determining the estimated number of dogs affected and using the costs of food and shelter ($229/month/dog x 2.5 months saved) the cost of euthanasia ($120/dog) or the cost of rehoming a dog including de-sexing ($300/dog + $229/month/dog (food and shelter for one month) (see Panel A4.5 for itemised per unit costs).</w:t>
      </w:r>
      <w:r w:rsidR="007B521C">
        <w:t xml:space="preserve"> </w:t>
      </w:r>
    </w:p>
    <w:p w:rsidR="00C100E9" w:rsidRDefault="00C100E9" w:rsidP="00C100E9">
      <w:pPr>
        <w:jc w:val="both"/>
      </w:pPr>
    </w:p>
    <w:p w:rsidR="00C100E9" w:rsidRDefault="00C100E9" w:rsidP="00C100E9">
      <w:pPr>
        <w:jc w:val="both"/>
      </w:pPr>
      <w:r>
        <w:t>The estimated number of dogs affected in terms of food and shelter is determined as the product of the total number going into the GAP program (846 as shown in Panel A4.3) apportioned according to the proportion of large and small owners (see Table 1).</w:t>
      </w:r>
      <w:r w:rsidR="007B521C">
        <w:t xml:space="preserve"> </w:t>
      </w:r>
      <w:r>
        <w:t>The estimated number of dogs affected in terms of euthanasia is determined as the product of the total number euthanas</w:t>
      </w:r>
      <w:r w:rsidR="00890997">
        <w:t>ed (2,946</w:t>
      </w:r>
      <w:r w:rsidR="0068030C">
        <w:t xml:space="preserve"> as shown in Panel A4.5</w:t>
      </w:r>
      <w:r>
        <w:t>) apportioned according to the proportion of large and small owners (see Table 1).</w:t>
      </w:r>
      <w:r w:rsidR="007B521C">
        <w:t xml:space="preserve"> </w:t>
      </w:r>
      <w:r>
        <w:t>The estimated number of dogs affected in terms of rehoming is determined as the product of the total number of dogs to be rehom</w:t>
      </w:r>
      <w:r w:rsidR="00890997">
        <w:t>ed (1,562</w:t>
      </w:r>
      <w:r w:rsidR="0068030C">
        <w:t xml:space="preserve"> as shown in Panel A4.5</w:t>
      </w:r>
      <w:r>
        <w:t>) apportioned according to the proportion of large and small owners (see Table 1).</w:t>
      </w:r>
    </w:p>
    <w:p w:rsidR="00C100E9" w:rsidRDefault="00C100E9" w:rsidP="00C100E9">
      <w:pPr>
        <w:jc w:val="both"/>
      </w:pPr>
    </w:p>
    <w:p w:rsidR="00C100E9" w:rsidRDefault="00C100E9" w:rsidP="00C100E9">
      <w:pPr>
        <w:jc w:val="both"/>
      </w:pPr>
      <w:r>
        <w:t>The 10-year additional cost savings for owners under</w:t>
      </w:r>
      <w:r w:rsidR="00EE3C9A">
        <w:t xml:space="preserve"> all Options 1 to 6 under</w:t>
      </w:r>
      <w:r>
        <w:t xml:space="preserve"> proposed standard </w:t>
      </w:r>
      <w:r w:rsidR="00890997">
        <w:t>6.3.12 is estimated to be $14.04</w:t>
      </w:r>
      <w:r>
        <w:t>m in present value</w:t>
      </w:r>
      <w:r w:rsidR="00EE3C9A">
        <w:t xml:space="preserve"> dollars as shown in Table A4.17</w:t>
      </w:r>
      <w:r>
        <w:t>.</w:t>
      </w:r>
    </w:p>
    <w:p w:rsidR="00252CD4" w:rsidRDefault="00252CD4" w:rsidP="00C100E9">
      <w:pPr>
        <w:jc w:val="center"/>
        <w:rPr>
          <w:b/>
          <w:sz w:val="20"/>
        </w:rPr>
      </w:pPr>
    </w:p>
    <w:p w:rsidR="00BD28C4" w:rsidRDefault="00BD28C4">
      <w:pPr>
        <w:rPr>
          <w:b/>
          <w:sz w:val="20"/>
        </w:rPr>
      </w:pPr>
      <w:r>
        <w:rPr>
          <w:b/>
          <w:sz w:val="20"/>
        </w:rPr>
        <w:br w:type="page"/>
      </w:r>
    </w:p>
    <w:p w:rsidR="00C100E9" w:rsidRPr="00EE3C9A" w:rsidRDefault="00C100E9" w:rsidP="00C100E9">
      <w:pPr>
        <w:jc w:val="center"/>
        <w:rPr>
          <w:b/>
          <w:sz w:val="20"/>
        </w:rPr>
      </w:pPr>
      <w:r w:rsidRPr="00EE3C9A">
        <w:rPr>
          <w:b/>
          <w:sz w:val="20"/>
        </w:rPr>
        <w:lastRenderedPageBreak/>
        <w:t>Table A</w:t>
      </w:r>
      <w:r w:rsidR="00EE3C9A" w:rsidRPr="00EE3C9A">
        <w:rPr>
          <w:b/>
          <w:sz w:val="20"/>
        </w:rPr>
        <w:t>4.17</w:t>
      </w:r>
      <w:r w:rsidRPr="00EE3C9A">
        <w:rPr>
          <w:b/>
          <w:sz w:val="20"/>
        </w:rPr>
        <w:t>: Estimated 10-year additional cost savings of retirement/rehoming for owners</w:t>
      </w:r>
      <w:r w:rsidR="00EE3C9A" w:rsidRPr="00EE3C9A">
        <w:rPr>
          <w:b/>
          <w:sz w:val="20"/>
        </w:rPr>
        <w:t xml:space="preserve"> under proposed standard 6.3.12 – Options 1 to 6</w:t>
      </w:r>
    </w:p>
    <w:p w:rsidR="00C100E9" w:rsidRDefault="00C100E9" w:rsidP="00C100E9">
      <w:pPr>
        <w:jc w:val="both"/>
      </w:pPr>
    </w:p>
    <w:tbl>
      <w:tblPr>
        <w:tblW w:w="8224" w:type="dxa"/>
        <w:tblLook w:val="04A0" w:firstRow="1" w:lastRow="0" w:firstColumn="1" w:lastColumn="0" w:noHBand="0" w:noVBand="1"/>
      </w:tblPr>
      <w:tblGrid>
        <w:gridCol w:w="2835"/>
        <w:gridCol w:w="1408"/>
        <w:gridCol w:w="1330"/>
        <w:gridCol w:w="1232"/>
        <w:gridCol w:w="1419"/>
      </w:tblGrid>
      <w:tr w:rsidR="00C100E9" w:rsidRPr="00BD28C4" w:rsidTr="00300A39">
        <w:trPr>
          <w:trHeight w:val="615"/>
          <w:tblHeader/>
        </w:trPr>
        <w:tc>
          <w:tcPr>
            <w:tcW w:w="2835"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Category of participants</w:t>
            </w:r>
          </w:p>
        </w:tc>
        <w:tc>
          <w:tcPr>
            <w:tcW w:w="140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330"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 savings</w:t>
            </w:r>
          </w:p>
        </w:tc>
        <w:tc>
          <w:tcPr>
            <w:tcW w:w="1232"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 savings</w:t>
            </w:r>
          </w:p>
        </w:tc>
        <w:tc>
          <w:tcPr>
            <w:tcW w:w="1419"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 cost savings</w:t>
            </w:r>
          </w:p>
        </w:tc>
      </w:tr>
      <w:tr w:rsidR="00890997" w:rsidRPr="006C2E46" w:rsidTr="00300A39">
        <w:trPr>
          <w:trHeight w:val="35"/>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Large owner (Food and shelter)</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21</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$12,114</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$121,136</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$102,182</w:t>
            </w:r>
          </w:p>
        </w:tc>
      </w:tr>
      <w:tr w:rsidR="00890997" w:rsidRPr="006C2E46" w:rsidTr="00300A39">
        <w:trPr>
          <w:trHeight w:val="80"/>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Small owner (Food and shelter)</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825</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$472,383</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$4,723,830</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$3,984,707</w:t>
            </w:r>
          </w:p>
        </w:tc>
      </w:tr>
      <w:tr w:rsidR="00890997" w:rsidRPr="006C2E46" w:rsidTr="00300A39">
        <w:trPr>
          <w:trHeight w:val="80"/>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Large owner (Euthanasia)</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74</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$8,838</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$88,378</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$74,550</w:t>
            </w:r>
          </w:p>
        </w:tc>
      </w:tr>
      <w:tr w:rsidR="00890997" w:rsidRPr="006C2E46" w:rsidTr="00300A39">
        <w:trPr>
          <w:trHeight w:val="80"/>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Small owner (Euthanasia)</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2,872</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$344,642</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$3,446,422</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$2,907,171</w:t>
            </w:r>
          </w:p>
        </w:tc>
      </w:tr>
      <w:tr w:rsidR="00890997" w:rsidRPr="006C2E46" w:rsidTr="00890997">
        <w:trPr>
          <w:trHeight w:val="80"/>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Large owner (rehoming)</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39</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$20,665.93</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$206,659</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$174,324</w:t>
            </w:r>
          </w:p>
        </w:tc>
      </w:tr>
      <w:tr w:rsidR="00890997" w:rsidRPr="006C2E46" w:rsidTr="00300A39">
        <w:trPr>
          <w:trHeight w:val="80"/>
        </w:trPr>
        <w:tc>
          <w:tcPr>
            <w:tcW w:w="2835" w:type="dxa"/>
            <w:tcBorders>
              <w:top w:val="nil"/>
              <w:left w:val="nil"/>
              <w:bottom w:val="nil"/>
              <w:right w:val="nil"/>
            </w:tcBorders>
            <w:shd w:val="clear" w:color="000000" w:fill="FFFFFF"/>
            <w:noWrap/>
            <w:vAlign w:val="bottom"/>
            <w:hideMark/>
          </w:tcPr>
          <w:p w:rsidR="00890997" w:rsidRPr="00890997" w:rsidRDefault="00890997" w:rsidP="00890997">
            <w:pPr>
              <w:rPr>
                <w:rFonts w:eastAsia="Times New Roman" w:cs="Calibri"/>
                <w:sz w:val="20"/>
                <w:szCs w:val="20"/>
                <w:lang w:eastAsia="en-AU"/>
              </w:rPr>
            </w:pPr>
            <w:r w:rsidRPr="00890997">
              <w:rPr>
                <w:rFonts w:cs="Calibri"/>
                <w:sz w:val="20"/>
              </w:rPr>
              <w:t>Small owner (rehoming)</w:t>
            </w:r>
          </w:p>
        </w:tc>
        <w:tc>
          <w:tcPr>
            <w:tcW w:w="1408"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1,523</w:t>
            </w:r>
          </w:p>
        </w:tc>
        <w:tc>
          <w:tcPr>
            <w:tcW w:w="1330"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$805,892.40</w:t>
            </w:r>
          </w:p>
        </w:tc>
        <w:tc>
          <w:tcPr>
            <w:tcW w:w="1232" w:type="dxa"/>
            <w:tcBorders>
              <w:top w:val="nil"/>
              <w:left w:val="nil"/>
              <w:bottom w:val="nil"/>
              <w:right w:val="nil"/>
            </w:tcBorders>
            <w:shd w:val="clear" w:color="000000" w:fill="FFFFFF"/>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$8,058,924</w:t>
            </w:r>
          </w:p>
        </w:tc>
        <w:tc>
          <w:tcPr>
            <w:tcW w:w="1419" w:type="dxa"/>
            <w:tcBorders>
              <w:top w:val="nil"/>
              <w:left w:val="nil"/>
              <w:bottom w:val="nil"/>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sz w:val="20"/>
                <w:szCs w:val="20"/>
                <w:lang w:eastAsia="en-AU"/>
              </w:rPr>
            </w:pPr>
            <w:r w:rsidRPr="00890997">
              <w:rPr>
                <w:rFonts w:cs="Calibri"/>
                <w:sz w:val="20"/>
              </w:rPr>
              <w:t>$6,797,970</w:t>
            </w:r>
          </w:p>
        </w:tc>
      </w:tr>
      <w:tr w:rsidR="00890997" w:rsidRPr="006C2E46" w:rsidTr="00300A39">
        <w:trPr>
          <w:trHeight w:val="70"/>
        </w:trPr>
        <w:tc>
          <w:tcPr>
            <w:tcW w:w="2835" w:type="dxa"/>
            <w:tcBorders>
              <w:top w:val="single" w:sz="4" w:space="0" w:color="1F4E78"/>
              <w:left w:val="nil"/>
              <w:bottom w:val="single" w:sz="4" w:space="0" w:color="1F4E78"/>
              <w:right w:val="nil"/>
            </w:tcBorders>
            <w:shd w:val="clear" w:color="000000" w:fill="FFFFFF"/>
            <w:noWrap/>
            <w:vAlign w:val="bottom"/>
            <w:hideMark/>
          </w:tcPr>
          <w:p w:rsidR="00890997" w:rsidRPr="00890997" w:rsidRDefault="00890997" w:rsidP="00890997">
            <w:pPr>
              <w:rPr>
                <w:rFonts w:eastAsia="Times New Roman" w:cs="Calibri"/>
                <w:b/>
                <w:bCs/>
                <w:i/>
                <w:iCs/>
                <w:sz w:val="20"/>
                <w:szCs w:val="20"/>
                <w:lang w:eastAsia="en-AU"/>
              </w:rPr>
            </w:pPr>
            <w:r w:rsidRPr="00890997">
              <w:rPr>
                <w:rFonts w:cs="Calibri"/>
                <w:b/>
                <w:bCs/>
                <w:i/>
                <w:iCs/>
                <w:sz w:val="20"/>
              </w:rPr>
              <w:t>Total</w:t>
            </w:r>
          </w:p>
        </w:tc>
        <w:tc>
          <w:tcPr>
            <w:tcW w:w="1408" w:type="dxa"/>
            <w:tcBorders>
              <w:top w:val="single" w:sz="4" w:space="0" w:color="1F4E78"/>
              <w:left w:val="nil"/>
              <w:bottom w:val="single" w:sz="4" w:space="0" w:color="1F4E78"/>
              <w:right w:val="nil"/>
            </w:tcBorders>
            <w:shd w:val="clear" w:color="000000" w:fill="FFFFFF"/>
            <w:noWrap/>
            <w:vAlign w:val="bottom"/>
            <w:hideMark/>
          </w:tcPr>
          <w:p w:rsidR="00890997" w:rsidRPr="00890997" w:rsidRDefault="00890997" w:rsidP="00890997">
            <w:pPr>
              <w:jc w:val="center"/>
              <w:rPr>
                <w:rFonts w:eastAsia="Times New Roman" w:cs="Calibri"/>
                <w:b/>
                <w:bCs/>
                <w:i/>
                <w:iCs/>
                <w:sz w:val="20"/>
                <w:szCs w:val="20"/>
                <w:lang w:eastAsia="en-AU"/>
              </w:rPr>
            </w:pPr>
            <w:r w:rsidRPr="00890997">
              <w:rPr>
                <w:rFonts w:cs="Calibri"/>
                <w:b/>
                <w:bCs/>
                <w:i/>
                <w:iCs/>
                <w:sz w:val="20"/>
              </w:rPr>
              <w:t>5,353</w:t>
            </w:r>
          </w:p>
        </w:tc>
        <w:tc>
          <w:tcPr>
            <w:tcW w:w="1330" w:type="dxa"/>
            <w:tcBorders>
              <w:top w:val="single" w:sz="4" w:space="0" w:color="1F4E78"/>
              <w:left w:val="nil"/>
              <w:bottom w:val="single" w:sz="4" w:space="0" w:color="1F4E78"/>
              <w:right w:val="nil"/>
            </w:tcBorders>
            <w:shd w:val="clear" w:color="000000" w:fill="FFFFFF"/>
            <w:noWrap/>
            <w:vAlign w:val="bottom"/>
            <w:hideMark/>
          </w:tcPr>
          <w:p w:rsidR="00890997" w:rsidRPr="00890997" w:rsidRDefault="00890997" w:rsidP="00890997">
            <w:pPr>
              <w:jc w:val="center"/>
              <w:rPr>
                <w:rFonts w:eastAsia="Times New Roman" w:cs="Calibri"/>
                <w:b/>
                <w:bCs/>
                <w:i/>
                <w:iCs/>
                <w:sz w:val="20"/>
                <w:szCs w:val="20"/>
                <w:lang w:eastAsia="en-AU"/>
              </w:rPr>
            </w:pPr>
            <w:r w:rsidRPr="00890997">
              <w:rPr>
                <w:rFonts w:cs="Calibri"/>
                <w:b/>
                <w:bCs/>
                <w:i/>
                <w:iCs/>
                <w:sz w:val="20"/>
              </w:rPr>
              <w:t>$1,664,535</w:t>
            </w:r>
          </w:p>
        </w:tc>
        <w:tc>
          <w:tcPr>
            <w:tcW w:w="1232" w:type="dxa"/>
            <w:tcBorders>
              <w:top w:val="single" w:sz="4" w:space="0" w:color="1F4E78"/>
              <w:left w:val="nil"/>
              <w:bottom w:val="single" w:sz="4" w:space="0" w:color="1F4E78"/>
              <w:right w:val="nil"/>
            </w:tcBorders>
            <w:shd w:val="clear" w:color="000000" w:fill="FFFFFF"/>
            <w:noWrap/>
            <w:vAlign w:val="bottom"/>
            <w:hideMark/>
          </w:tcPr>
          <w:p w:rsidR="00890997" w:rsidRPr="00890997" w:rsidRDefault="00890997" w:rsidP="00890997">
            <w:pPr>
              <w:jc w:val="center"/>
              <w:rPr>
                <w:rFonts w:eastAsia="Times New Roman" w:cs="Calibri"/>
                <w:b/>
                <w:bCs/>
                <w:i/>
                <w:iCs/>
                <w:sz w:val="20"/>
                <w:szCs w:val="20"/>
                <w:lang w:eastAsia="en-AU"/>
              </w:rPr>
            </w:pPr>
            <w:r w:rsidRPr="00890997">
              <w:rPr>
                <w:rFonts w:cs="Calibri"/>
                <w:b/>
                <w:bCs/>
                <w:i/>
                <w:iCs/>
                <w:sz w:val="20"/>
              </w:rPr>
              <w:t>$16,645,349</w:t>
            </w:r>
          </w:p>
        </w:tc>
        <w:tc>
          <w:tcPr>
            <w:tcW w:w="1419" w:type="dxa"/>
            <w:tcBorders>
              <w:top w:val="single" w:sz="4" w:space="0" w:color="1F4E78"/>
              <w:left w:val="nil"/>
              <w:bottom w:val="single" w:sz="4" w:space="0" w:color="1F4E78"/>
              <w:right w:val="nil"/>
            </w:tcBorders>
            <w:shd w:val="clear" w:color="auto" w:fill="DBE5F1" w:themeFill="accent1" w:themeFillTint="33"/>
            <w:noWrap/>
            <w:vAlign w:val="bottom"/>
            <w:hideMark/>
          </w:tcPr>
          <w:p w:rsidR="00890997" w:rsidRPr="00890997" w:rsidRDefault="00890997" w:rsidP="00890997">
            <w:pPr>
              <w:jc w:val="center"/>
              <w:rPr>
                <w:rFonts w:eastAsia="Times New Roman" w:cs="Calibri"/>
                <w:b/>
                <w:bCs/>
                <w:i/>
                <w:iCs/>
                <w:sz w:val="20"/>
                <w:szCs w:val="20"/>
                <w:lang w:eastAsia="en-AU"/>
              </w:rPr>
            </w:pPr>
            <w:r w:rsidRPr="00890997">
              <w:rPr>
                <w:rFonts w:cs="Calibri"/>
                <w:b/>
                <w:bCs/>
                <w:i/>
                <w:iCs/>
                <w:sz w:val="20"/>
              </w:rPr>
              <w:t>$14,040,904</w:t>
            </w:r>
          </w:p>
        </w:tc>
      </w:tr>
    </w:tbl>
    <w:p w:rsidR="00C100E9" w:rsidRDefault="00C100E9" w:rsidP="00C100E9">
      <w:pPr>
        <w:jc w:val="both"/>
      </w:pPr>
    </w:p>
    <w:p w:rsidR="00C100E9" w:rsidRPr="00895DD4" w:rsidRDefault="00EA26DD" w:rsidP="005E307C">
      <w:pPr>
        <w:pStyle w:val="Heading3"/>
      </w:pPr>
      <w:bookmarkStart w:id="247" w:name="_Toc469529222"/>
      <w:bookmarkStart w:id="248" w:name="_Toc477190246"/>
      <w:r>
        <w:t>A4.11</w:t>
      </w:r>
      <w:r w:rsidR="00BE76C5">
        <w:t>.2 I</w:t>
      </w:r>
      <w:r w:rsidR="00C100E9">
        <w:t>ncremental costs</w:t>
      </w:r>
      <w:r w:rsidR="00BE76C5">
        <w:t xml:space="preserve"> for owners under standard 6.3.12</w:t>
      </w:r>
      <w:r w:rsidR="00C100E9">
        <w:t xml:space="preserve"> </w:t>
      </w:r>
      <w:r w:rsidR="00252CD4">
        <w:t>(Options 1 to 6)</w:t>
      </w:r>
      <w:bookmarkEnd w:id="247"/>
      <w:bookmarkEnd w:id="248"/>
    </w:p>
    <w:p w:rsidR="008D688E" w:rsidRDefault="00C100E9" w:rsidP="00BD28C4">
      <w:pPr>
        <w:jc w:val="both"/>
      </w:pPr>
      <w:r>
        <w:t>With respect to owners there are anticipated additional costs provided by having to rehabilitate or rehome a dog</w:t>
      </w:r>
      <w:r w:rsidR="002470BD">
        <w:t xml:space="preserve"> </w:t>
      </w:r>
      <w:r w:rsidR="00DC0FA6">
        <w:t xml:space="preserve">(Options 1 to 6) </w:t>
      </w:r>
      <w:r w:rsidR="002470BD">
        <w:t>or euthanase a dog</w:t>
      </w:r>
      <w:r w:rsidR="00DC0FA6">
        <w:t xml:space="preserve"> (Options 1, 2 and 4 only) </w:t>
      </w:r>
      <w:r>
        <w:t>that would otherwise not be required under the base case.</w:t>
      </w:r>
      <w:r w:rsidR="007B521C">
        <w:t xml:space="preserve"> </w:t>
      </w:r>
      <w:r w:rsidR="006C34B6">
        <w:t>Euthanasia is assumed as the outcome of additional dogs exiting the industry under Options 1, 2 and 4 due to a small impact on behaviour</w:t>
      </w:r>
      <w:r w:rsidR="008D10F4">
        <w:t xml:space="preserve"> around encouraging rehabilitation by owners</w:t>
      </w:r>
      <w:r w:rsidR="006C34B6">
        <w:t xml:space="preserve"> under these options.</w:t>
      </w:r>
      <w:r w:rsidR="007B521C">
        <w:t xml:space="preserve"> </w:t>
      </w:r>
      <w:r>
        <w:t xml:space="preserve">The annual cost is estimated by determining the estimated number of dogs affected and using the costs </w:t>
      </w:r>
      <w:r w:rsidR="008D688E">
        <w:t xml:space="preserve">of rehabilitation ($556/dog); </w:t>
      </w:r>
      <w:r>
        <w:t>the cost of rehoming a dog including de-sexing ($300/dog + $229/month/dog (</w:t>
      </w:r>
      <w:r w:rsidR="008D688E">
        <w:t>food and shelter for one month); and the cost of euthanasing a dog ($120/dog)</w:t>
      </w:r>
      <w:r>
        <w:t xml:space="preserve"> (see Panel A4.5 for source of itemised per unit costs). </w:t>
      </w:r>
    </w:p>
    <w:p w:rsidR="002470BD" w:rsidRDefault="00C100E9" w:rsidP="008D688E">
      <w:pPr>
        <w:spacing w:before="240"/>
        <w:jc w:val="both"/>
      </w:pPr>
      <w:r>
        <w:t xml:space="preserve">The estimated number of dogs affected in terms of rehabilitation and rehoming </w:t>
      </w:r>
      <w:r w:rsidR="006C34B6">
        <w:t xml:space="preserve">under Options 1 to 6 </w:t>
      </w:r>
      <w:r>
        <w:t xml:space="preserve">is determined as the total number expected to go to GAP </w:t>
      </w:r>
      <w:r w:rsidR="008D688E">
        <w:t xml:space="preserve">under each of the options </w:t>
      </w:r>
      <w:r>
        <w:t xml:space="preserve">(4,925 </w:t>
      </w:r>
      <w:r w:rsidR="002470BD">
        <w:t>dogs under Options 3, 5 and 6;</w:t>
      </w:r>
      <w:r w:rsidR="008D688E">
        <w:t xml:space="preserve"> </w:t>
      </w:r>
      <w:r w:rsidR="002470BD">
        <w:t xml:space="preserve">1,008 dogs under Option 1; 1,912 dogs under Option 2; and 3,418 dogs under Option 4 – </w:t>
      </w:r>
      <w:r>
        <w:t>as shown in Panel A4.4) apportioned according to the proportion of large and small owners (see Table 1).</w:t>
      </w:r>
      <w:r w:rsidR="007B521C">
        <w:t xml:space="preserve"> </w:t>
      </w:r>
    </w:p>
    <w:p w:rsidR="008D688E" w:rsidRDefault="002470BD" w:rsidP="008D688E">
      <w:pPr>
        <w:spacing w:before="240"/>
        <w:jc w:val="both"/>
      </w:pPr>
      <w:r w:rsidRPr="002470BD">
        <w:t xml:space="preserve">The estimated number of dogs affected in terms of </w:t>
      </w:r>
      <w:r>
        <w:t>euthanasia</w:t>
      </w:r>
      <w:r w:rsidR="006C34B6">
        <w:t xml:space="preserve"> under Options 1, 2</w:t>
      </w:r>
      <w:r w:rsidR="00C80B29">
        <w:t xml:space="preserve">, </w:t>
      </w:r>
      <w:r w:rsidR="006C34B6">
        <w:t>4</w:t>
      </w:r>
      <w:r w:rsidR="007B521C">
        <w:t xml:space="preserve"> </w:t>
      </w:r>
      <w:r w:rsidR="00C80B29">
        <w:t xml:space="preserve">and 6 </w:t>
      </w:r>
      <w:r w:rsidRPr="002470BD">
        <w:t xml:space="preserve">is determined as the </w:t>
      </w:r>
      <w:r>
        <w:t xml:space="preserve">difference between the numbers expected to exit the industry under each of the remaining options and the number of dogs exiting the industry under Option 3 (i.e. 428 dogs) </w:t>
      </w:r>
      <w:r w:rsidRPr="002470BD">
        <w:t>(</w:t>
      </w:r>
      <w:r>
        <w:t xml:space="preserve">0 </w:t>
      </w:r>
      <w:r w:rsidRPr="002470BD">
        <w:t>dogs under Options 3</w:t>
      </w:r>
      <w:r w:rsidR="00C80B29">
        <w:t xml:space="preserve"> and</w:t>
      </w:r>
      <w:r w:rsidRPr="002470BD">
        <w:t xml:space="preserve"> 5; </w:t>
      </w:r>
      <w:r>
        <w:t>3,917 dogs under Option 1; 3,013</w:t>
      </w:r>
      <w:r w:rsidRPr="002470BD">
        <w:t xml:space="preserve"> dogs under Option 2;</w:t>
      </w:r>
      <w:r w:rsidR="00C80B29">
        <w:t xml:space="preserve"> </w:t>
      </w:r>
      <w:r>
        <w:t xml:space="preserve">1,507 </w:t>
      </w:r>
      <w:r w:rsidRPr="002470BD">
        <w:t>dogs under Option 4</w:t>
      </w:r>
      <w:r w:rsidR="00C80B29">
        <w:t xml:space="preserve">; and 2,040 </w:t>
      </w:r>
      <w:r w:rsidRPr="002470BD">
        <w:t>– as shown in Panel A4.4) apportioned according to the proportion of large and small owners (see Table 1).</w:t>
      </w:r>
      <w:r w:rsidR="007B521C">
        <w:t xml:space="preserve"> </w:t>
      </w:r>
    </w:p>
    <w:p w:rsidR="00C100E9" w:rsidRDefault="00C100E9" w:rsidP="008D688E">
      <w:pPr>
        <w:spacing w:before="240"/>
        <w:jc w:val="both"/>
      </w:pPr>
      <w:r>
        <w:t xml:space="preserve">The 10-year additional cost for owners under proposed standard 6.3.12 is estimated to be $35.58m </w:t>
      </w:r>
      <w:r w:rsidR="005108B0">
        <w:t xml:space="preserve">under Options 3, 5 and 6; $11.24m under Option 1; $16.86m under Option 2; $26.26m under Option 4 – </w:t>
      </w:r>
      <w:r>
        <w:t>in present value dollars as shown in Table A4.16.</w:t>
      </w:r>
    </w:p>
    <w:p w:rsidR="00C100E9" w:rsidRDefault="00C100E9" w:rsidP="00C100E9">
      <w:pPr>
        <w:jc w:val="both"/>
      </w:pPr>
    </w:p>
    <w:p w:rsidR="00C02451" w:rsidRDefault="00C02451">
      <w:pPr>
        <w:rPr>
          <w:b/>
          <w:sz w:val="20"/>
        </w:rPr>
      </w:pPr>
      <w:r>
        <w:rPr>
          <w:b/>
          <w:sz w:val="20"/>
        </w:rPr>
        <w:br w:type="page"/>
      </w:r>
    </w:p>
    <w:p w:rsidR="00C100E9" w:rsidRPr="00D3448C" w:rsidRDefault="00C100E9" w:rsidP="00C100E9">
      <w:pPr>
        <w:jc w:val="center"/>
        <w:rPr>
          <w:b/>
          <w:sz w:val="20"/>
        </w:rPr>
      </w:pPr>
      <w:r w:rsidRPr="00D3448C">
        <w:rPr>
          <w:b/>
          <w:sz w:val="20"/>
        </w:rPr>
        <w:lastRenderedPageBreak/>
        <w:t>Table A4.16: Estimated 10-year additional cost of retirement/rehoming</w:t>
      </w:r>
      <w:r w:rsidR="00172B67">
        <w:rPr>
          <w:b/>
          <w:sz w:val="20"/>
        </w:rPr>
        <w:t>/euthanasia</w:t>
      </w:r>
      <w:r w:rsidRPr="00D3448C">
        <w:rPr>
          <w:b/>
          <w:sz w:val="20"/>
        </w:rPr>
        <w:t xml:space="preserve"> for owners</w:t>
      </w:r>
      <w:r w:rsidR="00D3448C" w:rsidRPr="00D3448C">
        <w:rPr>
          <w:b/>
          <w:sz w:val="20"/>
        </w:rPr>
        <w:t xml:space="preserve"> under proposed standard 6.3.12 – Options 1 to 6</w:t>
      </w:r>
      <w:r w:rsidRPr="00D3448C">
        <w:rPr>
          <w:b/>
          <w:sz w:val="20"/>
        </w:rPr>
        <w:t xml:space="preserve"> </w:t>
      </w:r>
    </w:p>
    <w:p w:rsidR="00C100E9" w:rsidRDefault="00C100E9" w:rsidP="00C100E9">
      <w:pPr>
        <w:jc w:val="both"/>
      </w:pPr>
    </w:p>
    <w:tbl>
      <w:tblPr>
        <w:tblW w:w="7921" w:type="dxa"/>
        <w:tblLook w:val="04A0" w:firstRow="1" w:lastRow="0" w:firstColumn="1" w:lastColumn="0" w:noHBand="0" w:noVBand="1"/>
      </w:tblPr>
      <w:tblGrid>
        <w:gridCol w:w="2552"/>
        <w:gridCol w:w="1400"/>
        <w:gridCol w:w="1222"/>
        <w:gridCol w:w="1311"/>
        <w:gridCol w:w="1436"/>
      </w:tblGrid>
      <w:tr w:rsidR="00C100E9" w:rsidRPr="00BD28C4" w:rsidTr="00FA604F">
        <w:trPr>
          <w:trHeight w:val="70"/>
          <w:tblHeader/>
        </w:trPr>
        <w:tc>
          <w:tcPr>
            <w:tcW w:w="2552"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Calibri"/>
                <w:b/>
                <w:bCs/>
                <w:color w:val="53565A"/>
                <w:sz w:val="20"/>
                <w:lang w:eastAsia="en-AU"/>
              </w:rPr>
            </w:pPr>
            <w:r w:rsidRPr="00BD28C4">
              <w:rPr>
                <w:rFonts w:eastAsia="Times New Roman" w:cs="Calibri"/>
                <w:b/>
                <w:bCs/>
                <w:color w:val="53565A"/>
                <w:sz w:val="20"/>
                <w:lang w:eastAsia="en-AU"/>
              </w:rPr>
              <w:t>Category of participants</w:t>
            </w:r>
          </w:p>
        </w:tc>
        <w:tc>
          <w:tcPr>
            <w:tcW w:w="1400"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Estimated No. dogs affected</w:t>
            </w:r>
          </w:p>
        </w:tc>
        <w:tc>
          <w:tcPr>
            <w:tcW w:w="1222"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Annual cost</w:t>
            </w:r>
          </w:p>
        </w:tc>
        <w:tc>
          <w:tcPr>
            <w:tcW w:w="1311"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10-year cost</w:t>
            </w:r>
          </w:p>
        </w:tc>
        <w:tc>
          <w:tcPr>
            <w:tcW w:w="1436"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10-year PV</w:t>
            </w:r>
          </w:p>
        </w:tc>
      </w:tr>
      <w:tr w:rsidR="00D3448C" w:rsidRPr="00E313A6" w:rsidTr="00FA604F">
        <w:trPr>
          <w:trHeight w:val="315"/>
        </w:trPr>
        <w:tc>
          <w:tcPr>
            <w:tcW w:w="2552" w:type="dxa"/>
            <w:tcBorders>
              <w:top w:val="nil"/>
              <w:left w:val="nil"/>
              <w:bottom w:val="nil"/>
              <w:right w:val="nil"/>
            </w:tcBorders>
            <w:shd w:val="clear" w:color="000000" w:fill="FFFFFF"/>
            <w:noWrap/>
            <w:vAlign w:val="bottom"/>
          </w:tcPr>
          <w:p w:rsidR="00D3448C" w:rsidRPr="00EA1A81" w:rsidRDefault="00EA1A81" w:rsidP="00973C4B">
            <w:pPr>
              <w:rPr>
                <w:rFonts w:eastAsia="Times New Roman" w:cs="Calibri"/>
                <w:b/>
                <w:sz w:val="20"/>
                <w:lang w:eastAsia="en-AU"/>
              </w:rPr>
            </w:pPr>
            <w:r w:rsidRPr="00EA1A81">
              <w:rPr>
                <w:rFonts w:eastAsia="Times New Roman" w:cs="Calibri"/>
                <w:b/>
                <w:sz w:val="20"/>
                <w:lang w:eastAsia="en-AU"/>
              </w:rPr>
              <w:t>Option 1</w:t>
            </w:r>
          </w:p>
        </w:tc>
        <w:tc>
          <w:tcPr>
            <w:tcW w:w="1400" w:type="dxa"/>
            <w:tcBorders>
              <w:top w:val="nil"/>
              <w:left w:val="nil"/>
              <w:bottom w:val="nil"/>
              <w:right w:val="nil"/>
            </w:tcBorders>
            <w:shd w:val="clear" w:color="000000" w:fill="FFFFFF"/>
            <w:noWrap/>
            <w:vAlign w:val="bottom"/>
          </w:tcPr>
          <w:p w:rsidR="00D3448C" w:rsidRPr="00D3448C" w:rsidRDefault="00D3448C" w:rsidP="00973C4B">
            <w:pPr>
              <w:jc w:val="center"/>
              <w:rPr>
                <w:rFonts w:eastAsia="Times New Roman" w:cs="Calibri"/>
                <w:sz w:val="20"/>
                <w:lang w:eastAsia="en-AU"/>
              </w:rPr>
            </w:pPr>
          </w:p>
        </w:tc>
        <w:tc>
          <w:tcPr>
            <w:tcW w:w="1222" w:type="dxa"/>
            <w:tcBorders>
              <w:top w:val="nil"/>
              <w:left w:val="nil"/>
              <w:bottom w:val="nil"/>
              <w:right w:val="nil"/>
            </w:tcBorders>
            <w:shd w:val="clear" w:color="000000" w:fill="FFFFFF"/>
            <w:noWrap/>
            <w:vAlign w:val="bottom"/>
          </w:tcPr>
          <w:p w:rsidR="00D3448C" w:rsidRPr="00D3448C" w:rsidRDefault="00D3448C" w:rsidP="00973C4B">
            <w:pPr>
              <w:jc w:val="center"/>
              <w:rPr>
                <w:rFonts w:eastAsia="Times New Roman" w:cs="Calibri"/>
                <w:sz w:val="20"/>
                <w:lang w:eastAsia="en-AU"/>
              </w:rPr>
            </w:pPr>
          </w:p>
        </w:tc>
        <w:tc>
          <w:tcPr>
            <w:tcW w:w="1311" w:type="dxa"/>
            <w:tcBorders>
              <w:top w:val="nil"/>
              <w:left w:val="nil"/>
              <w:bottom w:val="nil"/>
              <w:right w:val="nil"/>
            </w:tcBorders>
            <w:shd w:val="clear" w:color="000000" w:fill="FFFFFF"/>
            <w:noWrap/>
            <w:vAlign w:val="bottom"/>
          </w:tcPr>
          <w:p w:rsidR="00D3448C" w:rsidRPr="00D3448C" w:rsidRDefault="00D3448C" w:rsidP="00973C4B">
            <w:pPr>
              <w:jc w:val="center"/>
              <w:rPr>
                <w:rFonts w:eastAsia="Times New Roman" w:cs="Calibri"/>
                <w:sz w:val="20"/>
                <w:lang w:eastAsia="en-AU"/>
              </w:rPr>
            </w:pPr>
          </w:p>
        </w:tc>
        <w:tc>
          <w:tcPr>
            <w:tcW w:w="1436" w:type="dxa"/>
            <w:tcBorders>
              <w:top w:val="nil"/>
              <w:left w:val="nil"/>
              <w:bottom w:val="nil"/>
              <w:right w:val="nil"/>
            </w:tcBorders>
            <w:shd w:val="clear" w:color="auto" w:fill="DBE5F1" w:themeFill="accent1" w:themeFillTint="33"/>
            <w:noWrap/>
            <w:vAlign w:val="bottom"/>
          </w:tcPr>
          <w:p w:rsidR="00D3448C" w:rsidRPr="00D3448C" w:rsidRDefault="00D3448C" w:rsidP="00973C4B">
            <w:pPr>
              <w:jc w:val="center"/>
              <w:rPr>
                <w:rFonts w:eastAsia="Times New Roman" w:cs="Calibri"/>
                <w:sz w:val="20"/>
                <w:lang w:eastAsia="en-AU"/>
              </w:rPr>
            </w:pPr>
          </w:p>
        </w:tc>
      </w:tr>
      <w:tr w:rsidR="00EA1A81" w:rsidRPr="00E313A6" w:rsidTr="00FA604F">
        <w:trPr>
          <w:trHeight w:val="80"/>
        </w:trPr>
        <w:tc>
          <w:tcPr>
            <w:tcW w:w="2552" w:type="dxa"/>
            <w:tcBorders>
              <w:top w:val="nil"/>
              <w:left w:val="nil"/>
              <w:bottom w:val="nil"/>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Large owner (Rehabilitate)</w:t>
            </w:r>
          </w:p>
        </w:tc>
        <w:tc>
          <w:tcPr>
            <w:tcW w:w="1400"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25</w:t>
            </w:r>
          </w:p>
        </w:tc>
        <w:tc>
          <w:tcPr>
            <w:tcW w:w="1222"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$14,017</w:t>
            </w:r>
          </w:p>
        </w:tc>
        <w:tc>
          <w:tcPr>
            <w:tcW w:w="1311"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$140,169</w:t>
            </w:r>
          </w:p>
        </w:tc>
        <w:tc>
          <w:tcPr>
            <w:tcW w:w="1436" w:type="dxa"/>
            <w:tcBorders>
              <w:top w:val="nil"/>
              <w:left w:val="nil"/>
              <w:bottom w:val="nil"/>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$118,238</w:t>
            </w:r>
          </w:p>
        </w:tc>
      </w:tr>
      <w:tr w:rsidR="00EA1A81" w:rsidRPr="00E313A6" w:rsidTr="00FA604F">
        <w:trPr>
          <w:trHeight w:val="80"/>
        </w:trPr>
        <w:tc>
          <w:tcPr>
            <w:tcW w:w="2552" w:type="dxa"/>
            <w:tcBorders>
              <w:top w:val="nil"/>
              <w:left w:val="nil"/>
              <w:bottom w:val="nil"/>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Small owner (Rehabilitate)</w:t>
            </w:r>
          </w:p>
        </w:tc>
        <w:tc>
          <w:tcPr>
            <w:tcW w:w="1400"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982</w:t>
            </w:r>
          </w:p>
        </w:tc>
        <w:tc>
          <w:tcPr>
            <w:tcW w:w="1222"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$546,607</w:t>
            </w:r>
          </w:p>
        </w:tc>
        <w:tc>
          <w:tcPr>
            <w:tcW w:w="1311"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$5,466,075</w:t>
            </w:r>
          </w:p>
        </w:tc>
        <w:tc>
          <w:tcPr>
            <w:tcW w:w="1436" w:type="dxa"/>
            <w:tcBorders>
              <w:top w:val="nil"/>
              <w:left w:val="nil"/>
              <w:bottom w:val="nil"/>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$4,610,815</w:t>
            </w:r>
          </w:p>
        </w:tc>
      </w:tr>
      <w:tr w:rsidR="00EA1A81" w:rsidRPr="00E313A6" w:rsidTr="00FA604F">
        <w:trPr>
          <w:trHeight w:val="80"/>
        </w:trPr>
        <w:tc>
          <w:tcPr>
            <w:tcW w:w="2552" w:type="dxa"/>
            <w:tcBorders>
              <w:top w:val="nil"/>
              <w:left w:val="nil"/>
              <w:bottom w:val="nil"/>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Large owner (Euthanasia)</w:t>
            </w:r>
          </w:p>
        </w:tc>
        <w:tc>
          <w:tcPr>
            <w:tcW w:w="1400"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98</w:t>
            </w:r>
          </w:p>
        </w:tc>
        <w:tc>
          <w:tcPr>
            <w:tcW w:w="1222"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$11,754</w:t>
            </w:r>
          </w:p>
        </w:tc>
        <w:tc>
          <w:tcPr>
            <w:tcW w:w="1311"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$117,536</w:t>
            </w:r>
          </w:p>
        </w:tc>
        <w:tc>
          <w:tcPr>
            <w:tcW w:w="1436" w:type="dxa"/>
            <w:tcBorders>
              <w:top w:val="nil"/>
              <w:left w:val="nil"/>
              <w:bottom w:val="nil"/>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$99,146</w:t>
            </w:r>
          </w:p>
        </w:tc>
      </w:tr>
      <w:tr w:rsidR="00EA1A81" w:rsidRPr="00E313A6" w:rsidTr="00FA604F">
        <w:trPr>
          <w:trHeight w:val="80"/>
        </w:trPr>
        <w:tc>
          <w:tcPr>
            <w:tcW w:w="2552" w:type="dxa"/>
            <w:tcBorders>
              <w:top w:val="nil"/>
              <w:left w:val="nil"/>
              <w:bottom w:val="nil"/>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Small owner (Euthanasia)</w:t>
            </w:r>
          </w:p>
        </w:tc>
        <w:tc>
          <w:tcPr>
            <w:tcW w:w="1400"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3,820</w:t>
            </w:r>
          </w:p>
        </w:tc>
        <w:tc>
          <w:tcPr>
            <w:tcW w:w="1222"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$458,346</w:t>
            </w:r>
          </w:p>
        </w:tc>
        <w:tc>
          <w:tcPr>
            <w:tcW w:w="1311"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$4,583,456</w:t>
            </w:r>
          </w:p>
        </w:tc>
        <w:tc>
          <w:tcPr>
            <w:tcW w:w="1436" w:type="dxa"/>
            <w:tcBorders>
              <w:top w:val="nil"/>
              <w:left w:val="nil"/>
              <w:bottom w:val="nil"/>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$3,866,297</w:t>
            </w:r>
          </w:p>
        </w:tc>
      </w:tr>
      <w:tr w:rsidR="00EA1A81" w:rsidRPr="00E313A6" w:rsidTr="00FA604F">
        <w:trPr>
          <w:trHeight w:val="80"/>
        </w:trPr>
        <w:tc>
          <w:tcPr>
            <w:tcW w:w="2552" w:type="dxa"/>
            <w:tcBorders>
              <w:top w:val="nil"/>
              <w:left w:val="nil"/>
              <w:bottom w:val="nil"/>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Large owner (Rehome)</w:t>
            </w:r>
          </w:p>
        </w:tc>
        <w:tc>
          <w:tcPr>
            <w:tcW w:w="1400"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25</w:t>
            </w:r>
          </w:p>
        </w:tc>
        <w:tc>
          <w:tcPr>
            <w:tcW w:w="1222"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$7,558</w:t>
            </w:r>
          </w:p>
        </w:tc>
        <w:tc>
          <w:tcPr>
            <w:tcW w:w="1311" w:type="dxa"/>
            <w:tcBorders>
              <w:top w:val="nil"/>
              <w:left w:val="nil"/>
              <w:bottom w:val="nil"/>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$75,575</w:t>
            </w:r>
          </w:p>
        </w:tc>
        <w:tc>
          <w:tcPr>
            <w:tcW w:w="1436" w:type="dxa"/>
            <w:tcBorders>
              <w:top w:val="nil"/>
              <w:left w:val="nil"/>
              <w:bottom w:val="nil"/>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$63,750</w:t>
            </w:r>
          </w:p>
        </w:tc>
      </w:tr>
      <w:tr w:rsidR="00EA1A81" w:rsidRPr="00E313A6" w:rsidTr="00FA604F">
        <w:trPr>
          <w:trHeight w:val="80"/>
        </w:trPr>
        <w:tc>
          <w:tcPr>
            <w:tcW w:w="2552" w:type="dxa"/>
            <w:tcBorders>
              <w:top w:val="nil"/>
              <w:left w:val="nil"/>
              <w:bottom w:val="single" w:sz="4" w:space="0" w:color="1F497D" w:themeColor="text2"/>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sz w:val="20"/>
              </w:rPr>
              <w:t>Small owner (Rehome)</w:t>
            </w:r>
          </w:p>
        </w:tc>
        <w:tc>
          <w:tcPr>
            <w:tcW w:w="1400" w:type="dxa"/>
            <w:tcBorders>
              <w:top w:val="nil"/>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982</w:t>
            </w:r>
          </w:p>
        </w:tc>
        <w:tc>
          <w:tcPr>
            <w:tcW w:w="1222" w:type="dxa"/>
            <w:tcBorders>
              <w:top w:val="nil"/>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$294,714</w:t>
            </w:r>
          </w:p>
        </w:tc>
        <w:tc>
          <w:tcPr>
            <w:tcW w:w="1311" w:type="dxa"/>
            <w:tcBorders>
              <w:top w:val="nil"/>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sz w:val="20"/>
              </w:rPr>
              <w:t>$2,947,145</w:t>
            </w:r>
          </w:p>
        </w:tc>
        <w:tc>
          <w:tcPr>
            <w:tcW w:w="1436" w:type="dxa"/>
            <w:tcBorders>
              <w:top w:val="nil"/>
              <w:left w:val="nil"/>
              <w:bottom w:val="single" w:sz="4" w:space="0" w:color="1F497D" w:themeColor="text2"/>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sz w:val="20"/>
              </w:rPr>
              <w:t>$2,486,014</w:t>
            </w:r>
          </w:p>
        </w:tc>
      </w:tr>
      <w:tr w:rsidR="00EA1A81" w:rsidRPr="00E313A6" w:rsidTr="00FA604F">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EA1A81" w:rsidRPr="00EA1A81" w:rsidRDefault="00EA1A81" w:rsidP="00EA1A81">
            <w:pPr>
              <w:rPr>
                <w:rFonts w:eastAsia="Times New Roman" w:cs="Calibri"/>
                <w:sz w:val="20"/>
                <w:lang w:eastAsia="en-AU"/>
              </w:rPr>
            </w:pPr>
            <w:r w:rsidRPr="00EA1A81">
              <w:rPr>
                <w:b/>
                <w:bCs/>
                <w:i/>
                <w:iCs/>
                <w:sz w:val="20"/>
              </w:rPr>
              <w:t>Total</w:t>
            </w:r>
          </w:p>
        </w:tc>
        <w:tc>
          <w:tcPr>
            <w:tcW w:w="1400" w:type="dxa"/>
            <w:tcBorders>
              <w:top w:val="single" w:sz="4" w:space="0" w:color="1F497D" w:themeColor="text2"/>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b/>
                <w:bCs/>
                <w:i/>
                <w:iCs/>
                <w:sz w:val="20"/>
              </w:rPr>
              <w:t> </w:t>
            </w:r>
          </w:p>
        </w:tc>
        <w:tc>
          <w:tcPr>
            <w:tcW w:w="1222" w:type="dxa"/>
            <w:tcBorders>
              <w:top w:val="single" w:sz="4" w:space="0" w:color="1F497D" w:themeColor="text2"/>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b/>
                <w:bCs/>
                <w:i/>
                <w:iCs/>
                <w:sz w:val="20"/>
              </w:rPr>
              <w:t>$1,332,996</w:t>
            </w:r>
          </w:p>
        </w:tc>
        <w:tc>
          <w:tcPr>
            <w:tcW w:w="1311" w:type="dxa"/>
            <w:tcBorders>
              <w:top w:val="single" w:sz="4" w:space="0" w:color="1F497D" w:themeColor="text2"/>
              <w:left w:val="nil"/>
              <w:bottom w:val="single" w:sz="4" w:space="0" w:color="1F497D" w:themeColor="text2"/>
              <w:right w:val="nil"/>
            </w:tcBorders>
            <w:shd w:val="clear" w:color="000000" w:fill="FFFFFF"/>
            <w:noWrap/>
            <w:vAlign w:val="bottom"/>
          </w:tcPr>
          <w:p w:rsidR="00EA1A81" w:rsidRPr="00EA1A81" w:rsidRDefault="00EA1A81" w:rsidP="00EA1A81">
            <w:pPr>
              <w:jc w:val="center"/>
              <w:rPr>
                <w:rFonts w:eastAsia="Times New Roman" w:cs="Calibri"/>
                <w:sz w:val="20"/>
                <w:lang w:eastAsia="en-AU"/>
              </w:rPr>
            </w:pPr>
            <w:r w:rsidRPr="00EA1A81">
              <w:rPr>
                <w:b/>
                <w:bCs/>
                <w:i/>
                <w:iCs/>
                <w:sz w:val="20"/>
              </w:rPr>
              <w:t>$13,329,956</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EA1A81" w:rsidRPr="00EA1A81" w:rsidRDefault="00EA1A81" w:rsidP="00EA1A81">
            <w:pPr>
              <w:jc w:val="center"/>
              <w:rPr>
                <w:rFonts w:eastAsia="Times New Roman" w:cs="Calibri"/>
                <w:sz w:val="20"/>
                <w:lang w:eastAsia="en-AU"/>
              </w:rPr>
            </w:pPr>
            <w:r w:rsidRPr="00EA1A81">
              <w:rPr>
                <w:b/>
                <w:bCs/>
                <w:i/>
                <w:iCs/>
                <w:sz w:val="20"/>
              </w:rPr>
              <w:t>$11,244,260</w:t>
            </w:r>
          </w:p>
        </w:tc>
      </w:tr>
      <w:tr w:rsidR="00DC0FA6" w:rsidRPr="00E313A6" w:rsidTr="00FA604F">
        <w:trPr>
          <w:trHeight w:val="80"/>
        </w:trPr>
        <w:tc>
          <w:tcPr>
            <w:tcW w:w="2552" w:type="dxa"/>
            <w:tcBorders>
              <w:top w:val="single" w:sz="4" w:space="0" w:color="1F497D" w:themeColor="text2"/>
              <w:left w:val="nil"/>
              <w:bottom w:val="nil"/>
              <w:right w:val="nil"/>
            </w:tcBorders>
            <w:shd w:val="clear" w:color="000000" w:fill="FFFFFF"/>
            <w:noWrap/>
            <w:vAlign w:val="bottom"/>
          </w:tcPr>
          <w:p w:rsidR="00DC0FA6" w:rsidRPr="00DC0FA6" w:rsidRDefault="00DC0FA6" w:rsidP="00973C4B">
            <w:pPr>
              <w:rPr>
                <w:rFonts w:eastAsia="Times New Roman" w:cs="Calibri"/>
                <w:b/>
                <w:sz w:val="20"/>
                <w:lang w:eastAsia="en-AU"/>
              </w:rPr>
            </w:pPr>
            <w:r w:rsidRPr="00DC0FA6">
              <w:rPr>
                <w:rFonts w:eastAsia="Times New Roman" w:cs="Calibri"/>
                <w:b/>
                <w:sz w:val="20"/>
                <w:lang w:eastAsia="en-AU"/>
              </w:rPr>
              <w:t>Option 2</w:t>
            </w:r>
          </w:p>
        </w:tc>
        <w:tc>
          <w:tcPr>
            <w:tcW w:w="1400"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222"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311"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436" w:type="dxa"/>
            <w:tcBorders>
              <w:top w:val="single" w:sz="4" w:space="0" w:color="1F497D" w:themeColor="text2"/>
              <w:left w:val="nil"/>
              <w:bottom w:val="nil"/>
              <w:right w:val="nil"/>
            </w:tcBorders>
            <w:shd w:val="clear" w:color="auto" w:fill="DBE5F1" w:themeFill="accent1" w:themeFillTint="33"/>
            <w:noWrap/>
            <w:vAlign w:val="bottom"/>
          </w:tcPr>
          <w:p w:rsidR="00DC0FA6" w:rsidRPr="00D3448C" w:rsidRDefault="00DC0FA6" w:rsidP="00973C4B">
            <w:pPr>
              <w:jc w:val="center"/>
              <w:rPr>
                <w:rFonts w:eastAsia="Times New Roman" w:cs="Calibri"/>
                <w:sz w:val="20"/>
                <w:lang w:eastAsia="en-AU"/>
              </w:rPr>
            </w:pP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48</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$26,594</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$265,943</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$224,332</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1,864</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$1,037,076</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$10,370,763</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$8,748,083</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(Euthanasia)</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75</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$9,041</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$90,411</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$76,264</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(Euthanasia)</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2,938</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$352,567</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$3,525,671</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$2,974,021</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(Rehome)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48</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$14,339</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$143,389</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$120,953</w:t>
            </w:r>
          </w:p>
        </w:tc>
      </w:tr>
      <w:tr w:rsidR="00DC0FA6" w:rsidRPr="00E313A6" w:rsidTr="00FA604F">
        <w:trPr>
          <w:trHeight w:val="80"/>
        </w:trPr>
        <w:tc>
          <w:tcPr>
            <w:tcW w:w="255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(Rehome)</w:t>
            </w:r>
          </w:p>
        </w:tc>
        <w:tc>
          <w:tcPr>
            <w:tcW w:w="1400"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1,864</w:t>
            </w:r>
          </w:p>
        </w:tc>
        <w:tc>
          <w:tcPr>
            <w:tcW w:w="122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$559,161</w:t>
            </w:r>
          </w:p>
        </w:tc>
        <w:tc>
          <w:tcPr>
            <w:tcW w:w="1311"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$5,591,606</w:t>
            </w:r>
          </w:p>
        </w:tc>
        <w:tc>
          <w:tcPr>
            <w:tcW w:w="1436" w:type="dxa"/>
            <w:tcBorders>
              <w:top w:val="nil"/>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$4,716,705</w:t>
            </w:r>
          </w:p>
        </w:tc>
      </w:tr>
      <w:tr w:rsidR="00DC0FA6" w:rsidRPr="00E313A6" w:rsidTr="00FA604F">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b/>
                <w:bCs/>
                <w:i/>
                <w:iCs/>
                <w:sz w:val="20"/>
              </w:rPr>
              <w:t>Total</w:t>
            </w:r>
          </w:p>
        </w:tc>
        <w:tc>
          <w:tcPr>
            <w:tcW w:w="1400"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 </w:t>
            </w:r>
          </w:p>
        </w:tc>
        <w:tc>
          <w:tcPr>
            <w:tcW w:w="122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$1,998,778</w:t>
            </w:r>
          </w:p>
        </w:tc>
        <w:tc>
          <w:tcPr>
            <w:tcW w:w="1311"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$19,987,783</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b/>
                <w:bCs/>
                <w:i/>
                <w:iCs/>
                <w:sz w:val="20"/>
              </w:rPr>
              <w:t>$16,860,358</w:t>
            </w:r>
          </w:p>
        </w:tc>
      </w:tr>
      <w:tr w:rsidR="00DC0FA6" w:rsidRPr="00E313A6" w:rsidTr="00FA604F">
        <w:trPr>
          <w:trHeight w:val="80"/>
        </w:trPr>
        <w:tc>
          <w:tcPr>
            <w:tcW w:w="2552" w:type="dxa"/>
            <w:tcBorders>
              <w:top w:val="single" w:sz="4" w:space="0" w:color="1F497D" w:themeColor="text2"/>
              <w:left w:val="nil"/>
              <w:bottom w:val="nil"/>
              <w:right w:val="nil"/>
            </w:tcBorders>
            <w:shd w:val="clear" w:color="000000" w:fill="FFFFFF"/>
            <w:noWrap/>
            <w:vAlign w:val="bottom"/>
          </w:tcPr>
          <w:p w:rsidR="00DC0FA6" w:rsidRPr="00DC0FA6" w:rsidRDefault="00DC0FA6" w:rsidP="00973C4B">
            <w:pPr>
              <w:rPr>
                <w:rFonts w:eastAsia="Times New Roman" w:cs="Calibri"/>
                <w:b/>
                <w:sz w:val="20"/>
                <w:lang w:eastAsia="en-AU"/>
              </w:rPr>
            </w:pPr>
            <w:r w:rsidRPr="00DC0FA6">
              <w:rPr>
                <w:rFonts w:eastAsia="Times New Roman" w:cs="Calibri"/>
                <w:b/>
                <w:sz w:val="20"/>
                <w:lang w:eastAsia="en-AU"/>
              </w:rPr>
              <w:t xml:space="preserve">Options 3, </w:t>
            </w:r>
            <w:r w:rsidR="00C80B29">
              <w:rPr>
                <w:rFonts w:eastAsia="Times New Roman" w:cs="Calibri"/>
                <w:b/>
                <w:sz w:val="20"/>
                <w:lang w:eastAsia="en-AU"/>
              </w:rPr>
              <w:t xml:space="preserve">and </w:t>
            </w:r>
            <w:r w:rsidRPr="00DC0FA6">
              <w:rPr>
                <w:rFonts w:eastAsia="Times New Roman" w:cs="Calibri"/>
                <w:b/>
                <w:sz w:val="20"/>
                <w:lang w:eastAsia="en-AU"/>
              </w:rPr>
              <w:t>5</w:t>
            </w:r>
          </w:p>
        </w:tc>
        <w:tc>
          <w:tcPr>
            <w:tcW w:w="1400"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222"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311"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436" w:type="dxa"/>
            <w:tcBorders>
              <w:top w:val="single" w:sz="4" w:space="0" w:color="1F497D" w:themeColor="text2"/>
              <w:left w:val="nil"/>
              <w:bottom w:val="nil"/>
              <w:right w:val="nil"/>
            </w:tcBorders>
            <w:shd w:val="clear" w:color="auto" w:fill="DBE5F1" w:themeFill="accent1" w:themeFillTint="33"/>
            <w:noWrap/>
            <w:vAlign w:val="bottom"/>
          </w:tcPr>
          <w:p w:rsidR="00DC0FA6" w:rsidRPr="00D3448C" w:rsidRDefault="00DC0FA6" w:rsidP="00973C4B">
            <w:pPr>
              <w:jc w:val="center"/>
              <w:rPr>
                <w:rFonts w:eastAsia="Times New Roman" w:cs="Calibri"/>
                <w:sz w:val="20"/>
                <w:lang w:eastAsia="en-AU"/>
              </w:rPr>
            </w:pP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123</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$68,516</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$685,155</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$577,951</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Smaller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4,802</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$2,671,844</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$26,718,438</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$22,537,889</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(Rehome)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123</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$36,942</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$369,415</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$311,614</w:t>
            </w:r>
          </w:p>
        </w:tc>
      </w:tr>
      <w:tr w:rsidR="00DC0FA6" w:rsidRPr="00E313A6" w:rsidTr="00FA604F">
        <w:trPr>
          <w:trHeight w:val="80"/>
        </w:trPr>
        <w:tc>
          <w:tcPr>
            <w:tcW w:w="255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Smaller owner (Rehome)</w:t>
            </w:r>
          </w:p>
        </w:tc>
        <w:tc>
          <w:tcPr>
            <w:tcW w:w="1400"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4,802</w:t>
            </w:r>
          </w:p>
        </w:tc>
        <w:tc>
          <w:tcPr>
            <w:tcW w:w="122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$1,440,578</w:t>
            </w:r>
          </w:p>
        </w:tc>
        <w:tc>
          <w:tcPr>
            <w:tcW w:w="1311"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$14,405,785</w:t>
            </w:r>
          </w:p>
        </w:tc>
        <w:tc>
          <w:tcPr>
            <w:tcW w:w="1436" w:type="dxa"/>
            <w:tcBorders>
              <w:top w:val="nil"/>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$12,151,757</w:t>
            </w:r>
          </w:p>
        </w:tc>
      </w:tr>
      <w:tr w:rsidR="00DC0FA6" w:rsidRPr="00E313A6" w:rsidTr="00FA604F">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b/>
                <w:bCs/>
                <w:i/>
                <w:iCs/>
                <w:sz w:val="20"/>
              </w:rPr>
              <w:t>Total</w:t>
            </w:r>
          </w:p>
        </w:tc>
        <w:tc>
          <w:tcPr>
            <w:tcW w:w="1400"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 </w:t>
            </w:r>
          </w:p>
        </w:tc>
        <w:tc>
          <w:tcPr>
            <w:tcW w:w="122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$4,217,879</w:t>
            </w:r>
          </w:p>
        </w:tc>
        <w:tc>
          <w:tcPr>
            <w:tcW w:w="1311"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$42,178,793</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b/>
                <w:bCs/>
                <w:i/>
                <w:iCs/>
                <w:sz w:val="20"/>
              </w:rPr>
              <w:t>$35,579,211</w:t>
            </w:r>
          </w:p>
        </w:tc>
      </w:tr>
      <w:tr w:rsidR="00DC0FA6" w:rsidRPr="00E313A6" w:rsidTr="00FA604F">
        <w:trPr>
          <w:trHeight w:val="80"/>
        </w:trPr>
        <w:tc>
          <w:tcPr>
            <w:tcW w:w="2552" w:type="dxa"/>
            <w:tcBorders>
              <w:top w:val="single" w:sz="4" w:space="0" w:color="1F497D" w:themeColor="text2"/>
              <w:left w:val="nil"/>
              <w:bottom w:val="nil"/>
              <w:right w:val="nil"/>
            </w:tcBorders>
            <w:shd w:val="clear" w:color="000000" w:fill="FFFFFF"/>
            <w:noWrap/>
            <w:vAlign w:val="bottom"/>
          </w:tcPr>
          <w:p w:rsidR="00DC0FA6" w:rsidRPr="00DC0FA6" w:rsidRDefault="00DC0FA6" w:rsidP="00973C4B">
            <w:pPr>
              <w:rPr>
                <w:rFonts w:eastAsia="Times New Roman" w:cs="Calibri"/>
                <w:b/>
                <w:sz w:val="20"/>
                <w:lang w:eastAsia="en-AU"/>
              </w:rPr>
            </w:pPr>
            <w:r w:rsidRPr="00DC0FA6">
              <w:rPr>
                <w:rFonts w:eastAsia="Times New Roman" w:cs="Calibri"/>
                <w:b/>
                <w:sz w:val="20"/>
                <w:lang w:eastAsia="en-AU"/>
              </w:rPr>
              <w:t>Option 4</w:t>
            </w:r>
          </w:p>
        </w:tc>
        <w:tc>
          <w:tcPr>
            <w:tcW w:w="1400"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222"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311" w:type="dxa"/>
            <w:tcBorders>
              <w:top w:val="single" w:sz="4" w:space="0" w:color="1F497D" w:themeColor="text2"/>
              <w:left w:val="nil"/>
              <w:bottom w:val="nil"/>
              <w:right w:val="nil"/>
            </w:tcBorders>
            <w:shd w:val="clear" w:color="000000" w:fill="FFFFFF"/>
            <w:noWrap/>
            <w:vAlign w:val="bottom"/>
          </w:tcPr>
          <w:p w:rsidR="00DC0FA6" w:rsidRPr="00D3448C" w:rsidRDefault="00DC0FA6" w:rsidP="00973C4B">
            <w:pPr>
              <w:jc w:val="center"/>
              <w:rPr>
                <w:rFonts w:eastAsia="Times New Roman" w:cs="Calibri"/>
                <w:sz w:val="20"/>
                <w:lang w:eastAsia="en-AU"/>
              </w:rPr>
            </w:pPr>
          </w:p>
        </w:tc>
        <w:tc>
          <w:tcPr>
            <w:tcW w:w="1436" w:type="dxa"/>
            <w:tcBorders>
              <w:top w:val="single" w:sz="4" w:space="0" w:color="1F497D" w:themeColor="text2"/>
              <w:left w:val="nil"/>
              <w:bottom w:val="nil"/>
              <w:right w:val="nil"/>
            </w:tcBorders>
            <w:shd w:val="clear" w:color="auto" w:fill="DBE5F1" w:themeFill="accent1" w:themeFillTint="33"/>
            <w:noWrap/>
            <w:vAlign w:val="bottom"/>
          </w:tcPr>
          <w:p w:rsidR="00DC0FA6" w:rsidRPr="00D3448C" w:rsidRDefault="00DC0FA6" w:rsidP="00973C4B">
            <w:pPr>
              <w:jc w:val="center"/>
              <w:rPr>
                <w:rFonts w:eastAsia="Times New Roman" w:cs="Calibri"/>
                <w:sz w:val="20"/>
                <w:lang w:eastAsia="en-AU"/>
              </w:rPr>
            </w:pP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85</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$47,554</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$475,540</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$401,134</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(Rehabilitate)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3,333</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$1,854,425</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$18,544,255</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$15,642,694</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(Euthanasia)</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38</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$4,521</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$45,207</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$38,134</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(Euthanasia)</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1,469</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$176,291</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$1,762,910</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$1,487,073</w:t>
            </w:r>
          </w:p>
        </w:tc>
      </w:tr>
      <w:tr w:rsidR="00DC0FA6" w:rsidRPr="00E313A6" w:rsidTr="00FA604F">
        <w:trPr>
          <w:trHeight w:val="80"/>
        </w:trPr>
        <w:tc>
          <w:tcPr>
            <w:tcW w:w="2552" w:type="dxa"/>
            <w:tcBorders>
              <w:top w:val="nil"/>
              <w:left w:val="nil"/>
              <w:bottom w:val="nil"/>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Large owner (Rehome)</w:t>
            </w:r>
          </w:p>
        </w:tc>
        <w:tc>
          <w:tcPr>
            <w:tcW w:w="1400"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85</w:t>
            </w:r>
          </w:p>
        </w:tc>
        <w:tc>
          <w:tcPr>
            <w:tcW w:w="1222"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$25,640</w:t>
            </w:r>
          </w:p>
        </w:tc>
        <w:tc>
          <w:tcPr>
            <w:tcW w:w="1311" w:type="dxa"/>
            <w:tcBorders>
              <w:top w:val="nil"/>
              <w:left w:val="nil"/>
              <w:bottom w:val="nil"/>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$256,397</w:t>
            </w:r>
          </w:p>
        </w:tc>
        <w:tc>
          <w:tcPr>
            <w:tcW w:w="1436" w:type="dxa"/>
            <w:tcBorders>
              <w:top w:val="nil"/>
              <w:left w:val="nil"/>
              <w:bottom w:val="nil"/>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$216,279</w:t>
            </w:r>
          </w:p>
        </w:tc>
      </w:tr>
      <w:tr w:rsidR="00DC0FA6" w:rsidRPr="00E313A6" w:rsidTr="00FA604F">
        <w:trPr>
          <w:trHeight w:val="80"/>
        </w:trPr>
        <w:tc>
          <w:tcPr>
            <w:tcW w:w="255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sz w:val="20"/>
              </w:rPr>
              <w:t>Small owner (Rehome)</w:t>
            </w:r>
          </w:p>
        </w:tc>
        <w:tc>
          <w:tcPr>
            <w:tcW w:w="1400"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3,333</w:t>
            </w:r>
          </w:p>
        </w:tc>
        <w:tc>
          <w:tcPr>
            <w:tcW w:w="1222"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$999,851</w:t>
            </w:r>
          </w:p>
        </w:tc>
        <w:tc>
          <w:tcPr>
            <w:tcW w:w="1311" w:type="dxa"/>
            <w:tcBorders>
              <w:top w:val="nil"/>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sz w:val="20"/>
              </w:rPr>
              <w:t>$9,998,509</w:t>
            </w:r>
          </w:p>
        </w:tc>
        <w:tc>
          <w:tcPr>
            <w:tcW w:w="1436" w:type="dxa"/>
            <w:tcBorders>
              <w:top w:val="nil"/>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sz w:val="20"/>
              </w:rPr>
              <w:t>$8,434,074</w:t>
            </w:r>
          </w:p>
        </w:tc>
      </w:tr>
      <w:tr w:rsidR="00DC0FA6" w:rsidRPr="00E313A6" w:rsidTr="00C357B6">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rPr>
                <w:rFonts w:eastAsia="Times New Roman" w:cs="Calibri"/>
                <w:sz w:val="20"/>
                <w:lang w:eastAsia="en-AU"/>
              </w:rPr>
            </w:pPr>
            <w:r w:rsidRPr="00DC0FA6">
              <w:rPr>
                <w:b/>
                <w:bCs/>
                <w:i/>
                <w:iCs/>
                <w:sz w:val="20"/>
              </w:rPr>
              <w:t>Total</w:t>
            </w:r>
          </w:p>
        </w:tc>
        <w:tc>
          <w:tcPr>
            <w:tcW w:w="1400"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 </w:t>
            </w:r>
          </w:p>
        </w:tc>
        <w:tc>
          <w:tcPr>
            <w:tcW w:w="1222"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$3,108,282</w:t>
            </w:r>
          </w:p>
        </w:tc>
        <w:tc>
          <w:tcPr>
            <w:tcW w:w="1311" w:type="dxa"/>
            <w:tcBorders>
              <w:top w:val="single" w:sz="4" w:space="0" w:color="1F497D" w:themeColor="text2"/>
              <w:left w:val="nil"/>
              <w:bottom w:val="single" w:sz="4" w:space="0" w:color="1F497D" w:themeColor="text2"/>
              <w:right w:val="nil"/>
            </w:tcBorders>
            <w:shd w:val="clear" w:color="000000" w:fill="FFFFFF"/>
            <w:noWrap/>
            <w:vAlign w:val="bottom"/>
          </w:tcPr>
          <w:p w:rsidR="00DC0FA6" w:rsidRPr="00DC0FA6" w:rsidRDefault="00DC0FA6" w:rsidP="00DC0FA6">
            <w:pPr>
              <w:jc w:val="center"/>
              <w:rPr>
                <w:rFonts w:eastAsia="Times New Roman" w:cs="Calibri"/>
                <w:sz w:val="20"/>
                <w:lang w:eastAsia="en-AU"/>
              </w:rPr>
            </w:pPr>
            <w:r w:rsidRPr="00DC0FA6">
              <w:rPr>
                <w:b/>
                <w:bCs/>
                <w:i/>
                <w:iCs/>
                <w:sz w:val="20"/>
              </w:rPr>
              <w:t>$31,082,819</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C0FA6" w:rsidRPr="00DC0FA6" w:rsidRDefault="00DC0FA6" w:rsidP="00DC0FA6">
            <w:pPr>
              <w:jc w:val="center"/>
              <w:rPr>
                <w:rFonts w:eastAsia="Times New Roman" w:cs="Calibri"/>
                <w:sz w:val="20"/>
                <w:lang w:eastAsia="en-AU"/>
              </w:rPr>
            </w:pPr>
            <w:r w:rsidRPr="00DC0FA6">
              <w:rPr>
                <w:b/>
                <w:bCs/>
                <w:i/>
                <w:iCs/>
                <w:sz w:val="20"/>
              </w:rPr>
              <w:t>$26,219,388</w:t>
            </w:r>
          </w:p>
        </w:tc>
      </w:tr>
      <w:tr w:rsidR="00F40997" w:rsidRPr="00E313A6" w:rsidTr="00C357B6">
        <w:trPr>
          <w:trHeight w:val="80"/>
        </w:trPr>
        <w:tc>
          <w:tcPr>
            <w:tcW w:w="2552" w:type="dxa"/>
            <w:tcBorders>
              <w:top w:val="single" w:sz="4" w:space="0" w:color="1F497D" w:themeColor="text2"/>
              <w:left w:val="nil"/>
              <w:right w:val="nil"/>
            </w:tcBorders>
            <w:shd w:val="clear" w:color="000000" w:fill="FFFFFF"/>
            <w:noWrap/>
            <w:vAlign w:val="bottom"/>
          </w:tcPr>
          <w:p w:rsidR="00F40997" w:rsidRPr="00C357B6" w:rsidRDefault="00F40997" w:rsidP="00C80B29">
            <w:pPr>
              <w:rPr>
                <w:rFonts w:cs="Calibri"/>
                <w:b/>
                <w:sz w:val="20"/>
                <w:szCs w:val="20"/>
              </w:rPr>
            </w:pPr>
            <w:r w:rsidRPr="00C357B6">
              <w:rPr>
                <w:rFonts w:cs="Calibri"/>
                <w:b/>
                <w:sz w:val="20"/>
                <w:szCs w:val="20"/>
              </w:rPr>
              <w:t>Option 6</w:t>
            </w:r>
          </w:p>
        </w:tc>
        <w:tc>
          <w:tcPr>
            <w:tcW w:w="1400" w:type="dxa"/>
            <w:tcBorders>
              <w:top w:val="single" w:sz="4" w:space="0" w:color="1F497D" w:themeColor="text2"/>
              <w:left w:val="nil"/>
              <w:right w:val="nil"/>
            </w:tcBorders>
            <w:shd w:val="clear" w:color="000000" w:fill="FFFFFF"/>
            <w:noWrap/>
            <w:vAlign w:val="bottom"/>
          </w:tcPr>
          <w:p w:rsidR="00F40997" w:rsidRPr="00C80B29" w:rsidRDefault="00F40997" w:rsidP="00C80B29">
            <w:pPr>
              <w:jc w:val="center"/>
              <w:rPr>
                <w:rFonts w:cs="Calibri"/>
                <w:sz w:val="20"/>
                <w:szCs w:val="20"/>
              </w:rPr>
            </w:pPr>
          </w:p>
        </w:tc>
        <w:tc>
          <w:tcPr>
            <w:tcW w:w="1222" w:type="dxa"/>
            <w:tcBorders>
              <w:top w:val="single" w:sz="4" w:space="0" w:color="1F497D" w:themeColor="text2"/>
              <w:left w:val="nil"/>
              <w:right w:val="nil"/>
            </w:tcBorders>
            <w:shd w:val="clear" w:color="000000" w:fill="FFFFFF"/>
            <w:noWrap/>
            <w:vAlign w:val="bottom"/>
          </w:tcPr>
          <w:p w:rsidR="00F40997" w:rsidRPr="00C80B29" w:rsidRDefault="00F40997" w:rsidP="00C80B29">
            <w:pPr>
              <w:jc w:val="center"/>
              <w:rPr>
                <w:rFonts w:cs="Calibri"/>
                <w:sz w:val="20"/>
                <w:szCs w:val="20"/>
              </w:rPr>
            </w:pPr>
          </w:p>
        </w:tc>
        <w:tc>
          <w:tcPr>
            <w:tcW w:w="1311" w:type="dxa"/>
            <w:tcBorders>
              <w:top w:val="single" w:sz="4" w:space="0" w:color="1F497D" w:themeColor="text2"/>
              <w:left w:val="nil"/>
              <w:right w:val="nil"/>
            </w:tcBorders>
            <w:shd w:val="clear" w:color="000000" w:fill="FFFFFF"/>
            <w:noWrap/>
            <w:vAlign w:val="bottom"/>
          </w:tcPr>
          <w:p w:rsidR="00F40997" w:rsidRPr="00C80B29" w:rsidRDefault="00F40997" w:rsidP="00C80B29">
            <w:pPr>
              <w:jc w:val="center"/>
              <w:rPr>
                <w:rFonts w:cs="Calibri"/>
                <w:sz w:val="20"/>
                <w:szCs w:val="20"/>
              </w:rPr>
            </w:pPr>
          </w:p>
        </w:tc>
        <w:tc>
          <w:tcPr>
            <w:tcW w:w="1436" w:type="dxa"/>
            <w:tcBorders>
              <w:top w:val="single" w:sz="4" w:space="0" w:color="1F497D" w:themeColor="text2"/>
              <w:left w:val="nil"/>
              <w:right w:val="nil"/>
            </w:tcBorders>
            <w:shd w:val="clear" w:color="auto" w:fill="DBE5F1" w:themeFill="accent1" w:themeFillTint="33"/>
            <w:noWrap/>
            <w:vAlign w:val="bottom"/>
          </w:tcPr>
          <w:p w:rsidR="00F40997" w:rsidRPr="00C80B29" w:rsidRDefault="00F40997" w:rsidP="00C80B29">
            <w:pPr>
              <w:jc w:val="center"/>
              <w:rPr>
                <w:rFonts w:cs="Calibri"/>
                <w:sz w:val="20"/>
                <w:szCs w:val="20"/>
              </w:rPr>
            </w:pP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Large owner (Rehabilitate)</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72</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$40,140</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$401,400</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$338,595</w:t>
            </w: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Smaller owner (Rehabilitate)</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2,813</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$1,565,309</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$15,653,086</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$13,203,897</w:t>
            </w: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Large owner (Euthanasia)</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51</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$6,120</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$61,197</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$51,622</w:t>
            </w: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Small owner (Euthanasia)</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1,989</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$238,644</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$2,386,443</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$2,013,044</w:t>
            </w: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Large owner (Rehome)</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72</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$21,642</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$216,423</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$182,560</w:t>
            </w:r>
          </w:p>
        </w:tc>
      </w:tr>
      <w:tr w:rsidR="00C80B29" w:rsidRPr="00E313A6" w:rsidTr="00C357B6">
        <w:trPr>
          <w:trHeight w:val="80"/>
        </w:trPr>
        <w:tc>
          <w:tcPr>
            <w:tcW w:w="2552" w:type="dxa"/>
            <w:tcBorders>
              <w:left w:val="nil"/>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Smaller owner (Rehome)</w:t>
            </w:r>
          </w:p>
        </w:tc>
        <w:tc>
          <w:tcPr>
            <w:tcW w:w="1400"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2,813</w:t>
            </w:r>
          </w:p>
        </w:tc>
        <w:tc>
          <w:tcPr>
            <w:tcW w:w="1222"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$843,968</w:t>
            </w:r>
          </w:p>
        </w:tc>
        <w:tc>
          <w:tcPr>
            <w:tcW w:w="1311" w:type="dxa"/>
            <w:tcBorders>
              <w:left w:val="nil"/>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$8,439,677</w:t>
            </w:r>
          </w:p>
        </w:tc>
        <w:tc>
          <w:tcPr>
            <w:tcW w:w="1436" w:type="dxa"/>
            <w:tcBorders>
              <w:left w:val="nil"/>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$7,119,147</w:t>
            </w:r>
          </w:p>
        </w:tc>
      </w:tr>
      <w:tr w:rsidR="00C80B29" w:rsidRPr="00E313A6" w:rsidTr="00C357B6">
        <w:trPr>
          <w:trHeight w:val="80"/>
        </w:trPr>
        <w:tc>
          <w:tcPr>
            <w:tcW w:w="2552" w:type="dxa"/>
            <w:tcBorders>
              <w:left w:val="nil"/>
              <w:bottom w:val="single" w:sz="4" w:space="0" w:color="1F497D" w:themeColor="text2"/>
              <w:right w:val="nil"/>
            </w:tcBorders>
            <w:shd w:val="clear" w:color="000000" w:fill="FFFFFF"/>
            <w:noWrap/>
            <w:vAlign w:val="bottom"/>
          </w:tcPr>
          <w:p w:rsidR="00C80B29" w:rsidRPr="00D710F0" w:rsidRDefault="00C80B29" w:rsidP="00C80B29">
            <w:pPr>
              <w:rPr>
                <w:b/>
                <w:bCs/>
                <w:i/>
                <w:iCs/>
                <w:sz w:val="20"/>
                <w:szCs w:val="20"/>
              </w:rPr>
            </w:pPr>
            <w:r w:rsidRPr="00C357B6">
              <w:rPr>
                <w:rFonts w:cs="Calibri"/>
                <w:sz w:val="20"/>
                <w:szCs w:val="20"/>
              </w:rPr>
              <w:t>Large owner (Rehabilitate)</w:t>
            </w:r>
          </w:p>
        </w:tc>
        <w:tc>
          <w:tcPr>
            <w:tcW w:w="1400" w:type="dxa"/>
            <w:tcBorders>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72</w:t>
            </w:r>
          </w:p>
        </w:tc>
        <w:tc>
          <w:tcPr>
            <w:tcW w:w="1222" w:type="dxa"/>
            <w:tcBorders>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$40,140</w:t>
            </w:r>
          </w:p>
        </w:tc>
        <w:tc>
          <w:tcPr>
            <w:tcW w:w="1311" w:type="dxa"/>
            <w:tcBorders>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sz w:val="20"/>
                <w:szCs w:val="20"/>
              </w:rPr>
              <w:t>$401,400</w:t>
            </w:r>
          </w:p>
        </w:tc>
        <w:tc>
          <w:tcPr>
            <w:tcW w:w="1436" w:type="dxa"/>
            <w:tcBorders>
              <w:left w:val="nil"/>
              <w:bottom w:val="single" w:sz="4" w:space="0" w:color="1F497D" w:themeColor="text2"/>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sz w:val="20"/>
                <w:szCs w:val="20"/>
              </w:rPr>
              <w:t>$338,595</w:t>
            </w:r>
          </w:p>
        </w:tc>
      </w:tr>
      <w:tr w:rsidR="00C80B29" w:rsidRPr="00E313A6" w:rsidTr="00FA604F">
        <w:trPr>
          <w:trHeight w:val="8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C80B29" w:rsidRPr="00D710F0" w:rsidRDefault="00C80B29" w:rsidP="00C80B29">
            <w:pPr>
              <w:rPr>
                <w:b/>
                <w:bCs/>
                <w:i/>
                <w:iCs/>
                <w:sz w:val="20"/>
                <w:szCs w:val="20"/>
              </w:rPr>
            </w:pPr>
            <w:r w:rsidRPr="00C357B6">
              <w:rPr>
                <w:rFonts w:cs="Calibri"/>
                <w:b/>
                <w:bCs/>
                <w:i/>
                <w:iCs/>
                <w:sz w:val="20"/>
                <w:szCs w:val="20"/>
              </w:rPr>
              <w:t>Total</w:t>
            </w:r>
          </w:p>
        </w:tc>
        <w:tc>
          <w:tcPr>
            <w:tcW w:w="1400" w:type="dxa"/>
            <w:tcBorders>
              <w:top w:val="single" w:sz="4" w:space="0" w:color="1F497D" w:themeColor="text2"/>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b/>
                <w:bCs/>
                <w:i/>
                <w:iCs/>
                <w:sz w:val="20"/>
                <w:szCs w:val="20"/>
              </w:rPr>
              <w:t> </w:t>
            </w:r>
          </w:p>
        </w:tc>
        <w:tc>
          <w:tcPr>
            <w:tcW w:w="1222" w:type="dxa"/>
            <w:tcBorders>
              <w:top w:val="single" w:sz="4" w:space="0" w:color="1F497D" w:themeColor="text2"/>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b/>
                <w:bCs/>
                <w:i/>
                <w:iCs/>
                <w:sz w:val="20"/>
                <w:szCs w:val="20"/>
              </w:rPr>
              <w:t>$2,715,823</w:t>
            </w:r>
          </w:p>
        </w:tc>
        <w:tc>
          <w:tcPr>
            <w:tcW w:w="1311" w:type="dxa"/>
            <w:tcBorders>
              <w:top w:val="single" w:sz="4" w:space="0" w:color="1F497D" w:themeColor="text2"/>
              <w:left w:val="nil"/>
              <w:bottom w:val="single" w:sz="4" w:space="0" w:color="1F497D" w:themeColor="text2"/>
              <w:right w:val="nil"/>
            </w:tcBorders>
            <w:shd w:val="clear" w:color="000000" w:fill="FFFFFF"/>
            <w:noWrap/>
            <w:vAlign w:val="bottom"/>
          </w:tcPr>
          <w:p w:rsidR="00C80B29" w:rsidRPr="00D710F0" w:rsidRDefault="00C80B29" w:rsidP="00C80B29">
            <w:pPr>
              <w:jc w:val="center"/>
              <w:rPr>
                <w:b/>
                <w:bCs/>
                <w:i/>
                <w:iCs/>
                <w:sz w:val="20"/>
                <w:szCs w:val="20"/>
              </w:rPr>
            </w:pPr>
            <w:r w:rsidRPr="00C357B6">
              <w:rPr>
                <w:rFonts w:cs="Calibri"/>
                <w:b/>
                <w:bCs/>
                <w:i/>
                <w:iCs/>
                <w:sz w:val="20"/>
                <w:szCs w:val="20"/>
              </w:rPr>
              <w:t>$27,158,226</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C80B29" w:rsidRPr="00D710F0" w:rsidRDefault="00C80B29" w:rsidP="00C80B29">
            <w:pPr>
              <w:jc w:val="center"/>
              <w:rPr>
                <w:b/>
                <w:bCs/>
                <w:i/>
                <w:iCs/>
                <w:sz w:val="20"/>
                <w:szCs w:val="20"/>
              </w:rPr>
            </w:pPr>
            <w:r w:rsidRPr="00C357B6">
              <w:rPr>
                <w:rFonts w:cs="Calibri"/>
                <w:b/>
                <w:bCs/>
                <w:i/>
                <w:iCs/>
                <w:sz w:val="20"/>
                <w:szCs w:val="20"/>
              </w:rPr>
              <w:t>$22,908,864</w:t>
            </w:r>
          </w:p>
        </w:tc>
      </w:tr>
    </w:tbl>
    <w:p w:rsidR="00C100E9" w:rsidRDefault="00C100E9" w:rsidP="00C100E9">
      <w:pPr>
        <w:jc w:val="both"/>
      </w:pPr>
    </w:p>
    <w:p w:rsidR="00793D7D" w:rsidRDefault="00793D7D">
      <w:pPr>
        <w:rPr>
          <w:i/>
          <w:color w:val="53565A"/>
          <w:sz w:val="24"/>
          <w:szCs w:val="24"/>
        </w:rPr>
      </w:pPr>
      <w:bookmarkStart w:id="249" w:name="_Toc469529223"/>
      <w:bookmarkStart w:id="250" w:name="_Toc477190247"/>
      <w:r>
        <w:br w:type="page"/>
      </w:r>
    </w:p>
    <w:p w:rsidR="00C100E9" w:rsidRPr="00895DD4" w:rsidRDefault="00EA26DD" w:rsidP="005E307C">
      <w:pPr>
        <w:pStyle w:val="Heading3"/>
      </w:pPr>
      <w:r>
        <w:lastRenderedPageBreak/>
        <w:t>A4.11</w:t>
      </w:r>
      <w:r w:rsidR="00F314DE">
        <w:t>.3</w:t>
      </w:r>
      <w:r w:rsidR="00BE76C5">
        <w:t xml:space="preserve"> I</w:t>
      </w:r>
      <w:r w:rsidR="00C100E9">
        <w:t xml:space="preserve">ncremental cost savings </w:t>
      </w:r>
      <w:r w:rsidR="00BE76C5">
        <w:t xml:space="preserve">for GAP under proposed standard 6.3.12 </w:t>
      </w:r>
      <w:r w:rsidR="00793D7D">
        <w:br/>
      </w:r>
      <w:r w:rsidR="006C6D4D">
        <w:t>(Options 1 to 6)</w:t>
      </w:r>
      <w:bookmarkEnd w:id="249"/>
      <w:bookmarkEnd w:id="250"/>
    </w:p>
    <w:p w:rsidR="00C100E9" w:rsidRDefault="00C100E9" w:rsidP="00C100E9">
      <w:pPr>
        <w:jc w:val="both"/>
      </w:pPr>
      <w:r>
        <w:t xml:space="preserve">With respect to GAP there are anticipated additional cost savings provided by not having to rehome or rehabilitate </w:t>
      </w:r>
      <w:r w:rsidR="00F314DE">
        <w:t xml:space="preserve">or euthanase </w:t>
      </w:r>
      <w:r>
        <w:t>a dog that would otherwise be required under the base case.</w:t>
      </w:r>
      <w:r w:rsidR="007B521C">
        <w:t xml:space="preserve"> </w:t>
      </w:r>
      <w:r>
        <w:t xml:space="preserve">The annual cost savings is estimated by determining the estimated number of dogs affected and using the costs of rehabilitation ($556/dog) or the cost of rehoming a dog including de-sexing ($300/dog + $229/month/per dog (food and shelter) x 1.4 months currently spent at GAP) </w:t>
      </w:r>
      <w:r w:rsidR="00620260">
        <w:t xml:space="preserve">and the cost of euthanasia ($120/dog) </w:t>
      </w:r>
      <w:r>
        <w:t>(see Panel A4.5 for itemised per unit costs).</w:t>
      </w:r>
      <w:r w:rsidR="007B521C">
        <w:t xml:space="preserve"> </w:t>
      </w:r>
    </w:p>
    <w:p w:rsidR="00C100E9" w:rsidRDefault="00C100E9" w:rsidP="00C100E9">
      <w:pPr>
        <w:jc w:val="both"/>
      </w:pPr>
    </w:p>
    <w:p w:rsidR="00C100E9" w:rsidRDefault="00C100E9" w:rsidP="00C100E9">
      <w:pPr>
        <w:jc w:val="both"/>
      </w:pPr>
      <w:r>
        <w:t>The estimated number of dogs affected in terms of not requiring rehoming</w:t>
      </w:r>
      <w:r w:rsidR="00F314DE">
        <w:t>, rehabilitation and euthanasia</w:t>
      </w:r>
      <w:r>
        <w:t xml:space="preserve"> is </w:t>
      </w:r>
      <w:r w:rsidR="00620260">
        <w:t>686</w:t>
      </w:r>
      <w:r w:rsidR="00F314DE">
        <w:t>, 846 and 159, respectively, as</w:t>
      </w:r>
      <w:r w:rsidR="00620260">
        <w:t xml:space="preserve"> shown in Panel A4.3</w:t>
      </w:r>
      <w:r>
        <w:t>.</w:t>
      </w:r>
      <w:r w:rsidRPr="00BE1913">
        <w:t xml:space="preserve"> </w:t>
      </w:r>
      <w:r>
        <w:t xml:space="preserve">The 10-year additional cost savings for GAP under proposed standard </w:t>
      </w:r>
      <w:r w:rsidR="00620260">
        <w:t>6.3.12 under Options 1 to 6 is estimated to be $10.</w:t>
      </w:r>
      <w:r w:rsidR="00252A60">
        <w:t>01</w:t>
      </w:r>
      <w:r>
        <w:t>m in present value dollars as shown in Table A4.17.</w:t>
      </w:r>
    </w:p>
    <w:p w:rsidR="00C100E9" w:rsidRDefault="00C100E9" w:rsidP="00C100E9">
      <w:pPr>
        <w:jc w:val="both"/>
      </w:pPr>
    </w:p>
    <w:p w:rsidR="00C100E9" w:rsidRPr="00620260" w:rsidRDefault="00C100E9" w:rsidP="00C100E9">
      <w:pPr>
        <w:jc w:val="center"/>
        <w:rPr>
          <w:b/>
          <w:sz w:val="20"/>
        </w:rPr>
      </w:pPr>
      <w:r w:rsidRPr="00620260">
        <w:rPr>
          <w:b/>
          <w:sz w:val="20"/>
        </w:rPr>
        <w:t>Table A4.17: Estimated 10-year additional cost savings of retirement/rehoming</w:t>
      </w:r>
      <w:r w:rsidR="00172B67">
        <w:rPr>
          <w:b/>
          <w:sz w:val="20"/>
        </w:rPr>
        <w:t>/euthanasia</w:t>
      </w:r>
      <w:r w:rsidRPr="00620260">
        <w:rPr>
          <w:b/>
          <w:sz w:val="20"/>
        </w:rPr>
        <w:t xml:space="preserve"> for GAP</w:t>
      </w:r>
      <w:r w:rsidR="00620260">
        <w:rPr>
          <w:b/>
          <w:sz w:val="20"/>
        </w:rPr>
        <w:t xml:space="preserve"> under proposed standard 6.3.12 – Options 1 to 6</w:t>
      </w:r>
    </w:p>
    <w:p w:rsidR="00C100E9" w:rsidRDefault="00C100E9" w:rsidP="00C100E9">
      <w:pPr>
        <w:jc w:val="both"/>
      </w:pPr>
    </w:p>
    <w:tbl>
      <w:tblPr>
        <w:tblW w:w="8307" w:type="dxa"/>
        <w:tblLook w:val="04A0" w:firstRow="1" w:lastRow="0" w:firstColumn="1" w:lastColumn="0" w:noHBand="0" w:noVBand="1"/>
      </w:tblPr>
      <w:tblGrid>
        <w:gridCol w:w="1809"/>
        <w:gridCol w:w="1051"/>
        <w:gridCol w:w="1359"/>
        <w:gridCol w:w="2044"/>
        <w:gridCol w:w="2044"/>
      </w:tblGrid>
      <w:tr w:rsidR="00252A60" w:rsidRPr="00BD28C4" w:rsidTr="00503B24">
        <w:trPr>
          <w:trHeight w:val="615"/>
          <w:tblHeader/>
        </w:trPr>
        <w:tc>
          <w:tcPr>
            <w:tcW w:w="1809"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FA604F" w:rsidP="00973C4B">
            <w:pPr>
              <w:rPr>
                <w:rFonts w:eastAsia="Times New Roman" w:cs="Calibri"/>
                <w:b/>
                <w:bCs/>
                <w:color w:val="53565A"/>
                <w:sz w:val="20"/>
                <w:lang w:eastAsia="en-AU"/>
              </w:rPr>
            </w:pPr>
            <w:r w:rsidRPr="00BD28C4">
              <w:rPr>
                <w:rFonts w:eastAsia="Times New Roman" w:cs="Calibri"/>
                <w:b/>
                <w:bCs/>
                <w:color w:val="53565A"/>
                <w:sz w:val="20"/>
                <w:lang w:eastAsia="en-AU"/>
              </w:rPr>
              <w:t>GAP activity</w:t>
            </w:r>
          </w:p>
        </w:tc>
        <w:tc>
          <w:tcPr>
            <w:tcW w:w="1051"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Estimated No. dogs affected</w:t>
            </w:r>
          </w:p>
        </w:tc>
        <w:tc>
          <w:tcPr>
            <w:tcW w:w="1359"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Annual cost savings</w:t>
            </w:r>
          </w:p>
        </w:tc>
        <w:tc>
          <w:tcPr>
            <w:tcW w:w="2044"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10-year cost savings</w:t>
            </w:r>
          </w:p>
        </w:tc>
        <w:tc>
          <w:tcPr>
            <w:tcW w:w="2044"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BD28C4" w:rsidRDefault="00C100E9" w:rsidP="00973C4B">
            <w:pPr>
              <w:jc w:val="center"/>
              <w:rPr>
                <w:rFonts w:eastAsia="Times New Roman" w:cs="Calibri"/>
                <w:b/>
                <w:bCs/>
                <w:color w:val="53565A"/>
                <w:sz w:val="20"/>
                <w:lang w:eastAsia="en-AU"/>
              </w:rPr>
            </w:pPr>
            <w:r w:rsidRPr="00BD28C4">
              <w:rPr>
                <w:rFonts w:eastAsia="Times New Roman" w:cs="Calibri"/>
                <w:b/>
                <w:bCs/>
                <w:color w:val="53565A"/>
                <w:sz w:val="20"/>
                <w:lang w:eastAsia="en-AU"/>
              </w:rPr>
              <w:t>10-year PV savings</w:t>
            </w:r>
          </w:p>
        </w:tc>
      </w:tr>
      <w:tr w:rsidR="00252A60" w:rsidRPr="00857053" w:rsidTr="00503B24">
        <w:trPr>
          <w:trHeight w:val="35"/>
        </w:trPr>
        <w:tc>
          <w:tcPr>
            <w:tcW w:w="1809" w:type="dxa"/>
            <w:tcBorders>
              <w:top w:val="nil"/>
              <w:left w:val="nil"/>
              <w:bottom w:val="nil"/>
              <w:right w:val="nil"/>
            </w:tcBorders>
            <w:shd w:val="clear" w:color="000000" w:fill="FFFFFF"/>
            <w:noWrap/>
            <w:vAlign w:val="bottom"/>
            <w:hideMark/>
          </w:tcPr>
          <w:p w:rsidR="000C6218" w:rsidRPr="00620260" w:rsidRDefault="000C6218" w:rsidP="000C6218">
            <w:pPr>
              <w:rPr>
                <w:rFonts w:eastAsia="Times New Roman" w:cs="Calibri"/>
                <w:sz w:val="20"/>
                <w:lang w:eastAsia="en-AU"/>
              </w:rPr>
            </w:pPr>
            <w:r w:rsidRPr="00620260">
              <w:rPr>
                <w:rFonts w:eastAsia="Times New Roman" w:cs="Calibri"/>
                <w:sz w:val="20"/>
                <w:lang w:eastAsia="en-AU"/>
              </w:rPr>
              <w:t>GAP (Rehome)</w:t>
            </w:r>
          </w:p>
        </w:tc>
        <w:tc>
          <w:tcPr>
            <w:tcW w:w="1051" w:type="dxa"/>
            <w:tcBorders>
              <w:top w:val="nil"/>
              <w:left w:val="nil"/>
              <w:bottom w:val="nil"/>
              <w:right w:val="nil"/>
            </w:tcBorders>
            <w:shd w:val="clear" w:color="000000" w:fill="FFFFFF"/>
            <w:vAlign w:val="bottom"/>
            <w:hideMark/>
          </w:tcPr>
          <w:p w:rsidR="000C6218" w:rsidRPr="00620260" w:rsidRDefault="000C6218" w:rsidP="000C6218">
            <w:pPr>
              <w:jc w:val="center"/>
              <w:rPr>
                <w:rFonts w:eastAsia="Times New Roman" w:cs="Calibri"/>
                <w:sz w:val="20"/>
                <w:lang w:eastAsia="en-AU"/>
              </w:rPr>
            </w:pPr>
            <w:r w:rsidRPr="00620260">
              <w:rPr>
                <w:rFonts w:eastAsia="Times New Roman" w:cs="Calibri"/>
                <w:sz w:val="20"/>
                <w:lang w:eastAsia="en-AU"/>
              </w:rPr>
              <w:t>686</w:t>
            </w:r>
          </w:p>
        </w:tc>
        <w:tc>
          <w:tcPr>
            <w:tcW w:w="1359" w:type="dxa"/>
            <w:tcBorders>
              <w:top w:val="nil"/>
              <w:left w:val="nil"/>
              <w:bottom w:val="nil"/>
              <w:right w:val="nil"/>
            </w:tcBorders>
            <w:shd w:val="clear" w:color="000000" w:fill="FFFFFF"/>
            <w:noWrap/>
            <w:hideMark/>
          </w:tcPr>
          <w:p w:rsidR="000C6218" w:rsidRPr="00503B24" w:rsidRDefault="000C6218" w:rsidP="000C6218">
            <w:pPr>
              <w:jc w:val="center"/>
              <w:rPr>
                <w:rFonts w:eastAsia="Times New Roman" w:cs="Calibri"/>
                <w:sz w:val="18"/>
                <w:lang w:eastAsia="en-AU"/>
              </w:rPr>
            </w:pPr>
            <w:r w:rsidRPr="00503B24">
              <w:rPr>
                <w:sz w:val="18"/>
              </w:rPr>
              <w:t>$426,099</w:t>
            </w:r>
          </w:p>
        </w:tc>
        <w:tc>
          <w:tcPr>
            <w:tcW w:w="2044" w:type="dxa"/>
            <w:tcBorders>
              <w:top w:val="nil"/>
              <w:left w:val="nil"/>
              <w:bottom w:val="nil"/>
              <w:right w:val="nil"/>
            </w:tcBorders>
            <w:shd w:val="clear" w:color="000000" w:fill="FFFFFF"/>
            <w:noWrap/>
            <w:hideMark/>
          </w:tcPr>
          <w:p w:rsidR="000C6218" w:rsidRPr="00503B24" w:rsidRDefault="000C6218" w:rsidP="000C6218">
            <w:pPr>
              <w:jc w:val="center"/>
              <w:rPr>
                <w:rFonts w:eastAsia="Times New Roman" w:cs="Calibri"/>
                <w:sz w:val="18"/>
                <w:lang w:eastAsia="en-AU"/>
              </w:rPr>
            </w:pPr>
            <w:r w:rsidRPr="00503B24">
              <w:rPr>
                <w:sz w:val="18"/>
              </w:rPr>
              <w:t>$4,260,986</w:t>
            </w:r>
          </w:p>
        </w:tc>
        <w:tc>
          <w:tcPr>
            <w:tcW w:w="2044" w:type="dxa"/>
            <w:tcBorders>
              <w:top w:val="nil"/>
              <w:left w:val="nil"/>
              <w:bottom w:val="nil"/>
              <w:right w:val="nil"/>
            </w:tcBorders>
            <w:shd w:val="clear" w:color="auto" w:fill="DBE5F1" w:themeFill="accent1" w:themeFillTint="33"/>
            <w:noWrap/>
            <w:hideMark/>
          </w:tcPr>
          <w:p w:rsidR="000C6218" w:rsidRPr="00503B24" w:rsidRDefault="000C6218" w:rsidP="000C6218">
            <w:pPr>
              <w:jc w:val="center"/>
              <w:rPr>
                <w:rFonts w:eastAsia="Times New Roman" w:cs="Calibri"/>
                <w:sz w:val="18"/>
                <w:lang w:eastAsia="en-AU"/>
              </w:rPr>
            </w:pPr>
            <w:r w:rsidRPr="00503B24">
              <w:rPr>
                <w:sz w:val="18"/>
              </w:rPr>
              <w:t>$3,594,283</w:t>
            </w:r>
          </w:p>
        </w:tc>
      </w:tr>
      <w:tr w:rsidR="00252A60" w:rsidRPr="00857053" w:rsidTr="00503B24">
        <w:trPr>
          <w:trHeight w:val="80"/>
        </w:trPr>
        <w:tc>
          <w:tcPr>
            <w:tcW w:w="1809" w:type="dxa"/>
            <w:tcBorders>
              <w:top w:val="nil"/>
              <w:left w:val="nil"/>
              <w:bottom w:val="nil"/>
              <w:right w:val="nil"/>
            </w:tcBorders>
            <w:shd w:val="clear" w:color="000000" w:fill="FFFFFF"/>
            <w:noWrap/>
            <w:vAlign w:val="bottom"/>
          </w:tcPr>
          <w:p w:rsidR="00620260" w:rsidRPr="00620260" w:rsidRDefault="00620260" w:rsidP="00620260">
            <w:pPr>
              <w:rPr>
                <w:rFonts w:eastAsia="Times New Roman" w:cs="Calibri"/>
                <w:sz w:val="20"/>
                <w:lang w:eastAsia="en-AU"/>
              </w:rPr>
            </w:pPr>
            <w:r w:rsidRPr="00620260">
              <w:rPr>
                <w:sz w:val="20"/>
              </w:rPr>
              <w:t>GAP (Euthanasia)</w:t>
            </w:r>
          </w:p>
        </w:tc>
        <w:tc>
          <w:tcPr>
            <w:tcW w:w="1051" w:type="dxa"/>
            <w:tcBorders>
              <w:top w:val="nil"/>
              <w:left w:val="nil"/>
              <w:bottom w:val="nil"/>
              <w:right w:val="nil"/>
            </w:tcBorders>
            <w:shd w:val="clear" w:color="000000" w:fill="FFFFFF"/>
            <w:noWrap/>
            <w:vAlign w:val="bottom"/>
          </w:tcPr>
          <w:p w:rsidR="00620260" w:rsidRPr="00620260" w:rsidRDefault="00620260" w:rsidP="00620260">
            <w:pPr>
              <w:jc w:val="center"/>
              <w:rPr>
                <w:rFonts w:eastAsia="Times New Roman" w:cs="Calibri"/>
                <w:sz w:val="20"/>
                <w:lang w:eastAsia="en-AU"/>
              </w:rPr>
            </w:pPr>
            <w:r w:rsidRPr="00620260">
              <w:rPr>
                <w:sz w:val="20"/>
              </w:rPr>
              <w:t>159</w:t>
            </w:r>
          </w:p>
        </w:tc>
        <w:tc>
          <w:tcPr>
            <w:tcW w:w="1359" w:type="dxa"/>
            <w:tcBorders>
              <w:top w:val="nil"/>
              <w:left w:val="nil"/>
              <w:bottom w:val="nil"/>
              <w:right w:val="nil"/>
            </w:tcBorders>
            <w:shd w:val="clear" w:color="000000" w:fill="FFFFFF"/>
            <w:noWrap/>
            <w:vAlign w:val="bottom"/>
          </w:tcPr>
          <w:p w:rsidR="00620260" w:rsidRPr="00620260" w:rsidRDefault="00620260" w:rsidP="00620260">
            <w:pPr>
              <w:jc w:val="center"/>
              <w:rPr>
                <w:rFonts w:eastAsia="Times New Roman" w:cs="Calibri"/>
                <w:sz w:val="20"/>
                <w:lang w:eastAsia="en-AU"/>
              </w:rPr>
            </w:pPr>
            <w:r w:rsidRPr="00620260">
              <w:rPr>
                <w:sz w:val="20"/>
              </w:rPr>
              <w:t>$19,120</w:t>
            </w:r>
          </w:p>
        </w:tc>
        <w:tc>
          <w:tcPr>
            <w:tcW w:w="2044" w:type="dxa"/>
            <w:tcBorders>
              <w:top w:val="nil"/>
              <w:left w:val="nil"/>
              <w:bottom w:val="nil"/>
              <w:right w:val="nil"/>
            </w:tcBorders>
            <w:shd w:val="clear" w:color="000000" w:fill="FFFFFF"/>
            <w:noWrap/>
            <w:vAlign w:val="bottom"/>
          </w:tcPr>
          <w:p w:rsidR="00620260" w:rsidRPr="00620260" w:rsidRDefault="00620260" w:rsidP="00620260">
            <w:pPr>
              <w:jc w:val="center"/>
              <w:rPr>
                <w:rFonts w:eastAsia="Times New Roman" w:cs="Calibri"/>
                <w:sz w:val="20"/>
                <w:lang w:eastAsia="en-AU"/>
              </w:rPr>
            </w:pPr>
            <w:r w:rsidRPr="00620260">
              <w:rPr>
                <w:sz w:val="20"/>
              </w:rPr>
              <w:t>$191,200</w:t>
            </w:r>
          </w:p>
        </w:tc>
        <w:tc>
          <w:tcPr>
            <w:tcW w:w="2044" w:type="dxa"/>
            <w:tcBorders>
              <w:top w:val="nil"/>
              <w:left w:val="nil"/>
              <w:bottom w:val="nil"/>
              <w:right w:val="nil"/>
            </w:tcBorders>
            <w:shd w:val="clear" w:color="auto" w:fill="DBE5F1" w:themeFill="accent1" w:themeFillTint="33"/>
            <w:noWrap/>
            <w:vAlign w:val="bottom"/>
          </w:tcPr>
          <w:p w:rsidR="00620260" w:rsidRPr="00620260" w:rsidRDefault="00620260" w:rsidP="00620260">
            <w:pPr>
              <w:jc w:val="center"/>
              <w:rPr>
                <w:rFonts w:eastAsia="Times New Roman" w:cs="Calibri"/>
                <w:sz w:val="20"/>
                <w:lang w:eastAsia="en-AU"/>
              </w:rPr>
            </w:pPr>
            <w:r w:rsidRPr="00620260">
              <w:rPr>
                <w:sz w:val="20"/>
              </w:rPr>
              <w:t>$161,284</w:t>
            </w:r>
          </w:p>
        </w:tc>
      </w:tr>
      <w:tr w:rsidR="00252A60" w:rsidRPr="00857053" w:rsidTr="00503B24">
        <w:trPr>
          <w:trHeight w:val="80"/>
        </w:trPr>
        <w:tc>
          <w:tcPr>
            <w:tcW w:w="1809" w:type="dxa"/>
            <w:tcBorders>
              <w:top w:val="nil"/>
              <w:left w:val="nil"/>
              <w:bottom w:val="nil"/>
              <w:right w:val="nil"/>
            </w:tcBorders>
            <w:shd w:val="clear" w:color="000000" w:fill="FFFFFF"/>
            <w:noWrap/>
            <w:vAlign w:val="bottom"/>
            <w:hideMark/>
          </w:tcPr>
          <w:p w:rsidR="00C100E9" w:rsidRPr="00620260" w:rsidRDefault="00C100E9" w:rsidP="00973C4B">
            <w:pPr>
              <w:rPr>
                <w:rFonts w:eastAsia="Times New Roman" w:cs="Calibri"/>
                <w:sz w:val="20"/>
                <w:lang w:eastAsia="en-AU"/>
              </w:rPr>
            </w:pPr>
            <w:r w:rsidRPr="00620260">
              <w:rPr>
                <w:rFonts w:eastAsia="Times New Roman" w:cs="Calibri"/>
                <w:sz w:val="20"/>
                <w:lang w:eastAsia="en-AU"/>
              </w:rPr>
              <w:t>GAP (Rehabilitate)</w:t>
            </w:r>
          </w:p>
        </w:tc>
        <w:tc>
          <w:tcPr>
            <w:tcW w:w="1051" w:type="dxa"/>
            <w:tcBorders>
              <w:top w:val="nil"/>
              <w:left w:val="nil"/>
              <w:bottom w:val="nil"/>
              <w:right w:val="nil"/>
            </w:tcBorders>
            <w:shd w:val="clear" w:color="000000" w:fill="FFFFFF"/>
            <w:noWrap/>
            <w:vAlign w:val="bottom"/>
            <w:hideMark/>
          </w:tcPr>
          <w:p w:rsidR="00C100E9" w:rsidRPr="00620260" w:rsidRDefault="00C100E9" w:rsidP="00973C4B">
            <w:pPr>
              <w:jc w:val="center"/>
              <w:rPr>
                <w:rFonts w:eastAsia="Times New Roman" w:cs="Calibri"/>
                <w:sz w:val="20"/>
                <w:lang w:eastAsia="en-AU"/>
              </w:rPr>
            </w:pPr>
            <w:r w:rsidRPr="00620260">
              <w:rPr>
                <w:rFonts w:eastAsia="Times New Roman" w:cs="Calibri"/>
                <w:sz w:val="20"/>
                <w:lang w:eastAsia="en-AU"/>
              </w:rPr>
              <w:t>846</w:t>
            </w:r>
          </w:p>
        </w:tc>
        <w:tc>
          <w:tcPr>
            <w:tcW w:w="1359" w:type="dxa"/>
            <w:tcBorders>
              <w:top w:val="nil"/>
              <w:left w:val="nil"/>
              <w:bottom w:val="nil"/>
              <w:right w:val="nil"/>
            </w:tcBorders>
            <w:shd w:val="clear" w:color="000000" w:fill="FFFFFF"/>
            <w:noWrap/>
            <w:vAlign w:val="bottom"/>
            <w:hideMark/>
          </w:tcPr>
          <w:p w:rsidR="00C100E9" w:rsidRPr="00620260" w:rsidRDefault="00C100E9" w:rsidP="00973C4B">
            <w:pPr>
              <w:jc w:val="center"/>
              <w:rPr>
                <w:rFonts w:eastAsia="Times New Roman" w:cs="Calibri"/>
                <w:sz w:val="20"/>
                <w:lang w:eastAsia="en-AU"/>
              </w:rPr>
            </w:pPr>
            <w:r w:rsidRPr="00620260">
              <w:rPr>
                <w:rFonts w:eastAsia="Times New Roman" w:cs="Calibri"/>
                <w:sz w:val="20"/>
                <w:lang w:eastAsia="en-AU"/>
              </w:rPr>
              <w:t>$741,856</w:t>
            </w:r>
          </w:p>
        </w:tc>
        <w:tc>
          <w:tcPr>
            <w:tcW w:w="2044" w:type="dxa"/>
            <w:tcBorders>
              <w:top w:val="nil"/>
              <w:left w:val="nil"/>
              <w:bottom w:val="nil"/>
              <w:right w:val="nil"/>
            </w:tcBorders>
            <w:shd w:val="clear" w:color="000000" w:fill="FFFFFF"/>
            <w:noWrap/>
            <w:vAlign w:val="bottom"/>
            <w:hideMark/>
          </w:tcPr>
          <w:p w:rsidR="00C100E9" w:rsidRPr="00620260" w:rsidRDefault="00C100E9" w:rsidP="00973C4B">
            <w:pPr>
              <w:jc w:val="center"/>
              <w:rPr>
                <w:rFonts w:eastAsia="Times New Roman" w:cs="Calibri"/>
                <w:sz w:val="20"/>
                <w:lang w:eastAsia="en-AU"/>
              </w:rPr>
            </w:pPr>
            <w:r w:rsidRPr="00620260">
              <w:rPr>
                <w:rFonts w:eastAsia="Times New Roman" w:cs="Calibri"/>
                <w:sz w:val="20"/>
                <w:lang w:eastAsia="en-AU"/>
              </w:rPr>
              <w:t>$7,418,560</w:t>
            </w:r>
          </w:p>
        </w:tc>
        <w:tc>
          <w:tcPr>
            <w:tcW w:w="2044" w:type="dxa"/>
            <w:tcBorders>
              <w:top w:val="nil"/>
              <w:left w:val="nil"/>
              <w:bottom w:val="nil"/>
              <w:right w:val="nil"/>
            </w:tcBorders>
            <w:shd w:val="clear" w:color="auto" w:fill="DBE5F1" w:themeFill="accent1" w:themeFillTint="33"/>
            <w:noWrap/>
            <w:vAlign w:val="bottom"/>
            <w:hideMark/>
          </w:tcPr>
          <w:p w:rsidR="00C100E9" w:rsidRPr="00620260" w:rsidRDefault="00C100E9" w:rsidP="00973C4B">
            <w:pPr>
              <w:jc w:val="center"/>
              <w:rPr>
                <w:rFonts w:eastAsia="Times New Roman" w:cs="Calibri"/>
                <w:sz w:val="20"/>
                <w:lang w:eastAsia="en-AU"/>
              </w:rPr>
            </w:pPr>
            <w:r w:rsidRPr="00620260">
              <w:rPr>
                <w:rFonts w:eastAsia="Times New Roman" w:cs="Calibri"/>
                <w:sz w:val="20"/>
                <w:lang w:eastAsia="en-AU"/>
              </w:rPr>
              <w:t>$6,257,801</w:t>
            </w:r>
          </w:p>
        </w:tc>
      </w:tr>
      <w:tr w:rsidR="00252A60" w:rsidRPr="00503B24" w:rsidTr="00503B24">
        <w:trPr>
          <w:trHeight w:val="70"/>
        </w:trPr>
        <w:tc>
          <w:tcPr>
            <w:tcW w:w="1809" w:type="dxa"/>
            <w:tcBorders>
              <w:top w:val="single" w:sz="4" w:space="0" w:color="1F4E78"/>
              <w:left w:val="nil"/>
              <w:bottom w:val="single" w:sz="4" w:space="0" w:color="1F4E78"/>
              <w:right w:val="nil"/>
            </w:tcBorders>
            <w:shd w:val="clear" w:color="000000" w:fill="FFFFFF"/>
            <w:noWrap/>
            <w:vAlign w:val="bottom"/>
            <w:hideMark/>
          </w:tcPr>
          <w:p w:rsidR="000C6218" w:rsidRPr="00620260" w:rsidRDefault="000C6218" w:rsidP="000C6218">
            <w:pPr>
              <w:rPr>
                <w:rFonts w:eastAsia="Times New Roman" w:cs="Calibri"/>
                <w:b/>
                <w:bCs/>
                <w:i/>
                <w:iCs/>
                <w:sz w:val="20"/>
                <w:lang w:eastAsia="en-AU"/>
              </w:rPr>
            </w:pPr>
            <w:r w:rsidRPr="00620260">
              <w:rPr>
                <w:rFonts w:eastAsia="Times New Roman" w:cs="Calibri"/>
                <w:b/>
                <w:bCs/>
                <w:i/>
                <w:iCs/>
                <w:sz w:val="20"/>
                <w:lang w:eastAsia="en-AU"/>
              </w:rPr>
              <w:t>Total</w:t>
            </w:r>
          </w:p>
        </w:tc>
        <w:tc>
          <w:tcPr>
            <w:tcW w:w="1051" w:type="dxa"/>
            <w:tcBorders>
              <w:top w:val="single" w:sz="4" w:space="0" w:color="1F4E78"/>
              <w:left w:val="nil"/>
              <w:bottom w:val="single" w:sz="4" w:space="0" w:color="1F4E78"/>
              <w:right w:val="nil"/>
            </w:tcBorders>
            <w:shd w:val="clear" w:color="000000" w:fill="FFFFFF"/>
            <w:noWrap/>
            <w:vAlign w:val="bottom"/>
            <w:hideMark/>
          </w:tcPr>
          <w:p w:rsidR="000C6218" w:rsidRPr="00620260" w:rsidRDefault="000C6218" w:rsidP="000C6218">
            <w:pPr>
              <w:jc w:val="center"/>
              <w:rPr>
                <w:rFonts w:eastAsia="Times New Roman" w:cs="Calibri"/>
                <w:b/>
                <w:bCs/>
                <w:i/>
                <w:iCs/>
                <w:sz w:val="20"/>
                <w:lang w:eastAsia="en-AU"/>
              </w:rPr>
            </w:pPr>
            <w:r w:rsidRPr="00620260">
              <w:rPr>
                <w:rFonts w:eastAsia="Times New Roman" w:cs="Calibri"/>
                <w:b/>
                <w:bCs/>
                <w:i/>
                <w:iCs/>
                <w:sz w:val="20"/>
                <w:lang w:eastAsia="en-AU"/>
              </w:rPr>
              <w:t> </w:t>
            </w:r>
          </w:p>
        </w:tc>
        <w:tc>
          <w:tcPr>
            <w:tcW w:w="1359" w:type="dxa"/>
            <w:tcBorders>
              <w:top w:val="single" w:sz="4" w:space="0" w:color="1F4E78"/>
              <w:left w:val="nil"/>
              <w:bottom w:val="single" w:sz="4" w:space="0" w:color="1F4E78"/>
              <w:right w:val="nil"/>
            </w:tcBorders>
            <w:shd w:val="clear" w:color="000000" w:fill="FFFFFF"/>
            <w:noWrap/>
            <w:hideMark/>
          </w:tcPr>
          <w:p w:rsidR="000C6218" w:rsidRPr="00503B24" w:rsidRDefault="000C6218" w:rsidP="000C6218">
            <w:pPr>
              <w:jc w:val="center"/>
              <w:rPr>
                <w:rFonts w:eastAsia="Times New Roman" w:cs="Calibri"/>
                <w:b/>
                <w:bCs/>
                <w:i/>
                <w:iCs/>
                <w:sz w:val="18"/>
                <w:szCs w:val="18"/>
                <w:lang w:eastAsia="en-AU"/>
              </w:rPr>
            </w:pPr>
            <w:r w:rsidRPr="00503B24">
              <w:rPr>
                <w:b/>
                <w:i/>
                <w:sz w:val="18"/>
                <w:szCs w:val="18"/>
              </w:rPr>
              <w:t>$1,187,075</w:t>
            </w:r>
          </w:p>
        </w:tc>
        <w:tc>
          <w:tcPr>
            <w:tcW w:w="2044" w:type="dxa"/>
            <w:tcBorders>
              <w:top w:val="single" w:sz="4" w:space="0" w:color="1F4E78"/>
              <w:left w:val="nil"/>
              <w:bottom w:val="single" w:sz="4" w:space="0" w:color="1F4E78"/>
              <w:right w:val="nil"/>
            </w:tcBorders>
            <w:shd w:val="clear" w:color="000000" w:fill="FFFFFF"/>
            <w:noWrap/>
            <w:hideMark/>
          </w:tcPr>
          <w:p w:rsidR="000C6218" w:rsidRPr="00503B24" w:rsidRDefault="000C6218" w:rsidP="000C6218">
            <w:pPr>
              <w:jc w:val="center"/>
              <w:rPr>
                <w:rFonts w:eastAsia="Times New Roman" w:cs="Calibri"/>
                <w:b/>
                <w:bCs/>
                <w:i/>
                <w:iCs/>
                <w:sz w:val="18"/>
                <w:szCs w:val="18"/>
                <w:lang w:eastAsia="en-AU"/>
              </w:rPr>
            </w:pPr>
            <w:r w:rsidRPr="00503B24">
              <w:rPr>
                <w:b/>
                <w:i/>
                <w:sz w:val="18"/>
                <w:szCs w:val="18"/>
              </w:rPr>
              <w:t>$11,870,746</w:t>
            </w:r>
          </w:p>
        </w:tc>
        <w:tc>
          <w:tcPr>
            <w:tcW w:w="2044" w:type="dxa"/>
            <w:tcBorders>
              <w:top w:val="single" w:sz="4" w:space="0" w:color="1F4E78"/>
              <w:left w:val="nil"/>
              <w:bottom w:val="single" w:sz="4" w:space="0" w:color="1F4E78"/>
              <w:right w:val="nil"/>
            </w:tcBorders>
            <w:shd w:val="clear" w:color="auto" w:fill="DBE5F1" w:themeFill="accent1" w:themeFillTint="33"/>
            <w:noWrap/>
            <w:hideMark/>
          </w:tcPr>
          <w:p w:rsidR="000C6218" w:rsidRPr="00503B24" w:rsidRDefault="000C6218" w:rsidP="000C6218">
            <w:pPr>
              <w:jc w:val="center"/>
              <w:rPr>
                <w:rFonts w:eastAsia="Times New Roman" w:cs="Calibri"/>
                <w:b/>
                <w:bCs/>
                <w:i/>
                <w:iCs/>
                <w:sz w:val="18"/>
                <w:szCs w:val="18"/>
                <w:lang w:eastAsia="en-AU"/>
              </w:rPr>
            </w:pPr>
            <w:r w:rsidRPr="00503B24">
              <w:rPr>
                <w:b/>
                <w:i/>
                <w:sz w:val="18"/>
                <w:szCs w:val="18"/>
              </w:rPr>
              <w:t>$10,013,368</w:t>
            </w:r>
          </w:p>
        </w:tc>
      </w:tr>
    </w:tbl>
    <w:p w:rsidR="00C100E9" w:rsidRDefault="00C100E9" w:rsidP="00C100E9">
      <w:pPr>
        <w:jc w:val="both"/>
      </w:pPr>
    </w:p>
    <w:p w:rsidR="00C100E9" w:rsidRDefault="00EA26DD" w:rsidP="005E307C">
      <w:pPr>
        <w:pStyle w:val="Heading3"/>
      </w:pPr>
      <w:bookmarkStart w:id="251" w:name="_Toc469529224"/>
      <w:bookmarkStart w:id="252" w:name="_Toc477190248"/>
      <w:r>
        <w:t>A4.11</w:t>
      </w:r>
      <w:r w:rsidR="00FE57F9">
        <w:t>.4 I</w:t>
      </w:r>
      <w:r w:rsidR="00C100E9">
        <w:t>ncremental costs</w:t>
      </w:r>
      <w:r w:rsidR="00FE57F9">
        <w:t xml:space="preserve"> for GAP under proposed </w:t>
      </w:r>
      <w:r w:rsidR="00BE76C5">
        <w:t>standard</w:t>
      </w:r>
      <w:r w:rsidR="00C100E9">
        <w:t xml:space="preserve"> </w:t>
      </w:r>
      <w:r w:rsidR="00FE57F9">
        <w:t xml:space="preserve">6.3.12 </w:t>
      </w:r>
      <w:r w:rsidR="00BE76C5">
        <w:t>(Options 1 to 6)</w:t>
      </w:r>
      <w:bookmarkEnd w:id="251"/>
      <w:bookmarkEnd w:id="252"/>
    </w:p>
    <w:p w:rsidR="00767E4E" w:rsidRDefault="00C100E9" w:rsidP="00C100E9">
      <w:pPr>
        <w:jc w:val="both"/>
      </w:pPr>
      <w:r>
        <w:t>With respect to GAP there are anticipated additional costs provided by having to provide food and shelter</w:t>
      </w:r>
      <w:r w:rsidR="00767E4E">
        <w:t xml:space="preserve"> and euthanase dogs</w:t>
      </w:r>
      <w:r>
        <w:t xml:space="preserve"> that would otherwise not be required under the base case.</w:t>
      </w:r>
      <w:r w:rsidR="007B521C">
        <w:t xml:space="preserve"> </w:t>
      </w:r>
      <w:r>
        <w:t>The annual cost is estimated by determining the estimated number of dogs affected and using the costs of food and shelter ($229/month/per dog x 0.23 months to be spent at GAP in future)</w:t>
      </w:r>
      <w:r w:rsidR="00767E4E">
        <w:t xml:space="preserve"> and the cost of euthanasia ($120/dog)</w:t>
      </w:r>
      <w:r>
        <w:t xml:space="preserve"> (see Panel A4.5 for source of itemised per unit costs). </w:t>
      </w:r>
    </w:p>
    <w:p w:rsidR="00767E4E" w:rsidRDefault="00767E4E" w:rsidP="00C100E9">
      <w:pPr>
        <w:jc w:val="both"/>
      </w:pPr>
    </w:p>
    <w:p w:rsidR="00C100E9" w:rsidRDefault="00C100E9" w:rsidP="00C100E9">
      <w:pPr>
        <w:jc w:val="both"/>
      </w:pPr>
      <w:r>
        <w:t>The estimated number of dogs affecte</w:t>
      </w:r>
      <w:r w:rsidR="00F17024">
        <w:t>d in terms of rehabilitation,</w:t>
      </w:r>
      <w:r>
        <w:t xml:space="preserve"> rehoming</w:t>
      </w:r>
      <w:r w:rsidR="00F17024">
        <w:t xml:space="preserve"> and euthanasia</w:t>
      </w:r>
      <w:r>
        <w:t xml:space="preserve"> is determined as the product of the total number expected to go to GAP</w:t>
      </w:r>
      <w:r w:rsidR="00F17024">
        <w:t xml:space="preserve"> under each of the options </w:t>
      </w:r>
      <w:r>
        <w:t>(</w:t>
      </w:r>
      <w:r w:rsidR="00F17024">
        <w:t>4,925 dogs under Options 3, 5 and 6; 1,008 dogs under Option 1; 1,912 dogs under Option 2; and 3,418 dogs under Option 4 – as shown in Panel A4.4</w:t>
      </w:r>
      <w:r>
        <w:t>)</w:t>
      </w:r>
      <w:r w:rsidR="00F17024">
        <w:t xml:space="preserve"> and an assumption that 1% of dogs sent to GAP under any of the options will be euthanased.</w:t>
      </w:r>
    </w:p>
    <w:p w:rsidR="00C100E9" w:rsidRDefault="00C100E9" w:rsidP="00C100E9">
      <w:pPr>
        <w:jc w:val="both"/>
      </w:pPr>
    </w:p>
    <w:p w:rsidR="00C100E9" w:rsidRDefault="00C100E9" w:rsidP="00C100E9">
      <w:pPr>
        <w:jc w:val="both"/>
      </w:pPr>
      <w:r>
        <w:t xml:space="preserve">The 10-year additional cost for GAP under proposed standard 6.3.12 is </w:t>
      </w:r>
      <w:r w:rsidR="005108B0">
        <w:t xml:space="preserve">estimated to be $2.27m under Options 3, 5 and 6; $0.46m under Option 1; $0.88m under Option 2; $1.58m under Option 4 – in present value dollars </w:t>
      </w:r>
      <w:r>
        <w:t>as shown in Table A4.18.</w:t>
      </w:r>
    </w:p>
    <w:p w:rsidR="00C100E9" w:rsidRDefault="00C100E9" w:rsidP="00C100E9">
      <w:pPr>
        <w:jc w:val="both"/>
        <w:rPr>
          <w:color w:val="244061" w:themeColor="accent1" w:themeShade="80"/>
        </w:rPr>
      </w:pPr>
    </w:p>
    <w:p w:rsidR="00C02451" w:rsidRDefault="00C02451">
      <w:pPr>
        <w:rPr>
          <w:b/>
          <w:sz w:val="20"/>
        </w:rPr>
      </w:pPr>
      <w:r>
        <w:rPr>
          <w:b/>
          <w:sz w:val="20"/>
        </w:rPr>
        <w:br w:type="page"/>
      </w:r>
    </w:p>
    <w:p w:rsidR="00C100E9" w:rsidRPr="00172B67" w:rsidRDefault="00C100E9" w:rsidP="00C100E9">
      <w:pPr>
        <w:jc w:val="center"/>
        <w:rPr>
          <w:b/>
          <w:sz w:val="20"/>
        </w:rPr>
      </w:pPr>
      <w:r w:rsidRPr="00172B67">
        <w:rPr>
          <w:b/>
          <w:sz w:val="20"/>
        </w:rPr>
        <w:lastRenderedPageBreak/>
        <w:t xml:space="preserve">Table A4.18: Estimated 10-year additional cost of </w:t>
      </w:r>
      <w:r w:rsidR="00172B67" w:rsidRPr="00172B67">
        <w:rPr>
          <w:b/>
          <w:sz w:val="20"/>
        </w:rPr>
        <w:t xml:space="preserve">food and shelter and euthanasia </w:t>
      </w:r>
      <w:r w:rsidRPr="00172B67">
        <w:rPr>
          <w:b/>
          <w:sz w:val="20"/>
        </w:rPr>
        <w:t xml:space="preserve">for GAP </w:t>
      </w:r>
      <w:r w:rsidR="00172B67" w:rsidRPr="00172B67">
        <w:rPr>
          <w:b/>
          <w:sz w:val="20"/>
        </w:rPr>
        <w:t>under proposed standard 6.3.12 – Options 1 to 6</w:t>
      </w:r>
    </w:p>
    <w:p w:rsidR="00C100E9" w:rsidRDefault="00C100E9" w:rsidP="00C100E9">
      <w:pPr>
        <w:jc w:val="both"/>
        <w:rPr>
          <w:color w:val="244061" w:themeColor="accent1" w:themeShade="80"/>
        </w:rPr>
      </w:pPr>
    </w:p>
    <w:tbl>
      <w:tblPr>
        <w:tblW w:w="8240" w:type="dxa"/>
        <w:tblLook w:val="04A0" w:firstRow="1" w:lastRow="0" w:firstColumn="1" w:lastColumn="0" w:noHBand="0" w:noVBand="1"/>
      </w:tblPr>
      <w:tblGrid>
        <w:gridCol w:w="2518"/>
        <w:gridCol w:w="1753"/>
        <w:gridCol w:w="1116"/>
        <w:gridCol w:w="1417"/>
        <w:gridCol w:w="1436"/>
      </w:tblGrid>
      <w:tr w:rsidR="00975792" w:rsidRPr="00BD28C4" w:rsidTr="00975792">
        <w:trPr>
          <w:trHeight w:val="511"/>
          <w:tblHeader/>
        </w:trPr>
        <w:tc>
          <w:tcPr>
            <w:tcW w:w="2518" w:type="dxa"/>
            <w:tcBorders>
              <w:top w:val="single" w:sz="4" w:space="0" w:color="1F4E78"/>
              <w:left w:val="nil"/>
              <w:bottom w:val="double" w:sz="4" w:space="0" w:color="1F497D" w:themeColor="text2"/>
              <w:right w:val="nil"/>
            </w:tcBorders>
            <w:shd w:val="clear" w:color="000000" w:fill="FFFFFF"/>
            <w:noWrap/>
            <w:vAlign w:val="bottom"/>
            <w:hideMark/>
          </w:tcPr>
          <w:p w:rsidR="00C100E9" w:rsidRPr="00BD28C4" w:rsidRDefault="00FA604F" w:rsidP="00973C4B">
            <w:pPr>
              <w:rPr>
                <w:rFonts w:eastAsia="Times New Roman" w:cs="Calibri"/>
                <w:b/>
                <w:bCs/>
                <w:color w:val="53565A"/>
                <w:sz w:val="20"/>
                <w:szCs w:val="20"/>
                <w:lang w:eastAsia="en-AU"/>
              </w:rPr>
            </w:pPr>
            <w:r w:rsidRPr="00BD28C4">
              <w:rPr>
                <w:rFonts w:eastAsia="Times New Roman" w:cs="Calibri"/>
                <w:b/>
                <w:bCs/>
                <w:color w:val="53565A"/>
                <w:sz w:val="20"/>
                <w:szCs w:val="20"/>
                <w:lang w:eastAsia="en-AU"/>
              </w:rPr>
              <w:t>GAP activity</w:t>
            </w:r>
          </w:p>
        </w:tc>
        <w:tc>
          <w:tcPr>
            <w:tcW w:w="1753" w:type="dxa"/>
            <w:tcBorders>
              <w:top w:val="single" w:sz="4" w:space="0" w:color="1F4E78"/>
              <w:left w:val="nil"/>
              <w:bottom w:val="double" w:sz="4" w:space="0" w:color="1F497D" w:themeColor="text2"/>
              <w:right w:val="nil"/>
            </w:tcBorders>
            <w:shd w:val="clear" w:color="000000" w:fill="FFFFFF"/>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Estimated no. dogs affected</w:t>
            </w:r>
          </w:p>
        </w:tc>
        <w:tc>
          <w:tcPr>
            <w:tcW w:w="1116" w:type="dxa"/>
            <w:tcBorders>
              <w:top w:val="single" w:sz="4" w:space="0" w:color="1F4E78"/>
              <w:left w:val="nil"/>
              <w:bottom w:val="double" w:sz="4" w:space="0" w:color="1F497D" w:themeColor="text2"/>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Annual cost</w:t>
            </w:r>
          </w:p>
        </w:tc>
        <w:tc>
          <w:tcPr>
            <w:tcW w:w="1417" w:type="dxa"/>
            <w:tcBorders>
              <w:top w:val="single" w:sz="4" w:space="0" w:color="1F4E78"/>
              <w:left w:val="nil"/>
              <w:bottom w:val="double" w:sz="4" w:space="0" w:color="1F497D" w:themeColor="text2"/>
              <w:right w:val="nil"/>
            </w:tcBorders>
            <w:shd w:val="clear" w:color="000000" w:fill="FFFFFF"/>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cost</w:t>
            </w:r>
          </w:p>
        </w:tc>
        <w:tc>
          <w:tcPr>
            <w:tcW w:w="1436" w:type="dxa"/>
            <w:tcBorders>
              <w:top w:val="single" w:sz="4" w:space="0" w:color="1F4E78"/>
              <w:left w:val="nil"/>
              <w:bottom w:val="double" w:sz="4" w:space="0" w:color="1F497D" w:themeColor="text2"/>
              <w:right w:val="nil"/>
            </w:tcBorders>
            <w:shd w:val="clear" w:color="auto" w:fill="DBE5F1" w:themeFill="accent1" w:themeFillTint="33"/>
            <w:noWrap/>
            <w:vAlign w:val="bottom"/>
            <w:hideMark/>
          </w:tcPr>
          <w:p w:rsidR="00C100E9" w:rsidRPr="00BD28C4" w:rsidRDefault="00C100E9" w:rsidP="00973C4B">
            <w:pPr>
              <w:jc w:val="center"/>
              <w:rPr>
                <w:rFonts w:eastAsia="Times New Roman" w:cs="Calibri"/>
                <w:b/>
                <w:bCs/>
                <w:color w:val="53565A"/>
                <w:sz w:val="20"/>
                <w:szCs w:val="20"/>
                <w:lang w:eastAsia="en-AU"/>
              </w:rPr>
            </w:pPr>
            <w:r w:rsidRPr="00BD28C4">
              <w:rPr>
                <w:rFonts w:eastAsia="Times New Roman" w:cs="Calibri"/>
                <w:b/>
                <w:bCs/>
                <w:color w:val="53565A"/>
                <w:sz w:val="20"/>
                <w:szCs w:val="20"/>
                <w:lang w:eastAsia="en-AU"/>
              </w:rPr>
              <w:t>10-year PV</w:t>
            </w:r>
          </w:p>
        </w:tc>
      </w:tr>
      <w:tr w:rsidR="00FA604F" w:rsidRPr="00857053" w:rsidTr="00975792">
        <w:trPr>
          <w:trHeight w:val="300"/>
        </w:trPr>
        <w:tc>
          <w:tcPr>
            <w:tcW w:w="2518" w:type="dxa"/>
            <w:tcBorders>
              <w:top w:val="double" w:sz="4" w:space="0" w:color="1F497D" w:themeColor="text2"/>
              <w:left w:val="nil"/>
              <w:right w:val="nil"/>
            </w:tcBorders>
            <w:shd w:val="clear" w:color="000000" w:fill="FFFFFF"/>
            <w:noWrap/>
            <w:vAlign w:val="bottom"/>
          </w:tcPr>
          <w:p w:rsidR="00FA604F" w:rsidRPr="00FA604F" w:rsidRDefault="00FA604F" w:rsidP="00973C4B">
            <w:pPr>
              <w:rPr>
                <w:rFonts w:eastAsia="Times New Roman" w:cs="Calibri"/>
                <w:b/>
                <w:bCs/>
                <w:iCs/>
                <w:sz w:val="20"/>
                <w:szCs w:val="20"/>
                <w:lang w:eastAsia="en-AU"/>
              </w:rPr>
            </w:pPr>
            <w:r w:rsidRPr="00FA604F">
              <w:rPr>
                <w:rFonts w:eastAsia="Times New Roman" w:cs="Calibri"/>
                <w:b/>
                <w:bCs/>
                <w:iCs/>
                <w:sz w:val="20"/>
                <w:szCs w:val="20"/>
                <w:lang w:eastAsia="en-AU"/>
              </w:rPr>
              <w:t>Option 1</w:t>
            </w:r>
          </w:p>
        </w:tc>
        <w:tc>
          <w:tcPr>
            <w:tcW w:w="1753" w:type="dxa"/>
            <w:tcBorders>
              <w:top w:val="doub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116" w:type="dxa"/>
            <w:tcBorders>
              <w:top w:val="doub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17" w:type="dxa"/>
            <w:tcBorders>
              <w:top w:val="doub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36" w:type="dxa"/>
            <w:tcBorders>
              <w:top w:val="double" w:sz="4" w:space="0" w:color="1F497D" w:themeColor="text2"/>
              <w:left w:val="nil"/>
              <w:right w:val="nil"/>
            </w:tcBorders>
            <w:shd w:val="clear" w:color="auto" w:fill="DBE5F1" w:themeFill="accent1" w:themeFillTint="33"/>
            <w:noWrap/>
            <w:vAlign w:val="bottom"/>
          </w:tcPr>
          <w:p w:rsidR="00FA604F" w:rsidRPr="00FA604F" w:rsidRDefault="00FA604F" w:rsidP="00973C4B">
            <w:pPr>
              <w:jc w:val="center"/>
              <w:rPr>
                <w:rFonts w:eastAsia="Times New Roman" w:cs="Calibri"/>
                <w:b/>
                <w:bCs/>
                <w:i/>
                <w:iCs/>
                <w:sz w:val="20"/>
                <w:szCs w:val="20"/>
                <w:lang w:eastAsia="en-AU"/>
              </w:rPr>
            </w:pPr>
          </w:p>
        </w:tc>
      </w:tr>
      <w:tr w:rsidR="00FA604F" w:rsidRPr="00857053" w:rsidTr="00975792">
        <w:trPr>
          <w:trHeight w:val="80"/>
        </w:trPr>
        <w:tc>
          <w:tcPr>
            <w:tcW w:w="2518" w:type="dxa"/>
            <w:tcBorders>
              <w:left w:val="nil"/>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(Euthanasia)</w:t>
            </w:r>
          </w:p>
        </w:tc>
        <w:tc>
          <w:tcPr>
            <w:tcW w:w="1753"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10</w:t>
            </w:r>
          </w:p>
        </w:tc>
        <w:tc>
          <w:tcPr>
            <w:tcW w:w="1116"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$1,209</w:t>
            </w:r>
          </w:p>
        </w:tc>
        <w:tc>
          <w:tcPr>
            <w:tcW w:w="1417"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$12,091</w:t>
            </w:r>
          </w:p>
        </w:tc>
        <w:tc>
          <w:tcPr>
            <w:tcW w:w="1436" w:type="dxa"/>
            <w:tcBorders>
              <w:left w:val="nil"/>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$10,199</w:t>
            </w:r>
          </w:p>
        </w:tc>
      </w:tr>
      <w:tr w:rsidR="00FA604F" w:rsidRPr="00857053" w:rsidTr="00975792">
        <w:trPr>
          <w:trHeight w:val="80"/>
        </w:trPr>
        <w:tc>
          <w:tcPr>
            <w:tcW w:w="2518" w:type="dxa"/>
            <w:tcBorders>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(Food and Shelter)</w:t>
            </w:r>
          </w:p>
        </w:tc>
        <w:tc>
          <w:tcPr>
            <w:tcW w:w="1753"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1,008</w:t>
            </w:r>
          </w:p>
        </w:tc>
        <w:tc>
          <w:tcPr>
            <w:tcW w:w="1116"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$53,877</w:t>
            </w:r>
          </w:p>
        </w:tc>
        <w:tc>
          <w:tcPr>
            <w:tcW w:w="1417"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$538,772</w:t>
            </w:r>
          </w:p>
        </w:tc>
        <w:tc>
          <w:tcPr>
            <w:tcW w:w="1436" w:type="dxa"/>
            <w:tcBorders>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$454,472</w:t>
            </w:r>
          </w:p>
        </w:tc>
      </w:tr>
      <w:tr w:rsidR="00FA604F" w:rsidRPr="00857053" w:rsidTr="00975792">
        <w:trPr>
          <w:trHeight w:val="70"/>
        </w:trPr>
        <w:tc>
          <w:tcPr>
            <w:tcW w:w="2518"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b/>
                <w:bCs/>
                <w:i/>
                <w:iCs/>
                <w:sz w:val="20"/>
              </w:rPr>
              <w:t>Total</w:t>
            </w:r>
          </w:p>
        </w:tc>
        <w:tc>
          <w:tcPr>
            <w:tcW w:w="1753"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 </w:t>
            </w:r>
          </w:p>
        </w:tc>
        <w:tc>
          <w:tcPr>
            <w:tcW w:w="1116"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$55,086</w:t>
            </w:r>
          </w:p>
        </w:tc>
        <w:tc>
          <w:tcPr>
            <w:tcW w:w="1417"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$550,863</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$464,671</w:t>
            </w:r>
          </w:p>
        </w:tc>
      </w:tr>
      <w:tr w:rsidR="00FA604F" w:rsidRPr="00857053" w:rsidTr="00975792">
        <w:trPr>
          <w:trHeight w:val="70"/>
        </w:trPr>
        <w:tc>
          <w:tcPr>
            <w:tcW w:w="2518" w:type="dxa"/>
            <w:tcBorders>
              <w:top w:val="single" w:sz="4" w:space="0" w:color="1F497D" w:themeColor="text2"/>
              <w:left w:val="nil"/>
              <w:right w:val="nil"/>
            </w:tcBorders>
            <w:shd w:val="clear" w:color="000000" w:fill="FFFFFF"/>
            <w:noWrap/>
            <w:vAlign w:val="bottom"/>
          </w:tcPr>
          <w:p w:rsidR="00FA604F" w:rsidRPr="00FA604F" w:rsidRDefault="00FA604F" w:rsidP="00973C4B">
            <w:pPr>
              <w:rPr>
                <w:rFonts w:eastAsia="Times New Roman" w:cs="Calibri"/>
                <w:b/>
                <w:bCs/>
                <w:iCs/>
                <w:sz w:val="20"/>
                <w:szCs w:val="20"/>
                <w:lang w:eastAsia="en-AU"/>
              </w:rPr>
            </w:pPr>
            <w:r>
              <w:rPr>
                <w:rFonts w:eastAsia="Times New Roman" w:cs="Calibri"/>
                <w:b/>
                <w:bCs/>
                <w:iCs/>
                <w:sz w:val="20"/>
                <w:szCs w:val="20"/>
                <w:lang w:eastAsia="en-AU"/>
              </w:rPr>
              <w:t>Option 2</w:t>
            </w:r>
          </w:p>
        </w:tc>
        <w:tc>
          <w:tcPr>
            <w:tcW w:w="1753"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116"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17"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36" w:type="dxa"/>
            <w:tcBorders>
              <w:top w:val="single" w:sz="4" w:space="0" w:color="1F497D" w:themeColor="text2"/>
              <w:left w:val="nil"/>
              <w:right w:val="nil"/>
            </w:tcBorders>
            <w:shd w:val="clear" w:color="auto" w:fill="DBE5F1" w:themeFill="accent1" w:themeFillTint="33"/>
            <w:noWrap/>
            <w:vAlign w:val="bottom"/>
          </w:tcPr>
          <w:p w:rsidR="00FA604F" w:rsidRPr="00FA604F" w:rsidRDefault="00FA604F" w:rsidP="00973C4B">
            <w:pPr>
              <w:jc w:val="center"/>
              <w:rPr>
                <w:rFonts w:eastAsia="Times New Roman" w:cs="Calibri"/>
                <w:b/>
                <w:bCs/>
                <w:i/>
                <w:iCs/>
                <w:sz w:val="20"/>
                <w:szCs w:val="20"/>
                <w:lang w:eastAsia="en-AU"/>
              </w:rPr>
            </w:pPr>
          </w:p>
        </w:tc>
      </w:tr>
      <w:tr w:rsidR="00FA604F" w:rsidRPr="00857053" w:rsidTr="00975792">
        <w:trPr>
          <w:trHeight w:val="80"/>
        </w:trPr>
        <w:tc>
          <w:tcPr>
            <w:tcW w:w="2518" w:type="dxa"/>
            <w:tcBorders>
              <w:left w:val="nil"/>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(Euthanasia)</w:t>
            </w:r>
          </w:p>
        </w:tc>
        <w:tc>
          <w:tcPr>
            <w:tcW w:w="1753"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19</w:t>
            </w:r>
          </w:p>
        </w:tc>
        <w:tc>
          <w:tcPr>
            <w:tcW w:w="1116"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$2,294</w:t>
            </w:r>
          </w:p>
        </w:tc>
        <w:tc>
          <w:tcPr>
            <w:tcW w:w="1417"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$22,940</w:t>
            </w:r>
          </w:p>
        </w:tc>
        <w:tc>
          <w:tcPr>
            <w:tcW w:w="1436" w:type="dxa"/>
            <w:tcBorders>
              <w:left w:val="nil"/>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$19,351</w:t>
            </w:r>
          </w:p>
        </w:tc>
      </w:tr>
      <w:tr w:rsidR="00FA604F" w:rsidRPr="00857053" w:rsidTr="00975792">
        <w:trPr>
          <w:trHeight w:val="80"/>
        </w:trPr>
        <w:tc>
          <w:tcPr>
            <w:tcW w:w="2518" w:type="dxa"/>
            <w:tcBorders>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(Food and Shelter)</w:t>
            </w:r>
          </w:p>
        </w:tc>
        <w:tc>
          <w:tcPr>
            <w:tcW w:w="1753"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1,912</w:t>
            </w:r>
          </w:p>
        </w:tc>
        <w:tc>
          <w:tcPr>
            <w:tcW w:w="1116"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$102,221</w:t>
            </w:r>
          </w:p>
        </w:tc>
        <w:tc>
          <w:tcPr>
            <w:tcW w:w="1417"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$1,022,210</w:t>
            </w:r>
          </w:p>
        </w:tc>
        <w:tc>
          <w:tcPr>
            <w:tcW w:w="1436" w:type="dxa"/>
            <w:tcBorders>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$862,268</w:t>
            </w:r>
          </w:p>
        </w:tc>
      </w:tr>
      <w:tr w:rsidR="00FA604F" w:rsidRPr="00857053" w:rsidTr="00975792">
        <w:trPr>
          <w:trHeight w:val="70"/>
        </w:trPr>
        <w:tc>
          <w:tcPr>
            <w:tcW w:w="2518"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b/>
                <w:bCs/>
                <w:i/>
                <w:iCs/>
                <w:sz w:val="20"/>
              </w:rPr>
              <w:t>Total</w:t>
            </w:r>
          </w:p>
        </w:tc>
        <w:tc>
          <w:tcPr>
            <w:tcW w:w="1753"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 </w:t>
            </w:r>
          </w:p>
        </w:tc>
        <w:tc>
          <w:tcPr>
            <w:tcW w:w="1116"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$104,515</w:t>
            </w:r>
          </w:p>
        </w:tc>
        <w:tc>
          <w:tcPr>
            <w:tcW w:w="1417"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$1,045,150</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$881,618</w:t>
            </w:r>
          </w:p>
        </w:tc>
      </w:tr>
      <w:tr w:rsidR="00FA604F" w:rsidRPr="00857053" w:rsidTr="00975792">
        <w:trPr>
          <w:trHeight w:val="70"/>
        </w:trPr>
        <w:tc>
          <w:tcPr>
            <w:tcW w:w="2518" w:type="dxa"/>
            <w:tcBorders>
              <w:top w:val="single" w:sz="4" w:space="0" w:color="1F497D" w:themeColor="text2"/>
              <w:left w:val="nil"/>
              <w:right w:val="nil"/>
            </w:tcBorders>
            <w:shd w:val="clear" w:color="000000" w:fill="FFFFFF"/>
            <w:noWrap/>
            <w:vAlign w:val="bottom"/>
          </w:tcPr>
          <w:p w:rsidR="00FA604F" w:rsidRPr="00FA604F" w:rsidRDefault="00FA604F" w:rsidP="00973C4B">
            <w:pPr>
              <w:rPr>
                <w:rFonts w:eastAsia="Times New Roman" w:cs="Calibri"/>
                <w:b/>
                <w:bCs/>
                <w:iCs/>
                <w:sz w:val="20"/>
                <w:szCs w:val="20"/>
                <w:lang w:eastAsia="en-AU"/>
              </w:rPr>
            </w:pPr>
            <w:r>
              <w:rPr>
                <w:rFonts w:eastAsia="Times New Roman" w:cs="Calibri"/>
                <w:b/>
                <w:bCs/>
                <w:iCs/>
                <w:sz w:val="20"/>
                <w:szCs w:val="20"/>
                <w:lang w:eastAsia="en-AU"/>
              </w:rPr>
              <w:t>Options 3, 5 and 6</w:t>
            </w:r>
          </w:p>
        </w:tc>
        <w:tc>
          <w:tcPr>
            <w:tcW w:w="1753"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116"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17"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36" w:type="dxa"/>
            <w:tcBorders>
              <w:top w:val="single" w:sz="4" w:space="0" w:color="1F497D" w:themeColor="text2"/>
              <w:left w:val="nil"/>
              <w:right w:val="nil"/>
            </w:tcBorders>
            <w:shd w:val="clear" w:color="auto" w:fill="DBE5F1" w:themeFill="accent1" w:themeFillTint="33"/>
            <w:noWrap/>
            <w:vAlign w:val="bottom"/>
          </w:tcPr>
          <w:p w:rsidR="00FA604F" w:rsidRPr="00FA604F" w:rsidRDefault="00FA604F" w:rsidP="00973C4B">
            <w:pPr>
              <w:jc w:val="center"/>
              <w:rPr>
                <w:rFonts w:eastAsia="Times New Roman" w:cs="Calibri"/>
                <w:b/>
                <w:bCs/>
                <w:i/>
                <w:iCs/>
                <w:sz w:val="20"/>
                <w:szCs w:val="20"/>
                <w:lang w:eastAsia="en-AU"/>
              </w:rPr>
            </w:pPr>
          </w:p>
        </w:tc>
      </w:tr>
      <w:tr w:rsidR="00FA604F" w:rsidRPr="00857053" w:rsidTr="00975792">
        <w:trPr>
          <w:trHeight w:val="80"/>
        </w:trPr>
        <w:tc>
          <w:tcPr>
            <w:tcW w:w="2518" w:type="dxa"/>
            <w:tcBorders>
              <w:left w:val="nil"/>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(Euthanasia)</w:t>
            </w:r>
          </w:p>
        </w:tc>
        <w:tc>
          <w:tcPr>
            <w:tcW w:w="1753"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49</w:t>
            </w:r>
          </w:p>
        </w:tc>
        <w:tc>
          <w:tcPr>
            <w:tcW w:w="1116"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$5,910</w:t>
            </w:r>
          </w:p>
        </w:tc>
        <w:tc>
          <w:tcPr>
            <w:tcW w:w="1417"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$59,101</w:t>
            </w:r>
          </w:p>
        </w:tc>
        <w:tc>
          <w:tcPr>
            <w:tcW w:w="1436" w:type="dxa"/>
            <w:tcBorders>
              <w:left w:val="nil"/>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$49,853</w:t>
            </w:r>
          </w:p>
        </w:tc>
      </w:tr>
      <w:tr w:rsidR="00FA604F" w:rsidRPr="00857053" w:rsidTr="00975792">
        <w:trPr>
          <w:trHeight w:val="80"/>
        </w:trPr>
        <w:tc>
          <w:tcPr>
            <w:tcW w:w="2518" w:type="dxa"/>
            <w:tcBorders>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(Food and Shelter)</w:t>
            </w:r>
          </w:p>
        </w:tc>
        <w:tc>
          <w:tcPr>
            <w:tcW w:w="1753"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4,925</w:t>
            </w:r>
          </w:p>
        </w:tc>
        <w:tc>
          <w:tcPr>
            <w:tcW w:w="1116"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$263,354</w:t>
            </w:r>
          </w:p>
        </w:tc>
        <w:tc>
          <w:tcPr>
            <w:tcW w:w="1417"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$2,633,543</w:t>
            </w:r>
          </w:p>
        </w:tc>
        <w:tc>
          <w:tcPr>
            <w:tcW w:w="1436" w:type="dxa"/>
            <w:tcBorders>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$2,221,481</w:t>
            </w:r>
          </w:p>
        </w:tc>
      </w:tr>
      <w:tr w:rsidR="00FA604F" w:rsidRPr="00857053" w:rsidTr="00975792">
        <w:trPr>
          <w:trHeight w:val="70"/>
        </w:trPr>
        <w:tc>
          <w:tcPr>
            <w:tcW w:w="2518"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b/>
                <w:bCs/>
                <w:i/>
                <w:iCs/>
                <w:sz w:val="20"/>
              </w:rPr>
              <w:t>Total</w:t>
            </w:r>
          </w:p>
        </w:tc>
        <w:tc>
          <w:tcPr>
            <w:tcW w:w="1753"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 </w:t>
            </w:r>
          </w:p>
        </w:tc>
        <w:tc>
          <w:tcPr>
            <w:tcW w:w="1116"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$269,264</w:t>
            </w:r>
          </w:p>
        </w:tc>
        <w:tc>
          <w:tcPr>
            <w:tcW w:w="1417"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$2,692,643</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$2,271,334</w:t>
            </w:r>
          </w:p>
        </w:tc>
      </w:tr>
      <w:tr w:rsidR="00FA604F" w:rsidRPr="00857053" w:rsidTr="00975792">
        <w:trPr>
          <w:trHeight w:val="70"/>
        </w:trPr>
        <w:tc>
          <w:tcPr>
            <w:tcW w:w="2518" w:type="dxa"/>
            <w:tcBorders>
              <w:top w:val="single" w:sz="4" w:space="0" w:color="1F497D" w:themeColor="text2"/>
              <w:left w:val="nil"/>
              <w:right w:val="nil"/>
            </w:tcBorders>
            <w:shd w:val="clear" w:color="000000" w:fill="FFFFFF"/>
            <w:noWrap/>
            <w:vAlign w:val="bottom"/>
          </w:tcPr>
          <w:p w:rsidR="00FA604F" w:rsidRPr="00FA604F" w:rsidRDefault="00FA604F" w:rsidP="00973C4B">
            <w:pPr>
              <w:rPr>
                <w:rFonts w:eastAsia="Times New Roman" w:cs="Calibri"/>
                <w:b/>
                <w:bCs/>
                <w:iCs/>
                <w:sz w:val="20"/>
                <w:szCs w:val="20"/>
                <w:lang w:eastAsia="en-AU"/>
              </w:rPr>
            </w:pPr>
            <w:r w:rsidRPr="00FA604F">
              <w:rPr>
                <w:rFonts w:eastAsia="Times New Roman" w:cs="Calibri"/>
                <w:b/>
                <w:bCs/>
                <w:iCs/>
                <w:sz w:val="20"/>
                <w:szCs w:val="20"/>
                <w:lang w:eastAsia="en-AU"/>
              </w:rPr>
              <w:t>Option 4</w:t>
            </w:r>
          </w:p>
        </w:tc>
        <w:tc>
          <w:tcPr>
            <w:tcW w:w="1753"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116"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17" w:type="dxa"/>
            <w:tcBorders>
              <w:top w:val="single" w:sz="4" w:space="0" w:color="1F497D" w:themeColor="text2"/>
              <w:left w:val="nil"/>
              <w:right w:val="nil"/>
            </w:tcBorders>
            <w:shd w:val="clear" w:color="000000" w:fill="FFFFFF"/>
            <w:noWrap/>
            <w:vAlign w:val="bottom"/>
          </w:tcPr>
          <w:p w:rsidR="00FA604F" w:rsidRPr="00FA604F" w:rsidRDefault="00FA604F" w:rsidP="00973C4B">
            <w:pPr>
              <w:jc w:val="center"/>
              <w:rPr>
                <w:rFonts w:eastAsia="Times New Roman" w:cs="Calibri"/>
                <w:b/>
                <w:bCs/>
                <w:i/>
                <w:iCs/>
                <w:sz w:val="20"/>
                <w:szCs w:val="20"/>
                <w:lang w:eastAsia="en-AU"/>
              </w:rPr>
            </w:pPr>
          </w:p>
        </w:tc>
        <w:tc>
          <w:tcPr>
            <w:tcW w:w="1436" w:type="dxa"/>
            <w:tcBorders>
              <w:top w:val="single" w:sz="4" w:space="0" w:color="1F497D" w:themeColor="text2"/>
              <w:left w:val="nil"/>
              <w:right w:val="nil"/>
            </w:tcBorders>
            <w:shd w:val="clear" w:color="auto" w:fill="DBE5F1" w:themeFill="accent1" w:themeFillTint="33"/>
            <w:noWrap/>
            <w:vAlign w:val="bottom"/>
          </w:tcPr>
          <w:p w:rsidR="00FA604F" w:rsidRPr="00FA604F" w:rsidRDefault="00FA604F" w:rsidP="00973C4B">
            <w:pPr>
              <w:jc w:val="center"/>
              <w:rPr>
                <w:rFonts w:eastAsia="Times New Roman" w:cs="Calibri"/>
                <w:b/>
                <w:bCs/>
                <w:i/>
                <w:iCs/>
                <w:sz w:val="20"/>
                <w:szCs w:val="20"/>
                <w:lang w:eastAsia="en-AU"/>
              </w:rPr>
            </w:pPr>
          </w:p>
        </w:tc>
      </w:tr>
      <w:tr w:rsidR="00FA604F" w:rsidRPr="00857053" w:rsidTr="00975792">
        <w:trPr>
          <w:trHeight w:val="80"/>
        </w:trPr>
        <w:tc>
          <w:tcPr>
            <w:tcW w:w="2518" w:type="dxa"/>
            <w:tcBorders>
              <w:left w:val="nil"/>
              <w:right w:val="nil"/>
            </w:tcBorders>
            <w:shd w:val="clear" w:color="000000" w:fill="FFFFFF"/>
            <w:noWrap/>
            <w:vAlign w:val="bottom"/>
          </w:tcPr>
          <w:p w:rsidR="00FA604F" w:rsidRPr="00FA604F" w:rsidRDefault="00FA604F" w:rsidP="00FA604F">
            <w:pPr>
              <w:rPr>
                <w:rFonts w:eastAsia="Times New Roman" w:cs="Calibri"/>
                <w:b/>
                <w:bCs/>
                <w:iCs/>
                <w:sz w:val="20"/>
                <w:szCs w:val="20"/>
                <w:lang w:eastAsia="en-AU"/>
              </w:rPr>
            </w:pPr>
            <w:r w:rsidRPr="00FA604F">
              <w:rPr>
                <w:sz w:val="20"/>
              </w:rPr>
              <w:t>GAP (Euthanasia)</w:t>
            </w:r>
          </w:p>
        </w:tc>
        <w:tc>
          <w:tcPr>
            <w:tcW w:w="1753"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34</w:t>
            </w:r>
          </w:p>
        </w:tc>
        <w:tc>
          <w:tcPr>
            <w:tcW w:w="1116"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$4,102</w:t>
            </w:r>
          </w:p>
        </w:tc>
        <w:tc>
          <w:tcPr>
            <w:tcW w:w="1417" w:type="dxa"/>
            <w:tcBorders>
              <w:left w:val="nil"/>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$41,020</w:t>
            </w:r>
          </w:p>
        </w:tc>
        <w:tc>
          <w:tcPr>
            <w:tcW w:w="1436" w:type="dxa"/>
            <w:tcBorders>
              <w:left w:val="nil"/>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$34,601</w:t>
            </w:r>
          </w:p>
        </w:tc>
      </w:tr>
      <w:tr w:rsidR="00FA604F" w:rsidRPr="00857053" w:rsidTr="00975792">
        <w:trPr>
          <w:trHeight w:val="80"/>
        </w:trPr>
        <w:tc>
          <w:tcPr>
            <w:tcW w:w="2518" w:type="dxa"/>
            <w:tcBorders>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sz w:val="20"/>
              </w:rPr>
              <w:t>GAP (Food and Shelter)</w:t>
            </w:r>
          </w:p>
        </w:tc>
        <w:tc>
          <w:tcPr>
            <w:tcW w:w="1753"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3,418</w:t>
            </w:r>
          </w:p>
        </w:tc>
        <w:tc>
          <w:tcPr>
            <w:tcW w:w="1116"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$182,784</w:t>
            </w:r>
          </w:p>
        </w:tc>
        <w:tc>
          <w:tcPr>
            <w:tcW w:w="1417" w:type="dxa"/>
            <w:tcBorders>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$1,827,842</w:t>
            </w:r>
          </w:p>
        </w:tc>
        <w:tc>
          <w:tcPr>
            <w:tcW w:w="1436" w:type="dxa"/>
            <w:tcBorders>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sz w:val="20"/>
              </w:rPr>
              <w:t>$1,541,845</w:t>
            </w:r>
          </w:p>
        </w:tc>
      </w:tr>
      <w:tr w:rsidR="00FA604F" w:rsidRPr="00857053" w:rsidTr="00975792">
        <w:trPr>
          <w:trHeight w:val="70"/>
        </w:trPr>
        <w:tc>
          <w:tcPr>
            <w:tcW w:w="2518"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rPr>
                <w:rFonts w:eastAsia="Times New Roman" w:cs="Calibri"/>
                <w:b/>
                <w:bCs/>
                <w:i/>
                <w:iCs/>
                <w:sz w:val="20"/>
                <w:szCs w:val="20"/>
                <w:lang w:eastAsia="en-AU"/>
              </w:rPr>
            </w:pPr>
            <w:r w:rsidRPr="00FA604F">
              <w:rPr>
                <w:b/>
                <w:bCs/>
                <w:i/>
                <w:iCs/>
                <w:sz w:val="20"/>
              </w:rPr>
              <w:t>Total</w:t>
            </w:r>
          </w:p>
        </w:tc>
        <w:tc>
          <w:tcPr>
            <w:tcW w:w="1753"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 </w:t>
            </w:r>
          </w:p>
        </w:tc>
        <w:tc>
          <w:tcPr>
            <w:tcW w:w="1116"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$186,886</w:t>
            </w:r>
          </w:p>
        </w:tc>
        <w:tc>
          <w:tcPr>
            <w:tcW w:w="1417" w:type="dxa"/>
            <w:tcBorders>
              <w:top w:val="single" w:sz="4" w:space="0" w:color="1F497D" w:themeColor="text2"/>
              <w:left w:val="nil"/>
              <w:bottom w:val="single" w:sz="4" w:space="0" w:color="1F497D" w:themeColor="text2"/>
              <w:right w:val="nil"/>
            </w:tcBorders>
            <w:shd w:val="clear" w:color="000000" w:fill="FFFFFF"/>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$1,868,862</w:t>
            </w:r>
          </w:p>
        </w:tc>
        <w:tc>
          <w:tcPr>
            <w:tcW w:w="143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FA604F" w:rsidRPr="00FA604F" w:rsidRDefault="00FA604F" w:rsidP="00FA604F">
            <w:pPr>
              <w:jc w:val="center"/>
              <w:rPr>
                <w:rFonts w:eastAsia="Times New Roman" w:cs="Calibri"/>
                <w:b/>
                <w:bCs/>
                <w:i/>
                <w:iCs/>
                <w:sz w:val="20"/>
                <w:szCs w:val="20"/>
                <w:lang w:eastAsia="en-AU"/>
              </w:rPr>
            </w:pPr>
            <w:r w:rsidRPr="00FA604F">
              <w:rPr>
                <w:b/>
                <w:bCs/>
                <w:i/>
                <w:iCs/>
                <w:sz w:val="20"/>
              </w:rPr>
              <w:t>$1,576,447</w:t>
            </w:r>
          </w:p>
        </w:tc>
      </w:tr>
    </w:tbl>
    <w:p w:rsidR="00C100E9" w:rsidRDefault="00C100E9" w:rsidP="00C100E9">
      <w:pPr>
        <w:jc w:val="both"/>
      </w:pPr>
    </w:p>
    <w:p w:rsidR="00300A39" w:rsidRPr="005F3BA9" w:rsidRDefault="00EA26DD" w:rsidP="00300A39">
      <w:pPr>
        <w:pStyle w:val="Heading2"/>
      </w:pPr>
      <w:bookmarkStart w:id="253" w:name="_Toc469529225"/>
      <w:bookmarkStart w:id="254" w:name="_Toc477190249"/>
      <w:r w:rsidRPr="005F3BA9">
        <w:t>A4.12</w:t>
      </w:r>
      <w:r w:rsidR="00300A39" w:rsidRPr="005F3BA9">
        <w:t xml:space="preserve"> – Estimation of costs and dogs affected by proposed standard 6.6.4 (Perimeter fencing) – Options 1 to 6</w:t>
      </w:r>
      <w:bookmarkEnd w:id="253"/>
      <w:bookmarkEnd w:id="254"/>
    </w:p>
    <w:p w:rsidR="00C100E9" w:rsidRDefault="00C100E9" w:rsidP="00C100E9">
      <w:pPr>
        <w:jc w:val="both"/>
      </w:pPr>
      <w:r>
        <w:t xml:space="preserve">Proposed standard 6.6.4 will impose additional costs to participants who do not currently meet the perimeter fencing requirements with a height of 1.5m under this standard. The estimation of costs under proposed standard 6.6.4 utilises the following data points shown in Panel A4.6 - which provides the cost per participant affected by number of dogs under their care. </w:t>
      </w:r>
    </w:p>
    <w:p w:rsidR="00E303A1" w:rsidRDefault="00E303A1" w:rsidP="00C100E9">
      <w:pPr>
        <w:jc w:val="center"/>
        <w:rPr>
          <w:b/>
          <w:sz w:val="20"/>
        </w:rPr>
      </w:pPr>
    </w:p>
    <w:p w:rsidR="00C100E9" w:rsidRPr="00E303A1" w:rsidRDefault="00C100E9" w:rsidP="00C100E9">
      <w:pPr>
        <w:jc w:val="center"/>
        <w:rPr>
          <w:b/>
          <w:sz w:val="20"/>
        </w:rPr>
      </w:pPr>
      <w:r w:rsidRPr="00E303A1">
        <w:rPr>
          <w:b/>
          <w:sz w:val="20"/>
        </w:rPr>
        <w:t>Panel A4.6: Assumptions for costing standard 6.6.4</w:t>
      </w:r>
    </w:p>
    <w:tbl>
      <w:tblPr>
        <w:tblW w:w="8276" w:type="dxa"/>
        <w:tblBorders>
          <w:top w:val="double" w:sz="4" w:space="0" w:color="4F81BD" w:themeColor="accent1"/>
          <w:left w:val="double" w:sz="4" w:space="0" w:color="4F81BD" w:themeColor="accent1"/>
          <w:bottom w:val="double" w:sz="4" w:space="0" w:color="4F81BD" w:themeColor="accent1"/>
          <w:right w:val="double" w:sz="4" w:space="0" w:color="4F81BD" w:themeColor="accent1"/>
        </w:tblBorders>
        <w:shd w:val="clear" w:color="auto" w:fill="C6D9F1" w:themeFill="text2" w:themeFillTint="33"/>
        <w:tblLook w:val="04A0" w:firstRow="1" w:lastRow="0" w:firstColumn="1" w:lastColumn="0" w:noHBand="0" w:noVBand="1"/>
      </w:tblPr>
      <w:tblGrid>
        <w:gridCol w:w="1827"/>
        <w:gridCol w:w="857"/>
        <w:gridCol w:w="1614"/>
        <w:gridCol w:w="1211"/>
        <w:gridCol w:w="1412"/>
        <w:gridCol w:w="1355"/>
      </w:tblGrid>
      <w:tr w:rsidR="00C100E9" w:rsidRPr="00C21553" w:rsidTr="00E303A1">
        <w:trPr>
          <w:trHeight w:val="262"/>
        </w:trPr>
        <w:tc>
          <w:tcPr>
            <w:tcW w:w="1827" w:type="dxa"/>
            <w:shd w:val="clear" w:color="auto" w:fill="DBE5F1" w:themeFill="accent1" w:themeFillTint="33"/>
            <w:vAlign w:val="bottom"/>
            <w:hideMark/>
          </w:tcPr>
          <w:p w:rsidR="00C100E9" w:rsidRPr="00BD28C4" w:rsidRDefault="00C100E9" w:rsidP="00973C4B">
            <w:pPr>
              <w:rPr>
                <w:rFonts w:eastAsia="Times New Roman" w:cs="Calibri"/>
                <w:bCs/>
                <w:color w:val="53565A"/>
                <w:sz w:val="20"/>
                <w:lang w:eastAsia="en-AU"/>
              </w:rPr>
            </w:pPr>
            <w:r w:rsidRPr="00BD28C4">
              <w:rPr>
                <w:rFonts w:eastAsia="Times New Roman" w:cs="Calibri"/>
                <w:bCs/>
                <w:color w:val="53565A"/>
                <w:sz w:val="20"/>
                <w:lang w:eastAsia="en-AU"/>
              </w:rPr>
              <w:t>Number of dogs under the care of the participant</w:t>
            </w:r>
          </w:p>
        </w:tc>
        <w:tc>
          <w:tcPr>
            <w:tcW w:w="857" w:type="dxa"/>
            <w:shd w:val="clear" w:color="auto" w:fill="DBE5F1" w:themeFill="accent1" w:themeFillTint="33"/>
            <w:vAlign w:val="bottom"/>
            <w:hideMark/>
          </w:tcPr>
          <w:p w:rsidR="00C100E9" w:rsidRPr="00BD28C4" w:rsidRDefault="00C100E9" w:rsidP="00973C4B">
            <w:pPr>
              <w:jc w:val="center"/>
              <w:rPr>
                <w:rFonts w:eastAsia="Times New Roman" w:cs="Calibri"/>
                <w:bCs/>
                <w:color w:val="53565A"/>
                <w:sz w:val="20"/>
                <w:lang w:eastAsia="en-AU"/>
              </w:rPr>
            </w:pPr>
            <w:r w:rsidRPr="00BD28C4">
              <w:rPr>
                <w:rFonts w:eastAsia="Times New Roman" w:cs="Calibri"/>
                <w:bCs/>
                <w:color w:val="53565A"/>
                <w:sz w:val="20"/>
                <w:lang w:eastAsia="en-AU"/>
              </w:rPr>
              <w:t>Acre**</w:t>
            </w:r>
          </w:p>
        </w:tc>
        <w:tc>
          <w:tcPr>
            <w:tcW w:w="1614" w:type="dxa"/>
            <w:shd w:val="clear" w:color="auto" w:fill="DBE5F1" w:themeFill="accent1" w:themeFillTint="33"/>
            <w:vAlign w:val="bottom"/>
            <w:hideMark/>
          </w:tcPr>
          <w:p w:rsidR="00C100E9" w:rsidRPr="00BD28C4" w:rsidRDefault="00C100E9" w:rsidP="00973C4B">
            <w:pPr>
              <w:jc w:val="center"/>
              <w:rPr>
                <w:rFonts w:eastAsia="Times New Roman" w:cs="Calibri"/>
                <w:bCs/>
                <w:color w:val="53565A"/>
                <w:sz w:val="20"/>
                <w:lang w:eastAsia="en-AU"/>
              </w:rPr>
            </w:pPr>
            <w:r w:rsidRPr="00BD28C4">
              <w:rPr>
                <w:rFonts w:eastAsia="Times New Roman" w:cs="Calibri"/>
                <w:bCs/>
                <w:color w:val="53565A"/>
                <w:sz w:val="20"/>
                <w:lang w:eastAsia="en-AU"/>
              </w:rPr>
              <w:t>square metres</w:t>
            </w:r>
          </w:p>
        </w:tc>
        <w:tc>
          <w:tcPr>
            <w:tcW w:w="1211" w:type="dxa"/>
            <w:shd w:val="clear" w:color="auto" w:fill="DBE5F1" w:themeFill="accent1" w:themeFillTint="33"/>
            <w:vAlign w:val="bottom"/>
            <w:hideMark/>
          </w:tcPr>
          <w:p w:rsidR="00C100E9" w:rsidRPr="00BD28C4" w:rsidRDefault="00C100E9" w:rsidP="00973C4B">
            <w:pPr>
              <w:jc w:val="center"/>
              <w:rPr>
                <w:rFonts w:eastAsia="Times New Roman" w:cs="Calibri"/>
                <w:bCs/>
                <w:color w:val="53565A"/>
                <w:sz w:val="20"/>
                <w:lang w:eastAsia="en-AU"/>
              </w:rPr>
            </w:pPr>
            <w:r w:rsidRPr="00BD28C4">
              <w:rPr>
                <w:rFonts w:eastAsia="Times New Roman" w:cs="Calibri"/>
                <w:bCs/>
                <w:color w:val="53565A"/>
                <w:sz w:val="20"/>
                <w:lang w:eastAsia="en-AU"/>
              </w:rPr>
              <w:t>Lineal metres</w:t>
            </w:r>
          </w:p>
        </w:tc>
        <w:tc>
          <w:tcPr>
            <w:tcW w:w="1412" w:type="dxa"/>
            <w:shd w:val="clear" w:color="auto" w:fill="DBE5F1" w:themeFill="accent1" w:themeFillTint="33"/>
            <w:vAlign w:val="bottom"/>
            <w:hideMark/>
          </w:tcPr>
          <w:p w:rsidR="00C100E9" w:rsidRPr="00BD28C4" w:rsidRDefault="00C100E9" w:rsidP="00973C4B">
            <w:pPr>
              <w:jc w:val="center"/>
              <w:rPr>
                <w:rFonts w:eastAsia="Times New Roman" w:cs="Calibri"/>
                <w:bCs/>
                <w:color w:val="53565A"/>
                <w:sz w:val="20"/>
                <w:lang w:eastAsia="en-AU"/>
              </w:rPr>
            </w:pPr>
            <w:r w:rsidRPr="00BD28C4">
              <w:rPr>
                <w:rFonts w:eastAsia="Times New Roman" w:cs="Calibri"/>
                <w:bCs/>
                <w:color w:val="53565A"/>
                <w:sz w:val="20"/>
                <w:lang w:eastAsia="en-AU"/>
              </w:rPr>
              <w:t xml:space="preserve">Cost/lineal metre* with standard post spacing </w:t>
            </w:r>
          </w:p>
        </w:tc>
        <w:tc>
          <w:tcPr>
            <w:tcW w:w="1355" w:type="dxa"/>
            <w:shd w:val="clear" w:color="auto" w:fill="DBE5F1" w:themeFill="accent1" w:themeFillTint="33"/>
            <w:vAlign w:val="bottom"/>
            <w:hideMark/>
          </w:tcPr>
          <w:p w:rsidR="00C100E9" w:rsidRPr="00BD28C4" w:rsidRDefault="00C100E9" w:rsidP="00973C4B">
            <w:pPr>
              <w:jc w:val="center"/>
              <w:rPr>
                <w:rFonts w:eastAsia="Times New Roman" w:cs="Calibri"/>
                <w:bCs/>
                <w:color w:val="53565A"/>
                <w:sz w:val="20"/>
                <w:lang w:eastAsia="en-AU"/>
              </w:rPr>
            </w:pPr>
            <w:r w:rsidRPr="00BD28C4">
              <w:rPr>
                <w:rFonts w:eastAsia="Times New Roman" w:cs="Calibri"/>
                <w:bCs/>
                <w:color w:val="53565A"/>
                <w:sz w:val="20"/>
                <w:lang w:eastAsia="en-AU"/>
              </w:rPr>
              <w:t>Total cost per participant affected</w:t>
            </w:r>
          </w:p>
        </w:tc>
      </w:tr>
      <w:tr w:rsidR="00C100E9" w:rsidRPr="00C21553" w:rsidTr="00E303A1">
        <w:trPr>
          <w:trHeight w:val="50"/>
        </w:trPr>
        <w:tc>
          <w:tcPr>
            <w:tcW w:w="1827" w:type="dxa"/>
            <w:shd w:val="clear" w:color="auto" w:fill="DBE5F1" w:themeFill="accent1" w:themeFillTint="33"/>
            <w:noWrap/>
            <w:vAlign w:val="bottom"/>
            <w:hideMark/>
          </w:tcPr>
          <w:p w:rsidR="00C100E9" w:rsidRPr="00BD28C4" w:rsidRDefault="00737CE1" w:rsidP="00973C4B">
            <w:pPr>
              <w:rPr>
                <w:rFonts w:eastAsia="Times New Roman" w:cs="Calibri"/>
                <w:iCs/>
                <w:color w:val="53565A"/>
                <w:sz w:val="20"/>
                <w:lang w:eastAsia="en-AU"/>
              </w:rPr>
            </w:pPr>
            <w:r w:rsidRPr="00BD28C4">
              <w:rPr>
                <w:rFonts w:eastAsia="Times New Roman" w:cs="Calibri"/>
                <w:iCs/>
                <w:color w:val="53565A"/>
                <w:sz w:val="20"/>
                <w:lang w:eastAsia="en-AU"/>
              </w:rPr>
              <w:t>&lt; 11</w:t>
            </w:r>
            <w:r w:rsidR="00C100E9" w:rsidRPr="00BD28C4">
              <w:rPr>
                <w:rFonts w:eastAsia="Times New Roman" w:cs="Calibri"/>
                <w:iCs/>
                <w:color w:val="53565A"/>
                <w:sz w:val="20"/>
                <w:lang w:eastAsia="en-AU"/>
              </w:rPr>
              <w:t xml:space="preserve"> dogs</w:t>
            </w:r>
          </w:p>
        </w:tc>
        <w:tc>
          <w:tcPr>
            <w:tcW w:w="857"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1.50</w:t>
            </w:r>
          </w:p>
        </w:tc>
        <w:tc>
          <w:tcPr>
            <w:tcW w:w="1614"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6,070</w:t>
            </w:r>
          </w:p>
        </w:tc>
        <w:tc>
          <w:tcPr>
            <w:tcW w:w="1211"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312</w:t>
            </w:r>
          </w:p>
        </w:tc>
        <w:tc>
          <w:tcPr>
            <w:tcW w:w="1412"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 xml:space="preserve">$22 </w:t>
            </w:r>
          </w:p>
        </w:tc>
        <w:tc>
          <w:tcPr>
            <w:tcW w:w="1355" w:type="dxa"/>
            <w:shd w:val="clear" w:color="auto" w:fill="DBE5F1" w:themeFill="accent1" w:themeFillTint="33"/>
            <w:noWrap/>
            <w:vAlign w:val="bottom"/>
            <w:hideMark/>
          </w:tcPr>
          <w:p w:rsidR="00C100E9" w:rsidRPr="00BD28C4" w:rsidRDefault="00C100E9" w:rsidP="00973C4B">
            <w:pPr>
              <w:jc w:val="center"/>
              <w:rPr>
                <w:rFonts w:eastAsia="Times New Roman" w:cs="Calibri"/>
                <w:b/>
                <w:iCs/>
                <w:color w:val="53565A"/>
                <w:sz w:val="20"/>
                <w:lang w:eastAsia="en-AU"/>
              </w:rPr>
            </w:pPr>
            <w:r w:rsidRPr="00BD28C4">
              <w:rPr>
                <w:rFonts w:eastAsia="Times New Roman" w:cs="Calibri"/>
                <w:b/>
                <w:iCs/>
                <w:color w:val="53565A"/>
                <w:sz w:val="20"/>
                <w:lang w:eastAsia="en-AU"/>
              </w:rPr>
              <w:t>$6,856</w:t>
            </w:r>
          </w:p>
        </w:tc>
      </w:tr>
      <w:tr w:rsidR="00C100E9" w:rsidRPr="00C21553" w:rsidTr="00E303A1">
        <w:trPr>
          <w:trHeight w:val="50"/>
        </w:trPr>
        <w:tc>
          <w:tcPr>
            <w:tcW w:w="1827" w:type="dxa"/>
            <w:shd w:val="clear" w:color="auto" w:fill="DBE5F1" w:themeFill="accent1" w:themeFillTint="33"/>
            <w:noWrap/>
            <w:vAlign w:val="bottom"/>
            <w:hideMark/>
          </w:tcPr>
          <w:p w:rsidR="00C100E9" w:rsidRPr="00BD28C4" w:rsidRDefault="00C100E9" w:rsidP="00973C4B">
            <w:pPr>
              <w:rPr>
                <w:rFonts w:eastAsia="Times New Roman" w:cs="Calibri"/>
                <w:color w:val="53565A"/>
                <w:sz w:val="20"/>
                <w:lang w:eastAsia="en-AU"/>
              </w:rPr>
            </w:pPr>
            <w:r w:rsidRPr="00BD28C4">
              <w:rPr>
                <w:rFonts w:eastAsia="Times New Roman" w:cs="Calibri"/>
                <w:iCs/>
                <w:color w:val="53565A"/>
                <w:sz w:val="20"/>
                <w:lang w:eastAsia="en-AU"/>
              </w:rPr>
              <w:t>11 to 29 dogs</w:t>
            </w:r>
          </w:p>
        </w:tc>
        <w:tc>
          <w:tcPr>
            <w:tcW w:w="857"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iCs/>
                <w:color w:val="53565A"/>
                <w:sz w:val="20"/>
                <w:lang w:eastAsia="en-AU"/>
              </w:rPr>
              <w:t>4.69</w:t>
            </w:r>
          </w:p>
        </w:tc>
        <w:tc>
          <w:tcPr>
            <w:tcW w:w="1614"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iCs/>
                <w:color w:val="53565A"/>
                <w:sz w:val="20"/>
                <w:lang w:eastAsia="en-AU"/>
              </w:rPr>
              <w:t>18,980</w:t>
            </w:r>
          </w:p>
        </w:tc>
        <w:tc>
          <w:tcPr>
            <w:tcW w:w="1211"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iCs/>
                <w:color w:val="53565A"/>
                <w:sz w:val="20"/>
                <w:lang w:eastAsia="en-AU"/>
              </w:rPr>
              <w:t>551</w:t>
            </w:r>
          </w:p>
        </w:tc>
        <w:tc>
          <w:tcPr>
            <w:tcW w:w="1412" w:type="dxa"/>
            <w:shd w:val="clear" w:color="auto" w:fill="DBE5F1" w:themeFill="accent1" w:themeFillTint="33"/>
            <w:noWrap/>
            <w:vAlign w:val="bottom"/>
            <w:hideMark/>
          </w:tcPr>
          <w:p w:rsidR="00C100E9" w:rsidRPr="00BD28C4" w:rsidRDefault="00C100E9" w:rsidP="00973C4B">
            <w:pPr>
              <w:jc w:val="center"/>
              <w:rPr>
                <w:rFonts w:eastAsia="Times New Roman" w:cs="Calibri"/>
                <w:color w:val="53565A"/>
                <w:sz w:val="20"/>
                <w:lang w:eastAsia="en-AU"/>
              </w:rPr>
            </w:pPr>
            <w:r w:rsidRPr="00BD28C4">
              <w:rPr>
                <w:rFonts w:eastAsia="Times New Roman" w:cs="Calibri"/>
                <w:iCs/>
                <w:color w:val="53565A"/>
                <w:sz w:val="20"/>
                <w:lang w:eastAsia="en-AU"/>
              </w:rPr>
              <w:t xml:space="preserve">$22 </w:t>
            </w:r>
          </w:p>
        </w:tc>
        <w:tc>
          <w:tcPr>
            <w:tcW w:w="1355" w:type="dxa"/>
            <w:shd w:val="clear" w:color="auto" w:fill="DBE5F1" w:themeFill="accent1" w:themeFillTint="33"/>
            <w:noWrap/>
            <w:vAlign w:val="bottom"/>
            <w:hideMark/>
          </w:tcPr>
          <w:p w:rsidR="00C100E9" w:rsidRPr="00BD28C4" w:rsidRDefault="00C100E9" w:rsidP="00973C4B">
            <w:pPr>
              <w:jc w:val="center"/>
              <w:rPr>
                <w:rFonts w:eastAsia="Times New Roman" w:cs="Calibri"/>
                <w:b/>
                <w:color w:val="53565A"/>
                <w:sz w:val="20"/>
                <w:lang w:eastAsia="en-AU"/>
              </w:rPr>
            </w:pPr>
            <w:r w:rsidRPr="00BD28C4">
              <w:rPr>
                <w:rFonts w:eastAsia="Times New Roman" w:cs="Calibri"/>
                <w:b/>
                <w:iCs/>
                <w:color w:val="53565A"/>
                <w:sz w:val="20"/>
                <w:lang w:eastAsia="en-AU"/>
              </w:rPr>
              <w:t>$12,124</w:t>
            </w:r>
          </w:p>
        </w:tc>
      </w:tr>
      <w:tr w:rsidR="00C100E9" w:rsidRPr="00C21553" w:rsidTr="00E303A1">
        <w:trPr>
          <w:trHeight w:val="50"/>
        </w:trPr>
        <w:tc>
          <w:tcPr>
            <w:tcW w:w="1827" w:type="dxa"/>
            <w:shd w:val="clear" w:color="auto" w:fill="DBE5F1" w:themeFill="accent1" w:themeFillTint="33"/>
            <w:noWrap/>
            <w:vAlign w:val="bottom"/>
            <w:hideMark/>
          </w:tcPr>
          <w:p w:rsidR="00C100E9" w:rsidRPr="00BD28C4" w:rsidRDefault="00C100E9" w:rsidP="00973C4B">
            <w:pPr>
              <w:rPr>
                <w:rFonts w:eastAsia="Times New Roman" w:cs="Calibri"/>
                <w:iCs/>
                <w:color w:val="53565A"/>
                <w:sz w:val="20"/>
                <w:lang w:eastAsia="en-AU"/>
              </w:rPr>
            </w:pPr>
            <w:r w:rsidRPr="00BD28C4">
              <w:rPr>
                <w:rFonts w:eastAsia="Times New Roman" w:cs="Calibri"/>
                <w:iCs/>
                <w:color w:val="53565A"/>
                <w:sz w:val="20"/>
                <w:lang w:eastAsia="en-AU"/>
              </w:rPr>
              <w:t>30 or more</w:t>
            </w:r>
          </w:p>
        </w:tc>
        <w:tc>
          <w:tcPr>
            <w:tcW w:w="857"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7.50</w:t>
            </w:r>
          </w:p>
        </w:tc>
        <w:tc>
          <w:tcPr>
            <w:tcW w:w="1614"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30,351</w:t>
            </w:r>
          </w:p>
        </w:tc>
        <w:tc>
          <w:tcPr>
            <w:tcW w:w="1211"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697</w:t>
            </w:r>
          </w:p>
        </w:tc>
        <w:tc>
          <w:tcPr>
            <w:tcW w:w="1412" w:type="dxa"/>
            <w:shd w:val="clear" w:color="auto" w:fill="DBE5F1" w:themeFill="accent1" w:themeFillTint="33"/>
            <w:noWrap/>
            <w:vAlign w:val="bottom"/>
            <w:hideMark/>
          </w:tcPr>
          <w:p w:rsidR="00C100E9" w:rsidRPr="00BD28C4" w:rsidRDefault="00C100E9" w:rsidP="00973C4B">
            <w:pPr>
              <w:jc w:val="center"/>
              <w:rPr>
                <w:rFonts w:eastAsia="Times New Roman" w:cs="Calibri"/>
                <w:iCs/>
                <w:color w:val="53565A"/>
                <w:sz w:val="20"/>
                <w:lang w:eastAsia="en-AU"/>
              </w:rPr>
            </w:pPr>
            <w:r w:rsidRPr="00BD28C4">
              <w:rPr>
                <w:rFonts w:eastAsia="Times New Roman" w:cs="Calibri"/>
                <w:iCs/>
                <w:color w:val="53565A"/>
                <w:sz w:val="20"/>
                <w:lang w:eastAsia="en-AU"/>
              </w:rPr>
              <w:t xml:space="preserve">$22 </w:t>
            </w:r>
          </w:p>
        </w:tc>
        <w:tc>
          <w:tcPr>
            <w:tcW w:w="1355" w:type="dxa"/>
            <w:shd w:val="clear" w:color="auto" w:fill="DBE5F1" w:themeFill="accent1" w:themeFillTint="33"/>
            <w:noWrap/>
            <w:vAlign w:val="bottom"/>
            <w:hideMark/>
          </w:tcPr>
          <w:p w:rsidR="00C100E9" w:rsidRPr="00BD28C4" w:rsidRDefault="00C100E9" w:rsidP="00973C4B">
            <w:pPr>
              <w:jc w:val="center"/>
              <w:rPr>
                <w:rFonts w:eastAsia="Times New Roman" w:cs="Calibri"/>
                <w:b/>
                <w:iCs/>
                <w:color w:val="53565A"/>
                <w:sz w:val="20"/>
                <w:lang w:eastAsia="en-AU"/>
              </w:rPr>
            </w:pPr>
            <w:r w:rsidRPr="00BD28C4">
              <w:rPr>
                <w:rFonts w:eastAsia="Times New Roman" w:cs="Calibri"/>
                <w:b/>
                <w:iCs/>
                <w:color w:val="53565A"/>
                <w:sz w:val="20"/>
                <w:lang w:eastAsia="en-AU"/>
              </w:rPr>
              <w:t>$15,331</w:t>
            </w:r>
          </w:p>
        </w:tc>
      </w:tr>
    </w:tbl>
    <w:p w:rsidR="00C100E9" w:rsidRDefault="00C100E9" w:rsidP="00C100E9">
      <w:pPr>
        <w:jc w:val="both"/>
        <w:rPr>
          <w:sz w:val="18"/>
          <w:szCs w:val="18"/>
        </w:rPr>
      </w:pPr>
      <w:r w:rsidRPr="00825BFB">
        <w:rPr>
          <w:sz w:val="18"/>
          <w:szCs w:val="18"/>
        </w:rPr>
        <w:t>*1.5m dog wire</w:t>
      </w:r>
      <w:r>
        <w:rPr>
          <w:sz w:val="18"/>
          <w:szCs w:val="18"/>
        </w:rPr>
        <w:t xml:space="preserve"> **Based on spatial requirements in the proposed Code</w:t>
      </w:r>
    </w:p>
    <w:p w:rsidR="00C100E9" w:rsidRDefault="00C100E9" w:rsidP="00C100E9">
      <w:pPr>
        <w:jc w:val="both"/>
        <w:rPr>
          <w:sz w:val="18"/>
          <w:szCs w:val="18"/>
        </w:rPr>
      </w:pPr>
    </w:p>
    <w:p w:rsidR="00BF6BE2" w:rsidRDefault="00C100E9" w:rsidP="00BF6BE2">
      <w:pPr>
        <w:jc w:val="both"/>
      </w:pPr>
      <w:r>
        <w:t>The number of participants affected in Table A4.19 is estimated by taking the</w:t>
      </w:r>
      <w:r w:rsidR="00BF6BE2">
        <w:t xml:space="preserve"> product of the</w:t>
      </w:r>
      <w:r>
        <w:t xml:space="preserve"> distribution of participants in Table 4 (by dogs under their </w:t>
      </w:r>
      <w:r w:rsidR="00BF6BE2">
        <w:t xml:space="preserve">care); and </w:t>
      </w:r>
      <w:r w:rsidR="00BF6BE2" w:rsidRPr="00740E56">
        <w:t>the last column in Table A</w:t>
      </w:r>
      <w:r w:rsidR="00BF6BE2">
        <w:t>4.3 against each of the categories</w:t>
      </w:r>
      <w:r w:rsidR="00BF6BE2" w:rsidRPr="00740E56">
        <w:t xml:space="preserve"> of</w:t>
      </w:r>
      <w:r w:rsidR="00BF6BE2">
        <w:t xml:space="preserve"> participant–</w:t>
      </w:r>
      <w:r w:rsidR="00BF6BE2" w:rsidRPr="00740E56">
        <w:t xml:space="preserve"> </w:t>
      </w:r>
      <w:r w:rsidR="00BF6BE2">
        <w:t xml:space="preserve">using the </w:t>
      </w:r>
      <w:r w:rsidR="00BF6BE2" w:rsidRPr="00740E56">
        <w:t>following formula:</w:t>
      </w:r>
    </w:p>
    <w:p w:rsidR="00300A39" w:rsidRPr="00BF6BE2" w:rsidRDefault="00BF6BE2" w:rsidP="00BF6BE2">
      <w:pPr>
        <w:jc w:val="center"/>
        <w:rPr>
          <w:i/>
          <w:sz w:val="20"/>
        </w:rPr>
      </w:pPr>
      <w:r>
        <w:rPr>
          <w:i/>
          <w:sz w:val="20"/>
        </w:rPr>
        <w:t>Estimated No. participants affected = {number of participants by dogs under their care (see Table 4} x % of</w:t>
      </w:r>
      <w:r w:rsidRPr="00E63EC4">
        <w:rPr>
          <w:i/>
          <w:sz w:val="20"/>
        </w:rPr>
        <w:t xml:space="preserve"> </w:t>
      </w:r>
      <w:r>
        <w:rPr>
          <w:i/>
          <w:sz w:val="20"/>
        </w:rPr>
        <w:t xml:space="preserve">participants </w:t>
      </w:r>
      <w:r w:rsidRPr="00E63EC4">
        <w:rPr>
          <w:i/>
          <w:sz w:val="20"/>
        </w:rPr>
        <w:t>affected by behaviour change</w:t>
      </w:r>
      <w:r>
        <w:rPr>
          <w:i/>
          <w:sz w:val="20"/>
        </w:rPr>
        <w:t xml:space="preserve"> (see last column of Table A4.3 for options 1 to 6)</w:t>
      </w:r>
      <w:r w:rsidRPr="000A6D5E">
        <w:rPr>
          <w:i/>
          <w:sz w:val="20"/>
        </w:rPr>
        <w:t>.</w:t>
      </w:r>
      <w:r w:rsidR="007B521C">
        <w:t xml:space="preserve"> </w:t>
      </w:r>
    </w:p>
    <w:p w:rsidR="00300A39" w:rsidRDefault="00300A39" w:rsidP="00C100E9">
      <w:pPr>
        <w:jc w:val="both"/>
      </w:pPr>
    </w:p>
    <w:p w:rsidR="00C100E9" w:rsidRDefault="00C100E9" w:rsidP="00C100E9">
      <w:pPr>
        <w:jc w:val="both"/>
      </w:pPr>
      <w:r>
        <w:t>The one-off cost perimeter fencing is estimated by summing the products of the estimated number of participants affected in Table A4.19 and the total cost per participant affected in Panel A4.6 for each category of dogs under th</w:t>
      </w:r>
      <w:r w:rsidR="00737CE1">
        <w:t>e participant’s care (i.e. &lt; 11</w:t>
      </w:r>
      <w:r>
        <w:t xml:space="preserve"> dogs, 11 to 29 dogs and 30 dogs or more).</w:t>
      </w:r>
    </w:p>
    <w:p w:rsidR="00C100E9" w:rsidRDefault="00C100E9" w:rsidP="00C100E9">
      <w:pPr>
        <w:jc w:val="both"/>
      </w:pPr>
    </w:p>
    <w:p w:rsidR="00C100E9" w:rsidRDefault="00C100E9" w:rsidP="00C100E9">
      <w:pPr>
        <w:jc w:val="both"/>
      </w:pPr>
      <w:r>
        <w:lastRenderedPageBreak/>
        <w:t xml:space="preserve">The 10-year </w:t>
      </w:r>
      <w:r w:rsidR="00F0121C">
        <w:t xml:space="preserve">one-off </w:t>
      </w:r>
      <w:r>
        <w:t>additional cost of perimeter fenci</w:t>
      </w:r>
      <w:r w:rsidR="00F0121C">
        <w:t>ng under proposed standard 6.6.4 is estimated to be $11.18</w:t>
      </w:r>
      <w:r>
        <w:t>m</w:t>
      </w:r>
      <w:r w:rsidR="00F0121C">
        <w:t xml:space="preserve"> under Options 3, 5 and 6; $0.42m under Option 1; </w:t>
      </w:r>
      <w:r w:rsidR="00013C47">
        <w:t>$2.92m under Option 2; and $4.93m under Option 4 –</w:t>
      </w:r>
      <w:r w:rsidR="007B521C">
        <w:t xml:space="preserve"> </w:t>
      </w:r>
      <w:r>
        <w:t>in present value dollars as shown in Table A4.19.</w:t>
      </w:r>
    </w:p>
    <w:p w:rsidR="00C100E9" w:rsidRDefault="00C100E9" w:rsidP="00C100E9">
      <w:pPr>
        <w:jc w:val="both"/>
      </w:pPr>
    </w:p>
    <w:p w:rsidR="00C100E9" w:rsidRDefault="00C100E9" w:rsidP="00C100E9">
      <w:pPr>
        <w:jc w:val="center"/>
        <w:rPr>
          <w:b/>
        </w:rPr>
      </w:pPr>
      <w:r w:rsidRPr="00F460F0">
        <w:rPr>
          <w:b/>
        </w:rPr>
        <w:t>Table A</w:t>
      </w:r>
      <w:r>
        <w:rPr>
          <w:b/>
        </w:rPr>
        <w:t>4.19</w:t>
      </w:r>
      <w:r w:rsidRPr="00E256F2">
        <w:rPr>
          <w:b/>
        </w:rPr>
        <w:t>:</w:t>
      </w:r>
      <w:r w:rsidRPr="00E67529">
        <w:rPr>
          <w:b/>
        </w:rPr>
        <w:t xml:space="preserve"> Estimated </w:t>
      </w:r>
      <w:r>
        <w:rPr>
          <w:b/>
        </w:rPr>
        <w:t xml:space="preserve">10-year additional cost of perimeter fencing for participants </w:t>
      </w:r>
      <w:r w:rsidR="00F0121C">
        <w:rPr>
          <w:b/>
        </w:rPr>
        <w:t>under proposed standard 6.6.4</w:t>
      </w:r>
    </w:p>
    <w:p w:rsidR="00C100E9" w:rsidRDefault="00C100E9" w:rsidP="00C100E9">
      <w:pPr>
        <w:jc w:val="both"/>
      </w:pPr>
    </w:p>
    <w:tbl>
      <w:tblPr>
        <w:tblW w:w="8640" w:type="dxa"/>
        <w:jc w:val="center"/>
        <w:tblLook w:val="04A0" w:firstRow="1" w:lastRow="0" w:firstColumn="1" w:lastColumn="0" w:noHBand="0" w:noVBand="1"/>
      </w:tblPr>
      <w:tblGrid>
        <w:gridCol w:w="1843"/>
        <w:gridCol w:w="1522"/>
        <w:gridCol w:w="1247"/>
        <w:gridCol w:w="1522"/>
        <w:gridCol w:w="1274"/>
        <w:gridCol w:w="1232"/>
      </w:tblGrid>
      <w:tr w:rsidR="00C100E9" w:rsidRPr="00BD28C4" w:rsidTr="00D830E3">
        <w:trPr>
          <w:trHeight w:val="1050"/>
          <w:tblHeader/>
          <w:jc w:val="center"/>
        </w:trPr>
        <w:tc>
          <w:tcPr>
            <w:tcW w:w="1843"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Category of participants</w:t>
            </w:r>
          </w:p>
        </w:tc>
        <w:tc>
          <w:tcPr>
            <w:tcW w:w="1522"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Estimated No. participants a</w:t>
            </w:r>
            <w:r w:rsidR="00737CE1" w:rsidRPr="00BD28C4">
              <w:rPr>
                <w:rFonts w:eastAsia="Times New Roman" w:cs="Times New Roman"/>
                <w:b/>
                <w:bCs/>
                <w:color w:val="53565A"/>
                <w:sz w:val="20"/>
                <w:szCs w:val="20"/>
                <w:lang w:eastAsia="en-AU"/>
              </w:rPr>
              <w:t>ffected (&lt;11</w:t>
            </w:r>
            <w:r w:rsidRPr="00BD28C4">
              <w:rPr>
                <w:rFonts w:eastAsia="Times New Roman" w:cs="Times New Roman"/>
                <w:b/>
                <w:bCs/>
                <w:color w:val="53565A"/>
                <w:sz w:val="20"/>
                <w:szCs w:val="20"/>
                <w:lang w:eastAsia="en-AU"/>
              </w:rPr>
              <w:t xml:space="preserve"> dogs)</w:t>
            </w:r>
            <w:r w:rsidR="00BF6BE2" w:rsidRPr="00BD28C4">
              <w:rPr>
                <w:rStyle w:val="FootnoteReference"/>
                <w:rFonts w:eastAsia="Times New Roman" w:cs="Times New Roman"/>
                <w:b/>
                <w:bCs/>
                <w:color w:val="53565A"/>
                <w:sz w:val="20"/>
                <w:szCs w:val="20"/>
                <w:lang w:eastAsia="en-AU"/>
              </w:rPr>
              <w:footnoteReference w:id="185"/>
            </w:r>
          </w:p>
        </w:tc>
        <w:tc>
          <w:tcPr>
            <w:tcW w:w="1247"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Estimated No. participants affected (11 to 29 dogs)</w:t>
            </w:r>
          </w:p>
        </w:tc>
        <w:tc>
          <w:tcPr>
            <w:tcW w:w="1522"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Estimated No. participants affected (30 dogs or more)</w:t>
            </w:r>
          </w:p>
        </w:tc>
        <w:tc>
          <w:tcPr>
            <w:tcW w:w="1274"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One-off cost</w:t>
            </w:r>
          </w:p>
        </w:tc>
        <w:tc>
          <w:tcPr>
            <w:tcW w:w="1232"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10-year PV</w:t>
            </w:r>
          </w:p>
        </w:tc>
      </w:tr>
      <w:tr w:rsidR="00D830E3" w:rsidRPr="007E1522" w:rsidTr="00D830E3">
        <w:trPr>
          <w:trHeight w:val="315"/>
          <w:jc w:val="center"/>
        </w:trPr>
        <w:tc>
          <w:tcPr>
            <w:tcW w:w="1843" w:type="dxa"/>
            <w:tcBorders>
              <w:top w:val="nil"/>
              <w:left w:val="nil"/>
              <w:bottom w:val="nil"/>
              <w:right w:val="nil"/>
            </w:tcBorders>
            <w:shd w:val="clear" w:color="000000" w:fill="FFFFFF"/>
            <w:noWrap/>
            <w:vAlign w:val="bottom"/>
          </w:tcPr>
          <w:p w:rsidR="00D830E3" w:rsidRPr="00D830E3" w:rsidRDefault="00D830E3" w:rsidP="00D830E3">
            <w:pPr>
              <w:rPr>
                <w:b/>
                <w:sz w:val="20"/>
                <w:szCs w:val="20"/>
              </w:rPr>
            </w:pPr>
            <w:r w:rsidRPr="00D830E3">
              <w:rPr>
                <w:b/>
                <w:sz w:val="20"/>
                <w:szCs w:val="20"/>
              </w:rPr>
              <w:t>Option 1</w:t>
            </w:r>
          </w:p>
        </w:tc>
        <w:tc>
          <w:tcPr>
            <w:tcW w:w="1522" w:type="dxa"/>
            <w:tcBorders>
              <w:top w:val="nil"/>
              <w:left w:val="nil"/>
              <w:bottom w:val="nil"/>
              <w:right w:val="nil"/>
            </w:tcBorders>
            <w:shd w:val="clear" w:color="000000" w:fill="FFFFFF"/>
            <w:noWrap/>
            <w:vAlign w:val="bottom"/>
          </w:tcPr>
          <w:p w:rsidR="00D830E3" w:rsidRDefault="00D830E3" w:rsidP="00D830E3">
            <w:pPr>
              <w:jc w:val="center"/>
              <w:rPr>
                <w:sz w:val="20"/>
                <w:szCs w:val="20"/>
              </w:rPr>
            </w:pPr>
          </w:p>
        </w:tc>
        <w:tc>
          <w:tcPr>
            <w:tcW w:w="1247" w:type="dxa"/>
            <w:tcBorders>
              <w:top w:val="nil"/>
              <w:left w:val="nil"/>
              <w:bottom w:val="nil"/>
              <w:right w:val="nil"/>
            </w:tcBorders>
            <w:shd w:val="clear" w:color="000000" w:fill="FFFFFF"/>
            <w:noWrap/>
            <w:vAlign w:val="bottom"/>
          </w:tcPr>
          <w:p w:rsidR="00D830E3" w:rsidRDefault="00D830E3" w:rsidP="00D830E3">
            <w:pPr>
              <w:jc w:val="center"/>
              <w:rPr>
                <w:sz w:val="20"/>
                <w:szCs w:val="20"/>
              </w:rPr>
            </w:pPr>
          </w:p>
        </w:tc>
        <w:tc>
          <w:tcPr>
            <w:tcW w:w="1522" w:type="dxa"/>
            <w:tcBorders>
              <w:top w:val="nil"/>
              <w:left w:val="nil"/>
              <w:bottom w:val="nil"/>
              <w:right w:val="nil"/>
            </w:tcBorders>
            <w:shd w:val="clear" w:color="000000" w:fill="FFFFFF"/>
            <w:noWrap/>
            <w:vAlign w:val="bottom"/>
          </w:tcPr>
          <w:p w:rsidR="00D830E3" w:rsidRDefault="00D830E3" w:rsidP="00D830E3">
            <w:pPr>
              <w:jc w:val="center"/>
              <w:rPr>
                <w:sz w:val="20"/>
                <w:szCs w:val="20"/>
              </w:rPr>
            </w:pPr>
          </w:p>
        </w:tc>
        <w:tc>
          <w:tcPr>
            <w:tcW w:w="1274" w:type="dxa"/>
            <w:tcBorders>
              <w:top w:val="nil"/>
              <w:left w:val="nil"/>
              <w:bottom w:val="nil"/>
              <w:right w:val="nil"/>
            </w:tcBorders>
            <w:shd w:val="clear" w:color="000000" w:fill="FFFFFF"/>
            <w:noWrap/>
            <w:vAlign w:val="bottom"/>
          </w:tcPr>
          <w:p w:rsidR="00D830E3" w:rsidRDefault="00D830E3" w:rsidP="00D830E3">
            <w:pPr>
              <w:jc w:val="center"/>
              <w:rPr>
                <w:sz w:val="20"/>
                <w:szCs w:val="20"/>
              </w:rPr>
            </w:pPr>
          </w:p>
        </w:tc>
        <w:tc>
          <w:tcPr>
            <w:tcW w:w="1232" w:type="dxa"/>
            <w:tcBorders>
              <w:top w:val="nil"/>
              <w:left w:val="nil"/>
              <w:bottom w:val="nil"/>
              <w:right w:val="nil"/>
            </w:tcBorders>
            <w:shd w:val="clear" w:color="auto" w:fill="DBE5F1" w:themeFill="accent1" w:themeFillTint="33"/>
            <w:noWrap/>
            <w:vAlign w:val="bottom"/>
          </w:tcPr>
          <w:p w:rsidR="00D830E3" w:rsidRDefault="00D830E3" w:rsidP="00D830E3">
            <w:pPr>
              <w:jc w:val="center"/>
              <w:rPr>
                <w:sz w:val="20"/>
                <w:szCs w:val="20"/>
              </w:rPr>
            </w:pP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$0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14</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$107,828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$107,828</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trainers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$0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r>
      <w:tr w:rsidR="00D830E3" w:rsidRPr="007E1522" w:rsidTr="00D830E3">
        <w:trPr>
          <w:trHeight w:val="80"/>
          <w:jc w:val="center"/>
        </w:trPr>
        <w:tc>
          <w:tcPr>
            <w:tcW w:w="1843"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trainers</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45</w:t>
            </w:r>
          </w:p>
        </w:tc>
        <w:tc>
          <w:tcPr>
            <w:tcW w:w="1247"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$310,203 </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$310,203</w:t>
            </w:r>
          </w:p>
        </w:tc>
      </w:tr>
      <w:tr w:rsidR="00D830E3" w:rsidRPr="007E1522" w:rsidTr="00D830E3">
        <w:trPr>
          <w:trHeight w:val="80"/>
          <w:jc w:val="center"/>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b/>
                <w:bCs/>
                <w:i/>
                <w:iCs/>
                <w:sz w:val="20"/>
                <w:szCs w:val="20"/>
              </w:rPr>
              <w:t>Total</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60</w:t>
            </w:r>
          </w:p>
        </w:tc>
        <w:tc>
          <w:tcPr>
            <w:tcW w:w="1247"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1</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0</w:t>
            </w:r>
          </w:p>
        </w:tc>
        <w:tc>
          <w:tcPr>
            <w:tcW w:w="1274"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 xml:space="preserve">$418,031 </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$418,031</w:t>
            </w:r>
          </w:p>
        </w:tc>
      </w:tr>
      <w:tr w:rsidR="00D830E3" w:rsidRPr="007E1522" w:rsidTr="00D830E3">
        <w:trPr>
          <w:trHeight w:val="80"/>
          <w:jc w:val="center"/>
        </w:trPr>
        <w:tc>
          <w:tcPr>
            <w:tcW w:w="1843" w:type="dxa"/>
            <w:tcBorders>
              <w:top w:val="single" w:sz="4" w:space="0" w:color="1F497D" w:themeColor="text2"/>
              <w:left w:val="nil"/>
              <w:bottom w:val="nil"/>
              <w:right w:val="nil"/>
            </w:tcBorders>
            <w:shd w:val="clear" w:color="000000" w:fill="FFFFFF"/>
            <w:noWrap/>
            <w:vAlign w:val="bottom"/>
          </w:tcPr>
          <w:p w:rsidR="00D830E3" w:rsidRPr="00D830E3" w:rsidRDefault="00D830E3" w:rsidP="00973C4B">
            <w:pPr>
              <w:rPr>
                <w:rFonts w:eastAsia="Times New Roman" w:cs="Times New Roman"/>
                <w:b/>
                <w:sz w:val="20"/>
                <w:szCs w:val="20"/>
                <w:lang w:eastAsia="en-AU"/>
              </w:rPr>
            </w:pPr>
            <w:r w:rsidRPr="00D830E3">
              <w:rPr>
                <w:rFonts w:eastAsia="Times New Roman" w:cs="Times New Roman"/>
                <w:b/>
                <w:sz w:val="20"/>
                <w:szCs w:val="20"/>
                <w:lang w:eastAsia="en-AU"/>
              </w:rPr>
              <w:t>Option 2</w:t>
            </w: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47"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74"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D830E3" w:rsidRPr="007E1522" w:rsidRDefault="00D830E3" w:rsidP="00973C4B">
            <w:pPr>
              <w:jc w:val="center"/>
              <w:rPr>
                <w:rFonts w:eastAsia="Times New Roman" w:cs="Times New Roman"/>
                <w:sz w:val="20"/>
                <w:szCs w:val="20"/>
                <w:lang w:eastAsia="en-AU"/>
              </w:rPr>
            </w:pP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3</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$69,569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$69,569</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92</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5</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$693,142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$693,142</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trainers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15</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6</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$279,394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$279,394</w:t>
            </w:r>
          </w:p>
        </w:tc>
      </w:tr>
      <w:tr w:rsidR="00D830E3" w:rsidRPr="007E1522" w:rsidTr="00D830E3">
        <w:trPr>
          <w:trHeight w:val="80"/>
          <w:jc w:val="center"/>
        </w:trPr>
        <w:tc>
          <w:tcPr>
            <w:tcW w:w="1843"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trainers</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274</w:t>
            </w:r>
          </w:p>
        </w:tc>
        <w:tc>
          <w:tcPr>
            <w:tcW w:w="1247"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$1,878,898 </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$1,878,898</w:t>
            </w:r>
          </w:p>
        </w:tc>
      </w:tr>
      <w:tr w:rsidR="00D830E3" w:rsidRPr="007E1522" w:rsidTr="00D830E3">
        <w:trPr>
          <w:trHeight w:val="80"/>
          <w:jc w:val="center"/>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b/>
                <w:bCs/>
                <w:i/>
                <w:iCs/>
                <w:sz w:val="20"/>
                <w:szCs w:val="20"/>
              </w:rPr>
              <w:t>Total</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366</w:t>
            </w:r>
          </w:p>
        </w:tc>
        <w:tc>
          <w:tcPr>
            <w:tcW w:w="1247"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22</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10</w:t>
            </w:r>
          </w:p>
        </w:tc>
        <w:tc>
          <w:tcPr>
            <w:tcW w:w="1274"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 xml:space="preserve">$2,921,004 </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$2,921,004</w:t>
            </w:r>
          </w:p>
        </w:tc>
      </w:tr>
      <w:tr w:rsidR="00D830E3" w:rsidRPr="007E1522" w:rsidTr="00D830E3">
        <w:trPr>
          <w:trHeight w:val="315"/>
          <w:jc w:val="center"/>
        </w:trPr>
        <w:tc>
          <w:tcPr>
            <w:tcW w:w="1843" w:type="dxa"/>
            <w:tcBorders>
              <w:top w:val="single" w:sz="4" w:space="0" w:color="1F497D" w:themeColor="text2"/>
              <w:left w:val="nil"/>
              <w:bottom w:val="nil"/>
              <w:right w:val="nil"/>
            </w:tcBorders>
            <w:shd w:val="clear" w:color="000000" w:fill="FFFFFF"/>
            <w:noWrap/>
            <w:vAlign w:val="bottom"/>
          </w:tcPr>
          <w:p w:rsidR="00D830E3" w:rsidRPr="00D830E3" w:rsidRDefault="00D830E3" w:rsidP="00973C4B">
            <w:pPr>
              <w:rPr>
                <w:rFonts w:eastAsia="Times New Roman" w:cs="Times New Roman"/>
                <w:b/>
                <w:sz w:val="20"/>
                <w:szCs w:val="20"/>
                <w:lang w:eastAsia="en-AU"/>
              </w:rPr>
            </w:pPr>
            <w:r w:rsidRPr="00D830E3">
              <w:rPr>
                <w:rFonts w:eastAsia="Times New Roman" w:cs="Times New Roman"/>
                <w:b/>
                <w:sz w:val="20"/>
                <w:szCs w:val="20"/>
                <w:lang w:eastAsia="en-AU"/>
              </w:rPr>
              <w:t>Options 3, 5 and 6</w:t>
            </w: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47"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74"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D830E3" w:rsidRPr="007E1522" w:rsidRDefault="00D830E3" w:rsidP="00973C4B">
            <w:pPr>
              <w:jc w:val="center"/>
              <w:rPr>
                <w:rFonts w:eastAsia="Times New Roman" w:cs="Times New Roman"/>
                <w:sz w:val="20"/>
                <w:szCs w:val="20"/>
                <w:lang w:eastAsia="en-AU"/>
              </w:rPr>
            </w:pP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6</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13</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$266,230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$266,230</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breeders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352</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19</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$2,652,542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$2,652,542</w:t>
            </w:r>
          </w:p>
        </w:tc>
      </w:tr>
      <w:tr w:rsidR="00D830E3" w:rsidRPr="007E1522" w:rsidTr="00D830E3">
        <w:trPr>
          <w:trHeight w:val="80"/>
          <w:jc w:val="center"/>
        </w:trPr>
        <w:tc>
          <w:tcPr>
            <w:tcW w:w="1843" w:type="dxa"/>
            <w:tcBorders>
              <w:top w:val="nil"/>
              <w:left w:val="nil"/>
              <w:bottom w:val="nil"/>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Large trainers</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47"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57</w:t>
            </w:r>
          </w:p>
        </w:tc>
        <w:tc>
          <w:tcPr>
            <w:tcW w:w="1522"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25</w:t>
            </w:r>
          </w:p>
        </w:tc>
        <w:tc>
          <w:tcPr>
            <w:tcW w:w="1274" w:type="dxa"/>
            <w:tcBorders>
              <w:top w:val="nil"/>
              <w:left w:val="nil"/>
              <w:bottom w:val="nil"/>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$1,069,194 </w:t>
            </w:r>
          </w:p>
        </w:tc>
        <w:tc>
          <w:tcPr>
            <w:tcW w:w="1232" w:type="dxa"/>
            <w:tcBorders>
              <w:top w:val="nil"/>
              <w:left w:val="nil"/>
              <w:bottom w:val="nil"/>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$1,069,194</w:t>
            </w:r>
          </w:p>
        </w:tc>
      </w:tr>
      <w:tr w:rsidR="00D830E3" w:rsidRPr="007E1522" w:rsidTr="00D830E3">
        <w:trPr>
          <w:trHeight w:val="80"/>
          <w:jc w:val="center"/>
        </w:trPr>
        <w:tc>
          <w:tcPr>
            <w:tcW w:w="1843"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sz w:val="20"/>
                <w:szCs w:val="20"/>
              </w:rPr>
              <w:t>Small trainers</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1,049</w:t>
            </w:r>
          </w:p>
        </w:tc>
        <w:tc>
          <w:tcPr>
            <w:tcW w:w="1247"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522"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0</w:t>
            </w:r>
          </w:p>
        </w:tc>
        <w:tc>
          <w:tcPr>
            <w:tcW w:w="1274" w:type="dxa"/>
            <w:tcBorders>
              <w:top w:val="nil"/>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sz w:val="20"/>
                <w:szCs w:val="20"/>
              </w:rPr>
              <w:t xml:space="preserve">$7,190,236 </w:t>
            </w:r>
          </w:p>
        </w:tc>
        <w:tc>
          <w:tcPr>
            <w:tcW w:w="1232" w:type="dxa"/>
            <w:tcBorders>
              <w:top w:val="nil"/>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sz w:val="20"/>
                <w:szCs w:val="20"/>
              </w:rPr>
              <w:t>$7,190,236</w:t>
            </w:r>
          </w:p>
        </w:tc>
      </w:tr>
      <w:tr w:rsidR="00D830E3" w:rsidRPr="007E1522" w:rsidTr="00D830E3">
        <w:trPr>
          <w:trHeight w:val="80"/>
          <w:jc w:val="center"/>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rPr>
                <w:rFonts w:eastAsia="Times New Roman" w:cs="Times New Roman"/>
                <w:sz w:val="20"/>
                <w:szCs w:val="20"/>
                <w:lang w:eastAsia="en-AU"/>
              </w:rPr>
            </w:pPr>
            <w:r>
              <w:rPr>
                <w:b/>
                <w:bCs/>
                <w:i/>
                <w:iCs/>
                <w:sz w:val="20"/>
                <w:szCs w:val="20"/>
              </w:rPr>
              <w:t>Total</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1,401</w:t>
            </w:r>
          </w:p>
        </w:tc>
        <w:tc>
          <w:tcPr>
            <w:tcW w:w="1247"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82</w:t>
            </w:r>
          </w:p>
        </w:tc>
        <w:tc>
          <w:tcPr>
            <w:tcW w:w="1522"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37</w:t>
            </w:r>
          </w:p>
        </w:tc>
        <w:tc>
          <w:tcPr>
            <w:tcW w:w="1274" w:type="dxa"/>
            <w:tcBorders>
              <w:top w:val="single" w:sz="4" w:space="0" w:color="1F497D" w:themeColor="text2"/>
              <w:left w:val="nil"/>
              <w:bottom w:val="single" w:sz="4" w:space="0" w:color="1F497D" w:themeColor="text2"/>
              <w:right w:val="nil"/>
            </w:tcBorders>
            <w:shd w:val="clear" w:color="000000" w:fill="FFFFFF"/>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 xml:space="preserve">$11,178,202 </w:t>
            </w:r>
          </w:p>
        </w:tc>
        <w:tc>
          <w:tcPr>
            <w:tcW w:w="1232"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D830E3" w:rsidRPr="007E1522" w:rsidRDefault="00D830E3" w:rsidP="00D830E3">
            <w:pPr>
              <w:jc w:val="center"/>
              <w:rPr>
                <w:rFonts w:eastAsia="Times New Roman" w:cs="Times New Roman"/>
                <w:sz w:val="20"/>
                <w:szCs w:val="20"/>
                <w:lang w:eastAsia="en-AU"/>
              </w:rPr>
            </w:pPr>
            <w:r>
              <w:rPr>
                <w:b/>
                <w:bCs/>
                <w:i/>
                <w:iCs/>
                <w:sz w:val="20"/>
                <w:szCs w:val="20"/>
              </w:rPr>
              <w:t>$11,178,202</w:t>
            </w:r>
          </w:p>
        </w:tc>
      </w:tr>
      <w:tr w:rsidR="00D830E3" w:rsidRPr="007E1522" w:rsidTr="00D830E3">
        <w:trPr>
          <w:trHeight w:val="80"/>
          <w:jc w:val="center"/>
        </w:trPr>
        <w:tc>
          <w:tcPr>
            <w:tcW w:w="1843" w:type="dxa"/>
            <w:tcBorders>
              <w:top w:val="single" w:sz="4" w:space="0" w:color="1F497D" w:themeColor="text2"/>
              <w:left w:val="nil"/>
              <w:bottom w:val="nil"/>
              <w:right w:val="nil"/>
            </w:tcBorders>
            <w:shd w:val="clear" w:color="000000" w:fill="FFFFFF"/>
            <w:noWrap/>
            <w:vAlign w:val="bottom"/>
          </w:tcPr>
          <w:p w:rsidR="00D830E3" w:rsidRPr="00D830E3" w:rsidRDefault="00D830E3" w:rsidP="00973C4B">
            <w:pPr>
              <w:rPr>
                <w:rFonts w:eastAsia="Times New Roman" w:cs="Times New Roman"/>
                <w:b/>
                <w:sz w:val="20"/>
                <w:szCs w:val="20"/>
                <w:lang w:eastAsia="en-AU"/>
              </w:rPr>
            </w:pPr>
            <w:r w:rsidRPr="00D830E3">
              <w:rPr>
                <w:rFonts w:eastAsia="Times New Roman" w:cs="Times New Roman"/>
                <w:b/>
                <w:sz w:val="20"/>
                <w:szCs w:val="20"/>
                <w:lang w:eastAsia="en-AU"/>
              </w:rPr>
              <w:t>Option 4</w:t>
            </w: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47"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522"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74" w:type="dxa"/>
            <w:tcBorders>
              <w:top w:val="single" w:sz="4" w:space="0" w:color="1F497D" w:themeColor="text2"/>
              <w:left w:val="nil"/>
              <w:bottom w:val="nil"/>
              <w:right w:val="nil"/>
            </w:tcBorders>
            <w:shd w:val="clear" w:color="000000" w:fill="FFFFFF"/>
            <w:noWrap/>
            <w:vAlign w:val="bottom"/>
          </w:tcPr>
          <w:p w:rsidR="00D830E3" w:rsidRPr="007E1522" w:rsidRDefault="00D830E3"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auto" w:fill="DBE5F1" w:themeFill="accent1" w:themeFillTint="33"/>
            <w:noWrap/>
            <w:vAlign w:val="bottom"/>
          </w:tcPr>
          <w:p w:rsidR="00D830E3" w:rsidRPr="007E1522" w:rsidRDefault="00D830E3" w:rsidP="00973C4B">
            <w:pPr>
              <w:jc w:val="center"/>
              <w:rPr>
                <w:rFonts w:eastAsia="Times New Roman" w:cs="Times New Roman"/>
                <w:sz w:val="20"/>
                <w:szCs w:val="20"/>
                <w:lang w:eastAsia="en-AU"/>
              </w:rPr>
            </w:pPr>
          </w:p>
        </w:tc>
      </w:tr>
      <w:tr w:rsidR="00C100E9" w:rsidRPr="007E1522" w:rsidTr="00D830E3">
        <w:trPr>
          <w:trHeight w:val="80"/>
          <w:jc w:val="center"/>
        </w:trPr>
        <w:tc>
          <w:tcPr>
            <w:tcW w:w="1843" w:type="dxa"/>
            <w:tcBorders>
              <w:top w:val="nil"/>
              <w:left w:val="nil"/>
              <w:bottom w:val="nil"/>
              <w:right w:val="nil"/>
            </w:tcBorders>
            <w:shd w:val="clear" w:color="000000" w:fill="FFFFFF"/>
            <w:noWrap/>
            <w:vAlign w:val="bottom"/>
            <w:hideMark/>
          </w:tcPr>
          <w:p w:rsidR="00C100E9" w:rsidRPr="007E1522" w:rsidRDefault="00C100E9" w:rsidP="00973C4B">
            <w:pPr>
              <w:rPr>
                <w:rFonts w:eastAsia="Times New Roman" w:cs="Times New Roman"/>
                <w:sz w:val="20"/>
                <w:szCs w:val="20"/>
                <w:lang w:eastAsia="en-AU"/>
              </w:rPr>
            </w:pPr>
            <w:r w:rsidRPr="007E1522">
              <w:rPr>
                <w:rFonts w:eastAsia="Times New Roman" w:cs="Times New Roman"/>
                <w:sz w:val="20"/>
                <w:szCs w:val="20"/>
                <w:lang w:eastAsia="en-AU"/>
              </w:rPr>
              <w:t>Large breeders</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0</w:t>
            </w:r>
          </w:p>
        </w:tc>
        <w:tc>
          <w:tcPr>
            <w:tcW w:w="1247"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6</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13</w:t>
            </w:r>
          </w:p>
        </w:tc>
        <w:tc>
          <w:tcPr>
            <w:tcW w:w="1274"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 xml:space="preserve">$266,230 </w:t>
            </w:r>
          </w:p>
        </w:tc>
        <w:tc>
          <w:tcPr>
            <w:tcW w:w="1232" w:type="dxa"/>
            <w:tcBorders>
              <w:top w:val="nil"/>
              <w:left w:val="nil"/>
              <w:bottom w:val="nil"/>
              <w:right w:val="nil"/>
            </w:tcBorders>
            <w:shd w:val="clear" w:color="auto" w:fill="DBE5F1" w:themeFill="accent1" w:themeFillTint="33"/>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$266,230</w:t>
            </w:r>
          </w:p>
        </w:tc>
      </w:tr>
      <w:tr w:rsidR="00C100E9" w:rsidRPr="007E1522" w:rsidTr="00D830E3">
        <w:trPr>
          <w:trHeight w:val="80"/>
          <w:jc w:val="center"/>
        </w:trPr>
        <w:tc>
          <w:tcPr>
            <w:tcW w:w="1843" w:type="dxa"/>
            <w:tcBorders>
              <w:top w:val="nil"/>
              <w:left w:val="nil"/>
              <w:bottom w:val="nil"/>
              <w:right w:val="nil"/>
            </w:tcBorders>
            <w:shd w:val="clear" w:color="000000" w:fill="FFFFFF"/>
            <w:noWrap/>
            <w:vAlign w:val="bottom"/>
            <w:hideMark/>
          </w:tcPr>
          <w:p w:rsidR="00C100E9" w:rsidRPr="007E1522" w:rsidRDefault="00C100E9" w:rsidP="00973C4B">
            <w:pPr>
              <w:rPr>
                <w:rFonts w:eastAsia="Times New Roman" w:cs="Times New Roman"/>
                <w:sz w:val="20"/>
                <w:szCs w:val="20"/>
                <w:lang w:eastAsia="en-AU"/>
              </w:rPr>
            </w:pPr>
            <w:r w:rsidRPr="007E1522">
              <w:rPr>
                <w:rFonts w:eastAsia="Times New Roman" w:cs="Times New Roman"/>
                <w:sz w:val="20"/>
                <w:szCs w:val="20"/>
                <w:lang w:eastAsia="en-AU"/>
              </w:rPr>
              <w:t>Small breeders</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348</w:t>
            </w:r>
          </w:p>
        </w:tc>
        <w:tc>
          <w:tcPr>
            <w:tcW w:w="1247"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21</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0</w:t>
            </w:r>
          </w:p>
        </w:tc>
        <w:tc>
          <w:tcPr>
            <w:tcW w:w="1274"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 xml:space="preserve">$1,365,901 </w:t>
            </w:r>
          </w:p>
        </w:tc>
        <w:tc>
          <w:tcPr>
            <w:tcW w:w="1232" w:type="dxa"/>
            <w:tcBorders>
              <w:top w:val="nil"/>
              <w:left w:val="nil"/>
              <w:bottom w:val="nil"/>
              <w:right w:val="nil"/>
            </w:tcBorders>
            <w:shd w:val="clear" w:color="auto" w:fill="DBE5F1" w:themeFill="accent1" w:themeFillTint="33"/>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$1,365,901</w:t>
            </w:r>
          </w:p>
        </w:tc>
      </w:tr>
      <w:tr w:rsidR="00C100E9" w:rsidRPr="007E1522" w:rsidTr="00D830E3">
        <w:trPr>
          <w:trHeight w:val="80"/>
          <w:jc w:val="center"/>
        </w:trPr>
        <w:tc>
          <w:tcPr>
            <w:tcW w:w="1843" w:type="dxa"/>
            <w:tcBorders>
              <w:top w:val="nil"/>
              <w:left w:val="nil"/>
              <w:bottom w:val="nil"/>
              <w:right w:val="nil"/>
            </w:tcBorders>
            <w:shd w:val="clear" w:color="000000" w:fill="FFFFFF"/>
            <w:noWrap/>
            <w:vAlign w:val="bottom"/>
            <w:hideMark/>
          </w:tcPr>
          <w:p w:rsidR="00C100E9" w:rsidRPr="007E1522" w:rsidRDefault="00C100E9" w:rsidP="00973C4B">
            <w:pPr>
              <w:rPr>
                <w:rFonts w:eastAsia="Times New Roman" w:cs="Times New Roman"/>
                <w:sz w:val="20"/>
                <w:szCs w:val="20"/>
                <w:lang w:eastAsia="en-AU"/>
              </w:rPr>
            </w:pPr>
            <w:r w:rsidRPr="007E1522">
              <w:rPr>
                <w:rFonts w:eastAsia="Times New Roman" w:cs="Times New Roman"/>
                <w:sz w:val="20"/>
                <w:szCs w:val="20"/>
                <w:lang w:eastAsia="en-AU"/>
              </w:rPr>
              <w:t>Large trainers</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0</w:t>
            </w:r>
          </w:p>
        </w:tc>
        <w:tc>
          <w:tcPr>
            <w:tcW w:w="1247"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36</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25</w:t>
            </w:r>
          </w:p>
        </w:tc>
        <w:tc>
          <w:tcPr>
            <w:tcW w:w="1274"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 xml:space="preserve">$809,170 </w:t>
            </w:r>
          </w:p>
        </w:tc>
        <w:tc>
          <w:tcPr>
            <w:tcW w:w="1232" w:type="dxa"/>
            <w:tcBorders>
              <w:top w:val="nil"/>
              <w:left w:val="nil"/>
              <w:bottom w:val="nil"/>
              <w:right w:val="nil"/>
            </w:tcBorders>
            <w:shd w:val="clear" w:color="auto" w:fill="DBE5F1" w:themeFill="accent1" w:themeFillTint="33"/>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$809,170</w:t>
            </w:r>
          </w:p>
        </w:tc>
      </w:tr>
      <w:tr w:rsidR="00C100E9" w:rsidRPr="007E1522" w:rsidTr="00D830E3">
        <w:trPr>
          <w:trHeight w:val="80"/>
          <w:jc w:val="center"/>
        </w:trPr>
        <w:tc>
          <w:tcPr>
            <w:tcW w:w="1843" w:type="dxa"/>
            <w:tcBorders>
              <w:top w:val="nil"/>
              <w:left w:val="nil"/>
              <w:bottom w:val="nil"/>
              <w:right w:val="nil"/>
            </w:tcBorders>
            <w:shd w:val="clear" w:color="000000" w:fill="FFFFFF"/>
            <w:noWrap/>
            <w:vAlign w:val="bottom"/>
            <w:hideMark/>
          </w:tcPr>
          <w:p w:rsidR="00C100E9" w:rsidRPr="007E1522" w:rsidRDefault="00C100E9" w:rsidP="00973C4B">
            <w:pPr>
              <w:rPr>
                <w:rFonts w:eastAsia="Times New Roman" w:cs="Times New Roman"/>
                <w:sz w:val="20"/>
                <w:szCs w:val="20"/>
                <w:lang w:eastAsia="en-AU"/>
              </w:rPr>
            </w:pPr>
            <w:r w:rsidRPr="007E1522">
              <w:rPr>
                <w:rFonts w:eastAsia="Times New Roman" w:cs="Times New Roman"/>
                <w:sz w:val="20"/>
                <w:szCs w:val="20"/>
                <w:lang w:eastAsia="en-AU"/>
              </w:rPr>
              <w:t>Small trainers</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1</w:t>
            </w:r>
            <w:r>
              <w:rPr>
                <w:rFonts w:eastAsia="Times New Roman" w:cs="Times New Roman"/>
                <w:sz w:val="20"/>
                <w:szCs w:val="20"/>
                <w:lang w:eastAsia="en-AU"/>
              </w:rPr>
              <w:t>,</w:t>
            </w:r>
            <w:r w:rsidRPr="007E1522">
              <w:rPr>
                <w:rFonts w:eastAsia="Times New Roman" w:cs="Times New Roman"/>
                <w:sz w:val="20"/>
                <w:szCs w:val="20"/>
                <w:lang w:eastAsia="en-AU"/>
              </w:rPr>
              <w:t>049</w:t>
            </w:r>
          </w:p>
        </w:tc>
        <w:tc>
          <w:tcPr>
            <w:tcW w:w="1247"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0</w:t>
            </w:r>
          </w:p>
        </w:tc>
        <w:tc>
          <w:tcPr>
            <w:tcW w:w="1522"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0</w:t>
            </w:r>
          </w:p>
        </w:tc>
        <w:tc>
          <w:tcPr>
            <w:tcW w:w="1274" w:type="dxa"/>
            <w:tcBorders>
              <w:top w:val="nil"/>
              <w:left w:val="nil"/>
              <w:bottom w:val="nil"/>
              <w:right w:val="nil"/>
            </w:tcBorders>
            <w:shd w:val="clear" w:color="000000" w:fill="FFFFFF"/>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 xml:space="preserve">$2,492,351 </w:t>
            </w:r>
          </w:p>
        </w:tc>
        <w:tc>
          <w:tcPr>
            <w:tcW w:w="1232" w:type="dxa"/>
            <w:tcBorders>
              <w:top w:val="nil"/>
              <w:left w:val="nil"/>
              <w:bottom w:val="nil"/>
              <w:right w:val="nil"/>
            </w:tcBorders>
            <w:shd w:val="clear" w:color="auto" w:fill="DBE5F1" w:themeFill="accent1" w:themeFillTint="33"/>
            <w:noWrap/>
            <w:vAlign w:val="bottom"/>
            <w:hideMark/>
          </w:tcPr>
          <w:p w:rsidR="00C100E9" w:rsidRPr="007E1522" w:rsidRDefault="00C100E9" w:rsidP="00973C4B">
            <w:pPr>
              <w:jc w:val="center"/>
              <w:rPr>
                <w:rFonts w:eastAsia="Times New Roman" w:cs="Times New Roman"/>
                <w:sz w:val="20"/>
                <w:szCs w:val="20"/>
                <w:lang w:eastAsia="en-AU"/>
              </w:rPr>
            </w:pPr>
            <w:r w:rsidRPr="007E1522">
              <w:rPr>
                <w:rFonts w:eastAsia="Times New Roman" w:cs="Times New Roman"/>
                <w:sz w:val="20"/>
                <w:szCs w:val="20"/>
                <w:lang w:eastAsia="en-AU"/>
              </w:rPr>
              <w:t>$2,492,351</w:t>
            </w:r>
          </w:p>
        </w:tc>
      </w:tr>
      <w:tr w:rsidR="00C100E9" w:rsidRPr="007E1522" w:rsidTr="00D830E3">
        <w:trPr>
          <w:trHeight w:val="70"/>
          <w:jc w:val="center"/>
        </w:trPr>
        <w:tc>
          <w:tcPr>
            <w:tcW w:w="1843" w:type="dxa"/>
            <w:tcBorders>
              <w:top w:val="single" w:sz="4" w:space="0" w:color="1F4E78"/>
              <w:left w:val="nil"/>
              <w:bottom w:val="single" w:sz="4" w:space="0" w:color="1F4E78"/>
              <w:right w:val="nil"/>
            </w:tcBorders>
            <w:shd w:val="clear" w:color="000000" w:fill="FFFFFF"/>
            <w:noWrap/>
            <w:vAlign w:val="bottom"/>
            <w:hideMark/>
          </w:tcPr>
          <w:p w:rsidR="00C100E9" w:rsidRPr="007E1522" w:rsidRDefault="00C100E9" w:rsidP="00973C4B">
            <w:pPr>
              <w:rPr>
                <w:rFonts w:eastAsia="Times New Roman" w:cs="Times New Roman"/>
                <w:b/>
                <w:bCs/>
                <w:i/>
                <w:iCs/>
                <w:sz w:val="20"/>
                <w:szCs w:val="20"/>
                <w:lang w:eastAsia="en-AU"/>
              </w:rPr>
            </w:pPr>
            <w:r w:rsidRPr="007E1522">
              <w:rPr>
                <w:rFonts w:eastAsia="Times New Roman" w:cs="Times New Roman"/>
                <w:b/>
                <w:bCs/>
                <w:i/>
                <w:iCs/>
                <w:sz w:val="20"/>
                <w:szCs w:val="20"/>
                <w:lang w:eastAsia="en-AU"/>
              </w:rPr>
              <w:t>Total</w:t>
            </w:r>
          </w:p>
        </w:tc>
        <w:tc>
          <w:tcPr>
            <w:tcW w:w="1522" w:type="dxa"/>
            <w:tcBorders>
              <w:top w:val="single" w:sz="4" w:space="0" w:color="1F4E78"/>
              <w:left w:val="nil"/>
              <w:bottom w:val="single" w:sz="4" w:space="0" w:color="1F4E78"/>
              <w:right w:val="nil"/>
            </w:tcBorders>
            <w:shd w:val="clear" w:color="000000" w:fill="FFFFFF"/>
            <w:noWrap/>
            <w:vAlign w:val="bottom"/>
            <w:hideMark/>
          </w:tcPr>
          <w:p w:rsidR="00C100E9" w:rsidRPr="007E1522" w:rsidRDefault="00C100E9" w:rsidP="00973C4B">
            <w:pPr>
              <w:jc w:val="center"/>
              <w:rPr>
                <w:rFonts w:eastAsia="Times New Roman" w:cs="Times New Roman"/>
                <w:b/>
                <w:bCs/>
                <w:i/>
                <w:iCs/>
                <w:sz w:val="20"/>
                <w:szCs w:val="20"/>
                <w:lang w:eastAsia="en-AU"/>
              </w:rPr>
            </w:pPr>
            <w:r w:rsidRPr="007E1522">
              <w:rPr>
                <w:rFonts w:eastAsia="Times New Roman" w:cs="Times New Roman"/>
                <w:b/>
                <w:bCs/>
                <w:i/>
                <w:iCs/>
                <w:sz w:val="20"/>
                <w:szCs w:val="20"/>
                <w:lang w:eastAsia="en-AU"/>
              </w:rPr>
              <w:t>1</w:t>
            </w:r>
            <w:r>
              <w:rPr>
                <w:rFonts w:eastAsia="Times New Roman" w:cs="Times New Roman"/>
                <w:b/>
                <w:bCs/>
                <w:i/>
                <w:iCs/>
                <w:sz w:val="20"/>
                <w:szCs w:val="20"/>
                <w:lang w:eastAsia="en-AU"/>
              </w:rPr>
              <w:t>,</w:t>
            </w:r>
            <w:r w:rsidRPr="007E1522">
              <w:rPr>
                <w:rFonts w:eastAsia="Times New Roman" w:cs="Times New Roman"/>
                <w:b/>
                <w:bCs/>
                <w:i/>
                <w:iCs/>
                <w:sz w:val="20"/>
                <w:szCs w:val="20"/>
                <w:lang w:eastAsia="en-AU"/>
              </w:rPr>
              <w:t>396</w:t>
            </w:r>
          </w:p>
        </w:tc>
        <w:tc>
          <w:tcPr>
            <w:tcW w:w="1247" w:type="dxa"/>
            <w:tcBorders>
              <w:top w:val="single" w:sz="4" w:space="0" w:color="1F4E78"/>
              <w:left w:val="nil"/>
              <w:bottom w:val="single" w:sz="4" w:space="0" w:color="1F4E78"/>
              <w:right w:val="nil"/>
            </w:tcBorders>
            <w:shd w:val="clear" w:color="000000" w:fill="FFFFFF"/>
            <w:noWrap/>
            <w:vAlign w:val="bottom"/>
            <w:hideMark/>
          </w:tcPr>
          <w:p w:rsidR="00C100E9" w:rsidRPr="007E1522" w:rsidRDefault="00C100E9" w:rsidP="00973C4B">
            <w:pPr>
              <w:jc w:val="center"/>
              <w:rPr>
                <w:rFonts w:eastAsia="Times New Roman" w:cs="Times New Roman"/>
                <w:b/>
                <w:bCs/>
                <w:i/>
                <w:iCs/>
                <w:sz w:val="20"/>
                <w:szCs w:val="20"/>
                <w:lang w:eastAsia="en-AU"/>
              </w:rPr>
            </w:pPr>
            <w:r w:rsidRPr="007E1522">
              <w:rPr>
                <w:rFonts w:eastAsia="Times New Roman" w:cs="Times New Roman"/>
                <w:b/>
                <w:bCs/>
                <w:i/>
                <w:iCs/>
                <w:sz w:val="20"/>
                <w:szCs w:val="20"/>
                <w:lang w:eastAsia="en-AU"/>
              </w:rPr>
              <w:t>63</w:t>
            </w:r>
          </w:p>
        </w:tc>
        <w:tc>
          <w:tcPr>
            <w:tcW w:w="1522" w:type="dxa"/>
            <w:tcBorders>
              <w:top w:val="single" w:sz="4" w:space="0" w:color="1F4E78"/>
              <w:left w:val="nil"/>
              <w:bottom w:val="single" w:sz="4" w:space="0" w:color="1F4E78"/>
              <w:right w:val="nil"/>
            </w:tcBorders>
            <w:shd w:val="clear" w:color="000000" w:fill="FFFFFF"/>
            <w:noWrap/>
            <w:vAlign w:val="bottom"/>
            <w:hideMark/>
          </w:tcPr>
          <w:p w:rsidR="00C100E9" w:rsidRPr="007E1522" w:rsidRDefault="00C100E9" w:rsidP="00973C4B">
            <w:pPr>
              <w:jc w:val="center"/>
              <w:rPr>
                <w:rFonts w:eastAsia="Times New Roman" w:cs="Times New Roman"/>
                <w:b/>
                <w:bCs/>
                <w:i/>
                <w:iCs/>
                <w:sz w:val="20"/>
                <w:szCs w:val="20"/>
                <w:lang w:eastAsia="en-AU"/>
              </w:rPr>
            </w:pPr>
            <w:r w:rsidRPr="007E1522">
              <w:rPr>
                <w:rFonts w:eastAsia="Times New Roman" w:cs="Times New Roman"/>
                <w:b/>
                <w:bCs/>
                <w:i/>
                <w:iCs/>
                <w:sz w:val="20"/>
                <w:szCs w:val="20"/>
                <w:lang w:eastAsia="en-AU"/>
              </w:rPr>
              <w:t>37</w:t>
            </w:r>
          </w:p>
        </w:tc>
        <w:tc>
          <w:tcPr>
            <w:tcW w:w="1274" w:type="dxa"/>
            <w:tcBorders>
              <w:top w:val="single" w:sz="4" w:space="0" w:color="1F4E78"/>
              <w:left w:val="nil"/>
              <w:bottom w:val="single" w:sz="4" w:space="0" w:color="1F4E78"/>
              <w:right w:val="nil"/>
            </w:tcBorders>
            <w:shd w:val="clear" w:color="000000" w:fill="FFFFFF"/>
            <w:noWrap/>
            <w:vAlign w:val="bottom"/>
            <w:hideMark/>
          </w:tcPr>
          <w:p w:rsidR="00C100E9" w:rsidRPr="007E1522" w:rsidRDefault="00C100E9" w:rsidP="00973C4B">
            <w:pPr>
              <w:jc w:val="center"/>
              <w:rPr>
                <w:rFonts w:eastAsia="Times New Roman" w:cs="Times New Roman"/>
                <w:b/>
                <w:bCs/>
                <w:i/>
                <w:iCs/>
                <w:sz w:val="20"/>
                <w:szCs w:val="20"/>
                <w:lang w:eastAsia="en-AU"/>
              </w:rPr>
            </w:pPr>
            <w:r w:rsidRPr="007E1522">
              <w:rPr>
                <w:rFonts w:eastAsia="Times New Roman" w:cs="Times New Roman"/>
                <w:b/>
                <w:bCs/>
                <w:i/>
                <w:iCs/>
                <w:sz w:val="20"/>
                <w:szCs w:val="20"/>
                <w:lang w:eastAsia="en-AU"/>
              </w:rPr>
              <w:t xml:space="preserve">$4,933,652 </w:t>
            </w:r>
          </w:p>
        </w:tc>
        <w:tc>
          <w:tcPr>
            <w:tcW w:w="1232" w:type="dxa"/>
            <w:tcBorders>
              <w:top w:val="single" w:sz="4" w:space="0" w:color="1F4E78"/>
              <w:left w:val="nil"/>
              <w:bottom w:val="single" w:sz="4" w:space="0" w:color="1F4E78"/>
              <w:right w:val="nil"/>
            </w:tcBorders>
            <w:shd w:val="clear" w:color="auto" w:fill="DBE5F1" w:themeFill="accent1" w:themeFillTint="33"/>
            <w:noWrap/>
            <w:vAlign w:val="bottom"/>
            <w:hideMark/>
          </w:tcPr>
          <w:p w:rsidR="00C100E9" w:rsidRPr="007E1522" w:rsidRDefault="00C100E9" w:rsidP="00973C4B">
            <w:pPr>
              <w:jc w:val="center"/>
              <w:rPr>
                <w:rFonts w:eastAsia="Times New Roman" w:cs="Times New Roman"/>
                <w:b/>
                <w:bCs/>
                <w:i/>
                <w:iCs/>
                <w:sz w:val="20"/>
                <w:szCs w:val="20"/>
                <w:lang w:eastAsia="en-AU"/>
              </w:rPr>
            </w:pPr>
            <w:r w:rsidRPr="007E1522">
              <w:rPr>
                <w:rFonts w:eastAsia="Times New Roman" w:cs="Times New Roman"/>
                <w:b/>
                <w:bCs/>
                <w:i/>
                <w:iCs/>
                <w:sz w:val="20"/>
                <w:szCs w:val="20"/>
                <w:lang w:eastAsia="en-AU"/>
              </w:rPr>
              <w:t>$4,933,652</w:t>
            </w:r>
          </w:p>
        </w:tc>
      </w:tr>
    </w:tbl>
    <w:p w:rsidR="00F0121C" w:rsidRDefault="00F0121C" w:rsidP="00C100E9">
      <w:pPr>
        <w:jc w:val="both"/>
      </w:pPr>
    </w:p>
    <w:p w:rsidR="00F0121C" w:rsidRPr="005F3BA9" w:rsidRDefault="00EA26DD" w:rsidP="00F0121C">
      <w:pPr>
        <w:pStyle w:val="Heading2"/>
      </w:pPr>
      <w:bookmarkStart w:id="255" w:name="_Toc469529226"/>
      <w:bookmarkStart w:id="256" w:name="_Toc477190250"/>
      <w:r w:rsidRPr="005F3BA9">
        <w:t>A4.13</w:t>
      </w:r>
      <w:r w:rsidR="00F0121C" w:rsidRPr="005F3BA9">
        <w:t xml:space="preserve"> – Estimation of costs and dogs affected by proposed standard 6.6.5 (Outdoor housing) – Options 1 to 6</w:t>
      </w:r>
      <w:bookmarkEnd w:id="255"/>
      <w:bookmarkEnd w:id="256"/>
    </w:p>
    <w:p w:rsidR="00C100E9" w:rsidRDefault="00C100E9" w:rsidP="00C100E9">
      <w:pPr>
        <w:jc w:val="both"/>
      </w:pPr>
      <w:r>
        <w:t xml:space="preserve">Proposed standard 6.6.5 will result in additional requirements </w:t>
      </w:r>
      <w:r w:rsidR="00DB645F">
        <w:t xml:space="preserve">in that </w:t>
      </w:r>
      <w:r w:rsidRPr="00EE61FE">
        <w:t>outdoor housing must provide 3 square meters of weather proof area per greyhound housed over 16 weeks with raised sleeping beds</w:t>
      </w:r>
      <w:r>
        <w:t>.</w:t>
      </w:r>
      <w:r w:rsidR="007B521C">
        <w:t xml:space="preserve"> </w:t>
      </w:r>
      <w:r>
        <w:t>For the purpose of estimation, it is noted that roughly 50% of pens are outdoor</w:t>
      </w:r>
      <w:r w:rsidR="00577280">
        <w:rPr>
          <w:rStyle w:val="FootnoteReference"/>
        </w:rPr>
        <w:footnoteReference w:id="186"/>
      </w:r>
      <w:r>
        <w:t>.</w:t>
      </w:r>
      <w:r w:rsidR="007B521C">
        <w:t xml:space="preserve"> </w:t>
      </w:r>
      <w:r>
        <w:t>Moreover, housing costs are assumed to be equivalent to current flat pack housing costs of $2,850</w:t>
      </w:r>
      <w:r>
        <w:rPr>
          <w:rStyle w:val="Heading3Char"/>
        </w:rPr>
        <w:t xml:space="preserve"> </w:t>
      </w:r>
      <w:r>
        <w:t>per dog</w:t>
      </w:r>
      <w:r w:rsidR="00577280">
        <w:rPr>
          <w:rStyle w:val="FootnoteReference"/>
        </w:rPr>
        <w:footnoteReference w:id="187"/>
      </w:r>
      <w:r>
        <w:t>.</w:t>
      </w:r>
      <w:r w:rsidR="007B521C">
        <w:t xml:space="preserve"> </w:t>
      </w:r>
    </w:p>
    <w:p w:rsidR="00C100E9" w:rsidRDefault="00C100E9" w:rsidP="00C100E9">
      <w:pPr>
        <w:jc w:val="both"/>
      </w:pPr>
    </w:p>
    <w:p w:rsidR="00F0121C" w:rsidRDefault="00F0121C" w:rsidP="00F0121C">
      <w:pPr>
        <w:jc w:val="both"/>
      </w:pPr>
      <w:r>
        <w:lastRenderedPageBreak/>
        <w:t xml:space="preserve">The estimated number of rearing dogs or dogs breaking in </w:t>
      </w:r>
      <w:r w:rsidRPr="003C40A5">
        <w:rPr>
          <w:i/>
        </w:rPr>
        <w:t>affected</w:t>
      </w:r>
      <w:r>
        <w:t xml:space="preserve"> in Table A4.20 is calculated by taking 50% of the product of the number of rearing dogs or dogs broken in (3,913 rearing dogs</w:t>
      </w:r>
      <w:r>
        <w:rPr>
          <w:rStyle w:val="FootnoteReference"/>
        </w:rPr>
        <w:footnoteReference w:id="188"/>
      </w:r>
      <w:r>
        <w:t xml:space="preserve"> apportioned against large and small breeders – 10.69%</w:t>
      </w:r>
      <w:r>
        <w:rPr>
          <w:rStyle w:val="FootnoteReference"/>
        </w:rPr>
        <w:footnoteReference w:id="189"/>
      </w:r>
      <w:r>
        <w:t xml:space="preserve"> and 89.31%</w:t>
      </w:r>
      <w:r>
        <w:rPr>
          <w:rStyle w:val="FootnoteReference"/>
        </w:rPr>
        <w:footnoteReference w:id="190"/>
      </w:r>
      <w:r>
        <w:t>, respectively and 3,913 dogs breaking in apportioned against large and small trainers – 14.98%</w:t>
      </w:r>
      <w:r>
        <w:rPr>
          <w:rStyle w:val="FootnoteReference"/>
        </w:rPr>
        <w:footnoteReference w:id="191"/>
      </w:r>
      <w:r>
        <w:t xml:space="preserve"> and 85.02%</w:t>
      </w:r>
      <w:r>
        <w:rPr>
          <w:rStyle w:val="FootnoteReference"/>
        </w:rPr>
        <w:footnoteReference w:id="192"/>
      </w:r>
      <w:r>
        <w:t xml:space="preserve">, respectively); and </w:t>
      </w:r>
      <w:r w:rsidRPr="00740E56">
        <w:t>the last column in Table A</w:t>
      </w:r>
      <w:r>
        <w:t>4.3 against each of the participant categories</w:t>
      </w:r>
      <w:r w:rsidRPr="00740E56">
        <w:t xml:space="preserve"> </w:t>
      </w:r>
      <w:r>
        <w:t>–</w:t>
      </w:r>
      <w:r w:rsidRPr="00740E56">
        <w:t xml:space="preserve"> </w:t>
      </w:r>
      <w:r>
        <w:t xml:space="preserve">using the </w:t>
      </w:r>
      <w:r w:rsidRPr="00740E56">
        <w:t>following formula:</w:t>
      </w:r>
    </w:p>
    <w:p w:rsidR="00F0121C" w:rsidRPr="009E30A8" w:rsidRDefault="00F0121C" w:rsidP="00F0121C">
      <w:pPr>
        <w:jc w:val="center"/>
        <w:rPr>
          <w:i/>
          <w:sz w:val="20"/>
        </w:rPr>
      </w:pPr>
      <w:r>
        <w:rPr>
          <w:i/>
          <w:sz w:val="20"/>
        </w:rPr>
        <w:t>Estimated No. rearing dogs or dogs breaking in affected = 50% x [{number of rearing dogs x 10.69% for large breeders or 89.31% for small breeders} + {number of dogs breaking in x 14.98% for large trainers or 85.02% for small trainers}] x % of</w:t>
      </w:r>
      <w:r w:rsidRPr="00E63EC4">
        <w:rPr>
          <w:i/>
          <w:sz w:val="20"/>
        </w:rPr>
        <w:t xml:space="preserve"> total </w:t>
      </w:r>
      <w:r>
        <w:rPr>
          <w:i/>
          <w:sz w:val="20"/>
        </w:rPr>
        <w:t xml:space="preserve">participants </w:t>
      </w:r>
      <w:r w:rsidRPr="00E63EC4">
        <w:rPr>
          <w:i/>
          <w:sz w:val="20"/>
        </w:rPr>
        <w:t>affected by behaviour change</w:t>
      </w:r>
      <w:r>
        <w:rPr>
          <w:i/>
          <w:sz w:val="20"/>
        </w:rPr>
        <w:t xml:space="preserve"> (see last column of Table A4.3 for options 1 to 6)</w:t>
      </w:r>
      <w:r w:rsidRPr="000A6D5E">
        <w:rPr>
          <w:i/>
          <w:sz w:val="20"/>
        </w:rPr>
        <w:t>.</w:t>
      </w:r>
    </w:p>
    <w:p w:rsidR="00F0121C" w:rsidRDefault="00F0121C" w:rsidP="00F0121C">
      <w:pPr>
        <w:jc w:val="both"/>
      </w:pPr>
    </w:p>
    <w:p w:rsidR="00F0121C" w:rsidRDefault="00C100E9" w:rsidP="00C100E9">
      <w:pPr>
        <w:jc w:val="both"/>
      </w:pPr>
      <w:r>
        <w:t>The one-off additional cost of outdoor housing is estimated as the product of the number</w:t>
      </w:r>
      <w:r w:rsidR="00F0121C">
        <w:t xml:space="preserve"> of dogs affected in Table A4.20</w:t>
      </w:r>
      <w:r>
        <w:t xml:space="preserve"> and the cost of flat pack housing ($2,850/dog).</w:t>
      </w:r>
      <w:r w:rsidR="007B521C">
        <w:t xml:space="preserve"> </w:t>
      </w:r>
    </w:p>
    <w:p w:rsidR="00F0121C" w:rsidRDefault="00F0121C" w:rsidP="00C100E9">
      <w:pPr>
        <w:jc w:val="both"/>
      </w:pPr>
    </w:p>
    <w:p w:rsidR="00013C47" w:rsidRDefault="00013C47" w:rsidP="00013C47">
      <w:pPr>
        <w:jc w:val="both"/>
      </w:pPr>
      <w:r>
        <w:t>The 10-year one-off additional cost of outdoor housing under proposed standard 6.6.5</w:t>
      </w:r>
      <w:r w:rsidR="00DB645F">
        <w:t xml:space="preserve"> is estimated to be $7.71</w:t>
      </w:r>
      <w:r>
        <w:t>m</w:t>
      </w:r>
      <w:r w:rsidR="00DB645F">
        <w:t xml:space="preserve"> under Options 3, 5 and 6; $0.30</w:t>
      </w:r>
      <w:r>
        <w:t xml:space="preserve">m under Option 1; </w:t>
      </w:r>
      <w:r w:rsidR="00DB645F">
        <w:t>$2.02</w:t>
      </w:r>
      <w:r>
        <w:t xml:space="preserve">m under Option 2; and </w:t>
      </w:r>
      <w:r w:rsidR="00DB645F">
        <w:t>$4.86</w:t>
      </w:r>
      <w:r>
        <w:t>m under Option 4 –</w:t>
      </w:r>
      <w:r w:rsidR="007B521C">
        <w:t xml:space="preserve"> </w:t>
      </w:r>
      <w:r>
        <w:t>in present value dollars as shown in Table A4.19.</w:t>
      </w:r>
    </w:p>
    <w:p w:rsidR="00C100E9" w:rsidRDefault="00C100E9" w:rsidP="00C100E9">
      <w:pPr>
        <w:jc w:val="both"/>
      </w:pPr>
    </w:p>
    <w:p w:rsidR="00C100E9" w:rsidRPr="00F0121C" w:rsidRDefault="00C100E9" w:rsidP="00C100E9">
      <w:pPr>
        <w:jc w:val="center"/>
        <w:rPr>
          <w:b/>
          <w:sz w:val="20"/>
        </w:rPr>
      </w:pPr>
      <w:r w:rsidRPr="00F0121C">
        <w:rPr>
          <w:b/>
          <w:sz w:val="20"/>
        </w:rPr>
        <w:t>Table A4.20: Estimated 10-year additional cost of outdoor dog housing for participants</w:t>
      </w:r>
      <w:r w:rsidR="00F0121C" w:rsidRPr="00F0121C">
        <w:rPr>
          <w:b/>
          <w:sz w:val="20"/>
        </w:rPr>
        <w:t xml:space="preserve"> under standard 6.6.5 – Options 1 to 6</w:t>
      </w:r>
      <w:r w:rsidRPr="00F0121C">
        <w:rPr>
          <w:b/>
          <w:sz w:val="20"/>
        </w:rPr>
        <w:t xml:space="preserve"> </w:t>
      </w:r>
    </w:p>
    <w:p w:rsidR="00C100E9" w:rsidRDefault="00C100E9" w:rsidP="00C100E9">
      <w:pPr>
        <w:jc w:val="both"/>
      </w:pPr>
    </w:p>
    <w:tbl>
      <w:tblPr>
        <w:tblW w:w="8092" w:type="dxa"/>
        <w:tblLook w:val="04A0" w:firstRow="1" w:lastRow="0" w:firstColumn="1" w:lastColumn="0" w:noHBand="0" w:noVBand="1"/>
      </w:tblPr>
      <w:tblGrid>
        <w:gridCol w:w="2552"/>
        <w:gridCol w:w="2268"/>
        <w:gridCol w:w="1616"/>
        <w:gridCol w:w="1656"/>
      </w:tblGrid>
      <w:tr w:rsidR="00C100E9" w:rsidRPr="00BD28C4" w:rsidTr="00847153">
        <w:trPr>
          <w:trHeight w:val="540"/>
          <w:tblHeader/>
        </w:trPr>
        <w:tc>
          <w:tcPr>
            <w:tcW w:w="2552"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rPr>
                <w:rFonts w:eastAsia="Times New Roman" w:cs="Times New Roman"/>
                <w:b/>
                <w:color w:val="53565A"/>
                <w:sz w:val="20"/>
                <w:szCs w:val="20"/>
                <w:lang w:eastAsia="en-AU"/>
              </w:rPr>
            </w:pPr>
            <w:r w:rsidRPr="00BD28C4">
              <w:rPr>
                <w:rFonts w:eastAsia="Times New Roman" w:cs="Times New Roman"/>
                <w:b/>
                <w:color w:val="53565A"/>
                <w:sz w:val="20"/>
                <w:szCs w:val="20"/>
                <w:lang w:eastAsia="en-AU"/>
              </w:rPr>
              <w:t>Category of participants</w:t>
            </w:r>
          </w:p>
        </w:tc>
        <w:tc>
          <w:tcPr>
            <w:tcW w:w="2268" w:type="dxa"/>
            <w:tcBorders>
              <w:top w:val="single" w:sz="4" w:space="0" w:color="1F4E78"/>
              <w:left w:val="nil"/>
              <w:bottom w:val="double" w:sz="6" w:space="0" w:color="1F4E78"/>
              <w:right w:val="nil"/>
            </w:tcBorders>
            <w:shd w:val="clear" w:color="000000" w:fill="FFFFFF"/>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Estimated No. dogs affected (rearing and breaking in)</w:t>
            </w:r>
          </w:p>
        </w:tc>
        <w:tc>
          <w:tcPr>
            <w:tcW w:w="1616" w:type="dxa"/>
            <w:tcBorders>
              <w:top w:val="single" w:sz="4" w:space="0" w:color="1F4E78"/>
              <w:left w:val="nil"/>
              <w:bottom w:val="double" w:sz="6" w:space="0" w:color="1F4E78"/>
              <w:right w:val="nil"/>
            </w:tcBorders>
            <w:shd w:val="clear" w:color="000000" w:fill="FFFFFF"/>
            <w:noWrap/>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One-off cost</w:t>
            </w:r>
          </w:p>
        </w:tc>
        <w:tc>
          <w:tcPr>
            <w:tcW w:w="1656"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BD28C4" w:rsidRDefault="00C100E9" w:rsidP="00973C4B">
            <w:pPr>
              <w:jc w:val="center"/>
              <w:rPr>
                <w:rFonts w:eastAsia="Times New Roman" w:cs="Times New Roman"/>
                <w:b/>
                <w:bCs/>
                <w:color w:val="53565A"/>
                <w:sz w:val="20"/>
                <w:szCs w:val="20"/>
                <w:lang w:eastAsia="en-AU"/>
              </w:rPr>
            </w:pPr>
            <w:r w:rsidRPr="00BD28C4">
              <w:rPr>
                <w:rFonts w:eastAsia="Times New Roman" w:cs="Times New Roman"/>
                <w:b/>
                <w:bCs/>
                <w:color w:val="53565A"/>
                <w:sz w:val="20"/>
                <w:szCs w:val="20"/>
                <w:lang w:eastAsia="en-AU"/>
              </w:rPr>
              <w:t>10-year PV cost</w:t>
            </w:r>
          </w:p>
        </w:tc>
      </w:tr>
      <w:tr w:rsidR="00F0121C" w:rsidRPr="00114D8C" w:rsidTr="00847153">
        <w:trPr>
          <w:trHeight w:val="108"/>
        </w:trPr>
        <w:tc>
          <w:tcPr>
            <w:tcW w:w="2552" w:type="dxa"/>
            <w:tcBorders>
              <w:top w:val="nil"/>
              <w:left w:val="nil"/>
              <w:bottom w:val="nil"/>
              <w:right w:val="nil"/>
            </w:tcBorders>
            <w:shd w:val="clear" w:color="000000" w:fill="FFFFFF"/>
            <w:noWrap/>
            <w:vAlign w:val="bottom"/>
          </w:tcPr>
          <w:p w:rsidR="00F0121C" w:rsidRPr="00975792" w:rsidRDefault="000F09DC" w:rsidP="00973C4B">
            <w:pPr>
              <w:rPr>
                <w:rFonts w:eastAsia="Times New Roman" w:cs="Times New Roman"/>
                <w:b/>
                <w:sz w:val="18"/>
                <w:szCs w:val="18"/>
                <w:lang w:eastAsia="en-AU"/>
              </w:rPr>
            </w:pPr>
            <w:r w:rsidRPr="00975792">
              <w:rPr>
                <w:rFonts w:eastAsia="Times New Roman" w:cs="Times New Roman"/>
                <w:b/>
                <w:sz w:val="18"/>
                <w:szCs w:val="18"/>
                <w:lang w:eastAsia="en-AU"/>
              </w:rPr>
              <w:t>Option 1</w:t>
            </w:r>
          </w:p>
        </w:tc>
        <w:tc>
          <w:tcPr>
            <w:tcW w:w="2268" w:type="dxa"/>
            <w:tcBorders>
              <w:top w:val="nil"/>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16" w:type="dxa"/>
            <w:tcBorders>
              <w:top w:val="nil"/>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56" w:type="dxa"/>
            <w:tcBorders>
              <w:top w:val="nil"/>
              <w:left w:val="nil"/>
              <w:bottom w:val="nil"/>
              <w:right w:val="nil"/>
            </w:tcBorders>
            <w:shd w:val="clear" w:color="auto" w:fill="DBE5F1" w:themeFill="accent1" w:themeFillTint="33"/>
            <w:noWrap/>
            <w:vAlign w:val="bottom"/>
          </w:tcPr>
          <w:p w:rsidR="00F0121C" w:rsidRPr="00975792" w:rsidRDefault="00F0121C" w:rsidP="00973C4B">
            <w:pPr>
              <w:jc w:val="center"/>
              <w:rPr>
                <w:rFonts w:eastAsia="Times New Roman" w:cs="Times New Roman"/>
                <w:sz w:val="18"/>
                <w:szCs w:val="18"/>
                <w:lang w:eastAsia="en-AU"/>
              </w:rPr>
            </w:pPr>
          </w:p>
        </w:tc>
      </w:tr>
      <w:tr w:rsidR="000F09DC" w:rsidRPr="00114D8C" w:rsidTr="00847153">
        <w:trPr>
          <w:trHeight w:val="80"/>
        </w:trPr>
        <w:tc>
          <w:tcPr>
            <w:tcW w:w="2552" w:type="dxa"/>
            <w:tcBorders>
              <w:top w:val="nil"/>
              <w:left w:val="nil"/>
              <w:bottom w:val="nil"/>
              <w:right w:val="nil"/>
            </w:tcBorders>
            <w:shd w:val="clear" w:color="000000" w:fill="FFFFFF"/>
            <w:noWrap/>
            <w:vAlign w:val="bottom"/>
          </w:tcPr>
          <w:p w:rsidR="000F09DC" w:rsidRPr="00975792" w:rsidRDefault="000F09DC" w:rsidP="000F09DC">
            <w:pPr>
              <w:rPr>
                <w:rFonts w:eastAsia="Times New Roman" w:cs="Times New Roman"/>
                <w:sz w:val="18"/>
                <w:szCs w:val="18"/>
                <w:lang w:eastAsia="en-AU"/>
              </w:rPr>
            </w:pPr>
            <w:r w:rsidRPr="00975792">
              <w:rPr>
                <w:rFonts w:cs="Calibri"/>
                <w:sz w:val="18"/>
                <w:szCs w:val="18"/>
              </w:rPr>
              <w:t>Large breeders</w:t>
            </w:r>
            <w:r w:rsidR="00DB645F" w:rsidRPr="00975792">
              <w:rPr>
                <w:rFonts w:cs="Calibri"/>
                <w:sz w:val="18"/>
                <w:szCs w:val="18"/>
              </w:rPr>
              <w:t xml:space="preserve"> (rearing)</w:t>
            </w:r>
          </w:p>
        </w:tc>
        <w:tc>
          <w:tcPr>
            <w:tcW w:w="2268"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c>
          <w:tcPr>
            <w:tcW w:w="1616"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c>
          <w:tcPr>
            <w:tcW w:w="1656" w:type="dxa"/>
            <w:tcBorders>
              <w:top w:val="nil"/>
              <w:left w:val="nil"/>
              <w:bottom w:val="nil"/>
              <w:right w:val="nil"/>
            </w:tcBorders>
            <w:shd w:val="clear" w:color="auto" w:fill="DBE5F1" w:themeFill="accent1" w:themeFillTint="33"/>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r>
      <w:tr w:rsidR="000F09DC" w:rsidRPr="00114D8C" w:rsidTr="00847153">
        <w:trPr>
          <w:trHeight w:val="80"/>
        </w:trPr>
        <w:tc>
          <w:tcPr>
            <w:tcW w:w="2552" w:type="dxa"/>
            <w:tcBorders>
              <w:top w:val="nil"/>
              <w:left w:val="nil"/>
              <w:bottom w:val="nil"/>
              <w:right w:val="nil"/>
            </w:tcBorders>
            <w:shd w:val="clear" w:color="000000" w:fill="FFFFFF"/>
            <w:noWrap/>
            <w:vAlign w:val="bottom"/>
          </w:tcPr>
          <w:p w:rsidR="000F09DC" w:rsidRPr="00975792" w:rsidRDefault="000F09DC" w:rsidP="000F09DC">
            <w:pPr>
              <w:rPr>
                <w:rFonts w:eastAsia="Times New Roman" w:cs="Times New Roman"/>
                <w:sz w:val="18"/>
                <w:szCs w:val="18"/>
                <w:lang w:eastAsia="en-AU"/>
              </w:rPr>
            </w:pPr>
            <w:r w:rsidRPr="00975792">
              <w:rPr>
                <w:rFonts w:cs="Calibri"/>
                <w:sz w:val="18"/>
                <w:szCs w:val="18"/>
              </w:rPr>
              <w:t>Small breeders</w:t>
            </w:r>
            <w:r w:rsidR="00DB645F" w:rsidRPr="00975792">
              <w:rPr>
                <w:rFonts w:cs="Calibri"/>
                <w:sz w:val="18"/>
                <w:szCs w:val="18"/>
              </w:rPr>
              <w:t xml:space="preserve"> (rearing)</w:t>
            </w:r>
          </w:p>
        </w:tc>
        <w:tc>
          <w:tcPr>
            <w:tcW w:w="2268"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55</w:t>
            </w:r>
          </w:p>
        </w:tc>
        <w:tc>
          <w:tcPr>
            <w:tcW w:w="1616"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$155,466</w:t>
            </w:r>
          </w:p>
        </w:tc>
        <w:tc>
          <w:tcPr>
            <w:tcW w:w="1656" w:type="dxa"/>
            <w:tcBorders>
              <w:top w:val="nil"/>
              <w:left w:val="nil"/>
              <w:bottom w:val="nil"/>
              <w:right w:val="nil"/>
            </w:tcBorders>
            <w:shd w:val="clear" w:color="auto" w:fill="DBE5F1" w:themeFill="accent1" w:themeFillTint="33"/>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$155,466</w:t>
            </w:r>
          </w:p>
        </w:tc>
      </w:tr>
      <w:tr w:rsidR="000F09DC" w:rsidRPr="00114D8C" w:rsidTr="00847153">
        <w:trPr>
          <w:trHeight w:val="80"/>
        </w:trPr>
        <w:tc>
          <w:tcPr>
            <w:tcW w:w="2552" w:type="dxa"/>
            <w:tcBorders>
              <w:top w:val="nil"/>
              <w:left w:val="nil"/>
              <w:bottom w:val="nil"/>
              <w:right w:val="nil"/>
            </w:tcBorders>
            <w:shd w:val="clear" w:color="000000" w:fill="FFFFFF"/>
            <w:noWrap/>
            <w:vAlign w:val="bottom"/>
          </w:tcPr>
          <w:p w:rsidR="000F09DC" w:rsidRPr="00975792" w:rsidRDefault="000F09DC" w:rsidP="000F09DC">
            <w:pPr>
              <w:rPr>
                <w:rFonts w:eastAsia="Times New Roman" w:cs="Times New Roman"/>
                <w:sz w:val="18"/>
                <w:szCs w:val="18"/>
                <w:lang w:eastAsia="en-AU"/>
              </w:rPr>
            </w:pPr>
            <w:r w:rsidRPr="00975792">
              <w:rPr>
                <w:rFonts w:cs="Calibri"/>
                <w:sz w:val="18"/>
                <w:szCs w:val="18"/>
              </w:rPr>
              <w:t>Large trainers</w:t>
            </w:r>
            <w:r w:rsidR="00DB645F" w:rsidRPr="00975792">
              <w:rPr>
                <w:rFonts w:cs="Calibri"/>
                <w:sz w:val="18"/>
                <w:szCs w:val="18"/>
              </w:rPr>
              <w:t xml:space="preserve"> (breaking in)</w:t>
            </w:r>
          </w:p>
        </w:tc>
        <w:tc>
          <w:tcPr>
            <w:tcW w:w="2268"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c>
          <w:tcPr>
            <w:tcW w:w="1616" w:type="dxa"/>
            <w:tcBorders>
              <w:top w:val="nil"/>
              <w:left w:val="nil"/>
              <w:bottom w:val="nil"/>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c>
          <w:tcPr>
            <w:tcW w:w="1656" w:type="dxa"/>
            <w:tcBorders>
              <w:top w:val="nil"/>
              <w:left w:val="nil"/>
              <w:bottom w:val="nil"/>
              <w:right w:val="nil"/>
            </w:tcBorders>
            <w:shd w:val="clear" w:color="auto" w:fill="DBE5F1" w:themeFill="accent1" w:themeFillTint="33"/>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$0</w:t>
            </w:r>
          </w:p>
        </w:tc>
      </w:tr>
      <w:tr w:rsidR="000F09DC" w:rsidRPr="00114D8C" w:rsidTr="00847153">
        <w:trPr>
          <w:trHeight w:val="80"/>
        </w:trPr>
        <w:tc>
          <w:tcPr>
            <w:tcW w:w="2552" w:type="dxa"/>
            <w:tcBorders>
              <w:top w:val="nil"/>
              <w:left w:val="nil"/>
              <w:bottom w:val="single" w:sz="4" w:space="0" w:color="1F497D" w:themeColor="text2"/>
              <w:right w:val="nil"/>
            </w:tcBorders>
            <w:shd w:val="clear" w:color="000000" w:fill="FFFFFF"/>
            <w:noWrap/>
            <w:vAlign w:val="bottom"/>
          </w:tcPr>
          <w:p w:rsidR="000F09DC" w:rsidRPr="00975792" w:rsidRDefault="000F09DC" w:rsidP="000F09DC">
            <w:pPr>
              <w:rPr>
                <w:rFonts w:eastAsia="Times New Roman" w:cs="Times New Roman"/>
                <w:sz w:val="18"/>
                <w:szCs w:val="18"/>
                <w:lang w:eastAsia="en-AU"/>
              </w:rPr>
            </w:pPr>
            <w:r w:rsidRPr="00975792">
              <w:rPr>
                <w:rFonts w:cs="Calibri"/>
                <w:sz w:val="18"/>
                <w:szCs w:val="18"/>
              </w:rPr>
              <w:t>Small trainers</w:t>
            </w:r>
            <w:r w:rsidR="00DB645F" w:rsidRPr="00975792">
              <w:rPr>
                <w:rFonts w:cs="Calibri"/>
                <w:sz w:val="18"/>
                <w:szCs w:val="18"/>
              </w:rPr>
              <w:t xml:space="preserve"> (breaking in)</w:t>
            </w:r>
          </w:p>
        </w:tc>
        <w:tc>
          <w:tcPr>
            <w:tcW w:w="2268" w:type="dxa"/>
            <w:tcBorders>
              <w:top w:val="nil"/>
              <w:left w:val="nil"/>
              <w:bottom w:val="single" w:sz="4" w:space="0" w:color="1F497D" w:themeColor="text2"/>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52</w:t>
            </w:r>
          </w:p>
        </w:tc>
        <w:tc>
          <w:tcPr>
            <w:tcW w:w="1616" w:type="dxa"/>
            <w:tcBorders>
              <w:top w:val="nil"/>
              <w:left w:val="nil"/>
              <w:bottom w:val="single" w:sz="4" w:space="0" w:color="1F497D" w:themeColor="text2"/>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$148,008</w:t>
            </w:r>
          </w:p>
        </w:tc>
        <w:tc>
          <w:tcPr>
            <w:tcW w:w="1656" w:type="dxa"/>
            <w:tcBorders>
              <w:top w:val="nil"/>
              <w:left w:val="nil"/>
              <w:bottom w:val="single" w:sz="4" w:space="0" w:color="1F497D" w:themeColor="text2"/>
              <w:right w:val="nil"/>
            </w:tcBorders>
            <w:shd w:val="clear" w:color="auto" w:fill="DBE5F1" w:themeFill="accent1" w:themeFillTint="33"/>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sz w:val="18"/>
                <w:szCs w:val="18"/>
              </w:rPr>
              <w:t>$148,008</w:t>
            </w:r>
          </w:p>
        </w:tc>
      </w:tr>
      <w:tr w:rsidR="000F09DC" w:rsidRPr="00114D8C" w:rsidTr="00847153">
        <w:trPr>
          <w:trHeight w:val="7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0F09DC" w:rsidRPr="00975792" w:rsidRDefault="000F09DC" w:rsidP="000F09DC">
            <w:pPr>
              <w:rPr>
                <w:rFonts w:eastAsia="Times New Roman" w:cs="Times New Roman"/>
                <w:sz w:val="18"/>
                <w:szCs w:val="18"/>
                <w:lang w:eastAsia="en-AU"/>
              </w:rPr>
            </w:pPr>
            <w:r w:rsidRPr="00975792">
              <w:rPr>
                <w:rFonts w:cs="Calibri"/>
                <w:b/>
                <w:bCs/>
                <w:i/>
                <w:iCs/>
                <w:sz w:val="18"/>
                <w:szCs w:val="18"/>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b/>
                <w:bCs/>
                <w:i/>
                <w:iCs/>
                <w:sz w:val="18"/>
                <w:szCs w:val="18"/>
              </w:rPr>
              <w:t>106</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b/>
                <w:bCs/>
                <w:i/>
                <w:iCs/>
                <w:sz w:val="18"/>
                <w:szCs w:val="18"/>
              </w:rPr>
              <w:t xml:space="preserve">$303,474 </w:t>
            </w:r>
          </w:p>
        </w:tc>
        <w:tc>
          <w:tcPr>
            <w:tcW w:w="165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0F09DC" w:rsidRPr="00975792" w:rsidRDefault="000F09DC" w:rsidP="000F09DC">
            <w:pPr>
              <w:jc w:val="center"/>
              <w:rPr>
                <w:rFonts w:eastAsia="Times New Roman" w:cs="Times New Roman"/>
                <w:sz w:val="18"/>
                <w:szCs w:val="18"/>
                <w:lang w:eastAsia="en-AU"/>
              </w:rPr>
            </w:pPr>
            <w:r w:rsidRPr="00975792">
              <w:rPr>
                <w:rFonts w:cs="Calibri"/>
                <w:b/>
                <w:bCs/>
                <w:i/>
                <w:iCs/>
                <w:sz w:val="18"/>
                <w:szCs w:val="18"/>
              </w:rPr>
              <w:t>$303,474</w:t>
            </w:r>
          </w:p>
        </w:tc>
      </w:tr>
      <w:tr w:rsidR="00F0121C" w:rsidRPr="00114D8C" w:rsidTr="00847153">
        <w:trPr>
          <w:trHeight w:val="70"/>
        </w:trPr>
        <w:tc>
          <w:tcPr>
            <w:tcW w:w="2552" w:type="dxa"/>
            <w:tcBorders>
              <w:top w:val="single" w:sz="4" w:space="0" w:color="1F497D" w:themeColor="text2"/>
              <w:left w:val="nil"/>
              <w:bottom w:val="nil"/>
              <w:right w:val="nil"/>
            </w:tcBorders>
            <w:shd w:val="clear" w:color="000000" w:fill="FFFFFF"/>
            <w:noWrap/>
            <w:vAlign w:val="bottom"/>
          </w:tcPr>
          <w:p w:rsidR="00F0121C" w:rsidRPr="00975792" w:rsidRDefault="0023085B" w:rsidP="00973C4B">
            <w:pPr>
              <w:rPr>
                <w:rFonts w:eastAsia="Times New Roman" w:cs="Times New Roman"/>
                <w:b/>
                <w:sz w:val="18"/>
                <w:szCs w:val="18"/>
                <w:lang w:eastAsia="en-AU"/>
              </w:rPr>
            </w:pPr>
            <w:r w:rsidRPr="00975792">
              <w:rPr>
                <w:rFonts w:eastAsia="Times New Roman" w:cs="Times New Roman"/>
                <w:b/>
                <w:sz w:val="18"/>
                <w:szCs w:val="18"/>
                <w:lang w:eastAsia="en-AU"/>
              </w:rPr>
              <w:t>Option 2</w:t>
            </w:r>
          </w:p>
        </w:tc>
        <w:tc>
          <w:tcPr>
            <w:tcW w:w="2268"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16"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56" w:type="dxa"/>
            <w:tcBorders>
              <w:top w:val="single" w:sz="4" w:space="0" w:color="1F497D" w:themeColor="text2"/>
              <w:left w:val="nil"/>
              <w:bottom w:val="nil"/>
              <w:right w:val="nil"/>
            </w:tcBorders>
            <w:shd w:val="clear" w:color="auto" w:fill="DBE5F1" w:themeFill="accent1" w:themeFillTint="33"/>
            <w:noWrap/>
            <w:vAlign w:val="bottom"/>
          </w:tcPr>
          <w:p w:rsidR="00F0121C" w:rsidRPr="00975792" w:rsidRDefault="00F0121C" w:rsidP="00973C4B">
            <w:pPr>
              <w:jc w:val="center"/>
              <w:rPr>
                <w:rFonts w:eastAsia="Times New Roman" w:cs="Times New Roman"/>
                <w:sz w:val="18"/>
                <w:szCs w:val="18"/>
                <w:lang w:eastAsia="en-AU"/>
              </w:rPr>
            </w:pP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Large breeders (rearing)</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17</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$49,870</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$49,870</w:t>
            </w: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Small breeders (rearing)</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351</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$999,373</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$999,373</w:t>
            </w: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Large trainers (breaking in)</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25</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$69,846</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$69,846</w:t>
            </w:r>
          </w:p>
        </w:tc>
      </w:tr>
      <w:tr w:rsidR="00DB645F" w:rsidRPr="00114D8C" w:rsidTr="00847153">
        <w:trPr>
          <w:trHeight w:val="80"/>
        </w:trPr>
        <w:tc>
          <w:tcPr>
            <w:tcW w:w="2552"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Small trainers (breaking in)</w:t>
            </w:r>
          </w:p>
        </w:tc>
        <w:tc>
          <w:tcPr>
            <w:tcW w:w="2268"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315</w:t>
            </w:r>
          </w:p>
        </w:tc>
        <w:tc>
          <w:tcPr>
            <w:tcW w:w="1616"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$896,485</w:t>
            </w:r>
          </w:p>
        </w:tc>
        <w:tc>
          <w:tcPr>
            <w:tcW w:w="1656" w:type="dxa"/>
            <w:tcBorders>
              <w:top w:val="nil"/>
              <w:left w:val="nil"/>
              <w:bottom w:val="single" w:sz="4" w:space="0" w:color="1F497D" w:themeColor="text2"/>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$896,485</w:t>
            </w:r>
          </w:p>
        </w:tc>
      </w:tr>
      <w:tr w:rsidR="0023085B" w:rsidRPr="00114D8C" w:rsidTr="00847153">
        <w:trPr>
          <w:trHeight w:val="7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rPr>
                <w:rFonts w:eastAsia="Times New Roman" w:cs="Times New Roman"/>
                <w:sz w:val="18"/>
                <w:szCs w:val="18"/>
                <w:lang w:eastAsia="en-AU"/>
              </w:rPr>
            </w:pPr>
            <w:r w:rsidRPr="00975792">
              <w:rPr>
                <w:rFonts w:cs="Calibri"/>
                <w:b/>
                <w:bCs/>
                <w:i/>
                <w:iCs/>
                <w:sz w:val="18"/>
                <w:szCs w:val="18"/>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707</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 xml:space="preserve">$2,015,574 </w:t>
            </w:r>
          </w:p>
        </w:tc>
        <w:tc>
          <w:tcPr>
            <w:tcW w:w="165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$2,015,574</w:t>
            </w:r>
          </w:p>
        </w:tc>
      </w:tr>
      <w:tr w:rsidR="00F0121C" w:rsidRPr="00114D8C" w:rsidTr="00847153">
        <w:trPr>
          <w:trHeight w:val="70"/>
        </w:trPr>
        <w:tc>
          <w:tcPr>
            <w:tcW w:w="2552" w:type="dxa"/>
            <w:tcBorders>
              <w:top w:val="single" w:sz="4" w:space="0" w:color="1F497D" w:themeColor="text2"/>
              <w:left w:val="nil"/>
              <w:bottom w:val="nil"/>
              <w:right w:val="nil"/>
            </w:tcBorders>
            <w:shd w:val="clear" w:color="000000" w:fill="FFFFFF"/>
            <w:noWrap/>
            <w:vAlign w:val="bottom"/>
          </w:tcPr>
          <w:p w:rsidR="00F0121C" w:rsidRPr="00975792" w:rsidRDefault="0023085B" w:rsidP="00973C4B">
            <w:pPr>
              <w:rPr>
                <w:rFonts w:eastAsia="Times New Roman" w:cs="Times New Roman"/>
                <w:b/>
                <w:sz w:val="18"/>
                <w:szCs w:val="18"/>
                <w:lang w:eastAsia="en-AU"/>
              </w:rPr>
            </w:pPr>
            <w:r w:rsidRPr="00975792">
              <w:rPr>
                <w:rFonts w:eastAsia="Times New Roman" w:cs="Times New Roman"/>
                <w:b/>
                <w:sz w:val="18"/>
                <w:szCs w:val="18"/>
                <w:lang w:eastAsia="en-AU"/>
              </w:rPr>
              <w:t>Options 3, 5 and 6</w:t>
            </w:r>
          </w:p>
        </w:tc>
        <w:tc>
          <w:tcPr>
            <w:tcW w:w="2268"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16"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56" w:type="dxa"/>
            <w:tcBorders>
              <w:top w:val="single" w:sz="4" w:space="0" w:color="1F497D" w:themeColor="text2"/>
              <w:left w:val="nil"/>
              <w:bottom w:val="nil"/>
              <w:right w:val="nil"/>
            </w:tcBorders>
            <w:shd w:val="clear" w:color="auto" w:fill="DBE5F1" w:themeFill="accent1" w:themeFillTint="33"/>
            <w:noWrap/>
            <w:vAlign w:val="bottom"/>
          </w:tcPr>
          <w:p w:rsidR="00F0121C" w:rsidRPr="00975792" w:rsidRDefault="00F0121C" w:rsidP="00973C4B">
            <w:pPr>
              <w:jc w:val="center"/>
              <w:rPr>
                <w:rFonts w:eastAsia="Times New Roman" w:cs="Times New Roman"/>
                <w:sz w:val="18"/>
                <w:szCs w:val="18"/>
                <w:lang w:eastAsia="en-AU"/>
              </w:rPr>
            </w:pP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Large breeders (rearing)</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67</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$190,844</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$190,844</w:t>
            </w: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Small breeders (rearing)</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1,342</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$3,824,436</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$3,824,436</w:t>
            </w:r>
          </w:p>
        </w:tc>
      </w:tr>
      <w:tr w:rsidR="00DB645F" w:rsidRPr="00114D8C" w:rsidTr="00847153">
        <w:trPr>
          <w:trHeight w:val="80"/>
        </w:trPr>
        <w:tc>
          <w:tcPr>
            <w:tcW w:w="2552" w:type="dxa"/>
            <w:tcBorders>
              <w:top w:val="nil"/>
              <w:left w:val="nil"/>
              <w:bottom w:val="nil"/>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Large trainers (breaking in)</w:t>
            </w:r>
          </w:p>
        </w:tc>
        <w:tc>
          <w:tcPr>
            <w:tcW w:w="2268"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94</w:t>
            </w:r>
          </w:p>
        </w:tc>
        <w:tc>
          <w:tcPr>
            <w:tcW w:w="1616" w:type="dxa"/>
            <w:tcBorders>
              <w:top w:val="nil"/>
              <w:left w:val="nil"/>
              <w:bottom w:val="nil"/>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$267,291</w:t>
            </w:r>
          </w:p>
        </w:tc>
        <w:tc>
          <w:tcPr>
            <w:tcW w:w="1656" w:type="dxa"/>
            <w:tcBorders>
              <w:top w:val="nil"/>
              <w:left w:val="nil"/>
              <w:bottom w:val="nil"/>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$267,291</w:t>
            </w:r>
          </w:p>
        </w:tc>
      </w:tr>
      <w:tr w:rsidR="00DB645F" w:rsidRPr="00114D8C" w:rsidTr="00847153">
        <w:trPr>
          <w:trHeight w:val="80"/>
        </w:trPr>
        <w:tc>
          <w:tcPr>
            <w:tcW w:w="2552"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rPr>
                <w:rFonts w:eastAsia="Times New Roman" w:cs="Times New Roman"/>
                <w:sz w:val="18"/>
                <w:szCs w:val="18"/>
                <w:lang w:eastAsia="en-AU"/>
              </w:rPr>
            </w:pPr>
            <w:r w:rsidRPr="00975792">
              <w:rPr>
                <w:rFonts w:cs="Calibri"/>
                <w:sz w:val="18"/>
                <w:szCs w:val="18"/>
              </w:rPr>
              <w:t>Small trainers (breaking in)</w:t>
            </w:r>
          </w:p>
        </w:tc>
        <w:tc>
          <w:tcPr>
            <w:tcW w:w="2268"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1,204</w:t>
            </w:r>
          </w:p>
        </w:tc>
        <w:tc>
          <w:tcPr>
            <w:tcW w:w="1616" w:type="dxa"/>
            <w:tcBorders>
              <w:top w:val="nil"/>
              <w:left w:val="nil"/>
              <w:bottom w:val="single" w:sz="4" w:space="0" w:color="1F497D" w:themeColor="text2"/>
              <w:right w:val="nil"/>
            </w:tcBorders>
            <w:shd w:val="clear" w:color="000000" w:fill="FFFFFF"/>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$3,430,700</w:t>
            </w:r>
          </w:p>
        </w:tc>
        <w:tc>
          <w:tcPr>
            <w:tcW w:w="1656" w:type="dxa"/>
            <w:tcBorders>
              <w:top w:val="nil"/>
              <w:left w:val="nil"/>
              <w:bottom w:val="single" w:sz="4" w:space="0" w:color="1F497D" w:themeColor="text2"/>
              <w:right w:val="nil"/>
            </w:tcBorders>
            <w:shd w:val="clear" w:color="auto" w:fill="DBE5F1" w:themeFill="accent1" w:themeFillTint="33"/>
            <w:noWrap/>
            <w:vAlign w:val="bottom"/>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$3,430,700</w:t>
            </w:r>
          </w:p>
        </w:tc>
      </w:tr>
      <w:tr w:rsidR="0023085B" w:rsidRPr="00114D8C" w:rsidTr="00847153">
        <w:trPr>
          <w:trHeight w:val="70"/>
        </w:trPr>
        <w:tc>
          <w:tcPr>
            <w:tcW w:w="2552"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rPr>
                <w:rFonts w:eastAsia="Times New Roman" w:cs="Times New Roman"/>
                <w:sz w:val="18"/>
                <w:szCs w:val="18"/>
                <w:lang w:eastAsia="en-AU"/>
              </w:rPr>
            </w:pPr>
            <w:r w:rsidRPr="00975792">
              <w:rPr>
                <w:rFonts w:cs="Calibri"/>
                <w:b/>
                <w:bCs/>
                <w:i/>
                <w:iCs/>
                <w:sz w:val="18"/>
                <w:szCs w:val="18"/>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2,706</w:t>
            </w:r>
          </w:p>
        </w:tc>
        <w:tc>
          <w:tcPr>
            <w:tcW w:w="1616" w:type="dxa"/>
            <w:tcBorders>
              <w:top w:val="single" w:sz="4" w:space="0" w:color="1F497D" w:themeColor="text2"/>
              <w:left w:val="nil"/>
              <w:bottom w:val="single" w:sz="4" w:space="0" w:color="1F497D" w:themeColor="text2"/>
              <w:right w:val="nil"/>
            </w:tcBorders>
            <w:shd w:val="clear" w:color="000000" w:fill="FFFFFF"/>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 xml:space="preserve">$7,713,271 </w:t>
            </w:r>
          </w:p>
        </w:tc>
        <w:tc>
          <w:tcPr>
            <w:tcW w:w="1656"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23085B" w:rsidRPr="00975792" w:rsidRDefault="0023085B" w:rsidP="0023085B">
            <w:pPr>
              <w:jc w:val="center"/>
              <w:rPr>
                <w:rFonts w:eastAsia="Times New Roman" w:cs="Times New Roman"/>
                <w:sz w:val="18"/>
                <w:szCs w:val="18"/>
                <w:lang w:eastAsia="en-AU"/>
              </w:rPr>
            </w:pPr>
            <w:r w:rsidRPr="00975792">
              <w:rPr>
                <w:rFonts w:cs="Calibri"/>
                <w:b/>
                <w:bCs/>
                <w:i/>
                <w:iCs/>
                <w:sz w:val="18"/>
                <w:szCs w:val="18"/>
              </w:rPr>
              <w:t>$7,713,271</w:t>
            </w:r>
          </w:p>
        </w:tc>
      </w:tr>
      <w:tr w:rsidR="00F0121C" w:rsidRPr="00114D8C" w:rsidTr="00847153">
        <w:trPr>
          <w:trHeight w:val="70"/>
        </w:trPr>
        <w:tc>
          <w:tcPr>
            <w:tcW w:w="2552" w:type="dxa"/>
            <w:tcBorders>
              <w:top w:val="single" w:sz="4" w:space="0" w:color="1F497D" w:themeColor="text2"/>
              <w:left w:val="nil"/>
              <w:bottom w:val="nil"/>
              <w:right w:val="nil"/>
            </w:tcBorders>
            <w:shd w:val="clear" w:color="000000" w:fill="FFFFFF"/>
            <w:noWrap/>
            <w:vAlign w:val="bottom"/>
          </w:tcPr>
          <w:p w:rsidR="00F0121C" w:rsidRPr="00975792" w:rsidRDefault="0023085B" w:rsidP="00973C4B">
            <w:pPr>
              <w:rPr>
                <w:rFonts w:eastAsia="Times New Roman" w:cs="Times New Roman"/>
                <w:b/>
                <w:sz w:val="18"/>
                <w:szCs w:val="18"/>
                <w:lang w:eastAsia="en-AU"/>
              </w:rPr>
            </w:pPr>
            <w:r w:rsidRPr="00975792">
              <w:rPr>
                <w:rFonts w:eastAsia="Times New Roman" w:cs="Times New Roman"/>
                <w:b/>
                <w:sz w:val="18"/>
                <w:szCs w:val="18"/>
                <w:lang w:eastAsia="en-AU"/>
              </w:rPr>
              <w:t>Option 4</w:t>
            </w:r>
          </w:p>
        </w:tc>
        <w:tc>
          <w:tcPr>
            <w:tcW w:w="2268"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16" w:type="dxa"/>
            <w:tcBorders>
              <w:top w:val="single" w:sz="4" w:space="0" w:color="1F497D" w:themeColor="text2"/>
              <w:left w:val="nil"/>
              <w:bottom w:val="nil"/>
              <w:right w:val="nil"/>
            </w:tcBorders>
            <w:shd w:val="clear" w:color="000000" w:fill="FFFFFF"/>
            <w:noWrap/>
            <w:vAlign w:val="bottom"/>
          </w:tcPr>
          <w:p w:rsidR="00F0121C" w:rsidRPr="00975792" w:rsidRDefault="00F0121C" w:rsidP="00973C4B">
            <w:pPr>
              <w:jc w:val="center"/>
              <w:rPr>
                <w:rFonts w:eastAsia="Times New Roman" w:cs="Times New Roman"/>
                <w:sz w:val="18"/>
                <w:szCs w:val="18"/>
                <w:lang w:eastAsia="en-AU"/>
              </w:rPr>
            </w:pPr>
          </w:p>
        </w:tc>
        <w:tc>
          <w:tcPr>
            <w:tcW w:w="1656" w:type="dxa"/>
            <w:tcBorders>
              <w:top w:val="single" w:sz="4" w:space="0" w:color="1F497D" w:themeColor="text2"/>
              <w:left w:val="nil"/>
              <w:bottom w:val="nil"/>
              <w:right w:val="nil"/>
            </w:tcBorders>
            <w:shd w:val="clear" w:color="auto" w:fill="DBE5F1" w:themeFill="accent1" w:themeFillTint="33"/>
            <w:noWrap/>
            <w:vAlign w:val="bottom"/>
          </w:tcPr>
          <w:p w:rsidR="00F0121C" w:rsidRPr="00975792" w:rsidRDefault="00F0121C" w:rsidP="00973C4B">
            <w:pPr>
              <w:jc w:val="center"/>
              <w:rPr>
                <w:rFonts w:eastAsia="Times New Roman" w:cs="Times New Roman"/>
                <w:sz w:val="18"/>
                <w:szCs w:val="18"/>
                <w:lang w:eastAsia="en-AU"/>
              </w:rPr>
            </w:pPr>
          </w:p>
        </w:tc>
      </w:tr>
      <w:tr w:rsidR="00DB645F" w:rsidRPr="00114D8C" w:rsidTr="00847153">
        <w:trPr>
          <w:trHeight w:val="80"/>
        </w:trPr>
        <w:tc>
          <w:tcPr>
            <w:tcW w:w="2552" w:type="dxa"/>
            <w:tcBorders>
              <w:top w:val="nil"/>
              <w:left w:val="nil"/>
              <w:bottom w:val="nil"/>
              <w:right w:val="nil"/>
            </w:tcBorders>
            <w:shd w:val="clear" w:color="000000" w:fill="FFFFFF"/>
            <w:noWrap/>
            <w:vAlign w:val="bottom"/>
            <w:hideMark/>
          </w:tcPr>
          <w:p w:rsidR="00DB645F" w:rsidRPr="00975792" w:rsidRDefault="00DB645F" w:rsidP="00DB645F">
            <w:pPr>
              <w:rPr>
                <w:rFonts w:eastAsia="Times New Roman" w:cs="Times New Roman"/>
                <w:sz w:val="18"/>
                <w:szCs w:val="18"/>
                <w:lang w:eastAsia="en-AU"/>
              </w:rPr>
            </w:pPr>
            <w:r w:rsidRPr="00975792">
              <w:rPr>
                <w:rFonts w:cs="Calibri"/>
                <w:sz w:val="18"/>
                <w:szCs w:val="18"/>
              </w:rPr>
              <w:t>Large breeders (rearing)</w:t>
            </w:r>
          </w:p>
        </w:tc>
        <w:tc>
          <w:tcPr>
            <w:tcW w:w="2268"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42</w:t>
            </w:r>
          </w:p>
        </w:tc>
        <w:tc>
          <w:tcPr>
            <w:tcW w:w="1616"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$120,354</w:t>
            </w:r>
          </w:p>
        </w:tc>
        <w:tc>
          <w:tcPr>
            <w:tcW w:w="1656" w:type="dxa"/>
            <w:tcBorders>
              <w:top w:val="nil"/>
              <w:left w:val="nil"/>
              <w:bottom w:val="nil"/>
              <w:right w:val="nil"/>
            </w:tcBorders>
            <w:shd w:val="clear" w:color="auto" w:fill="DBE5F1" w:themeFill="accent1" w:themeFillTint="33"/>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$120,354</w:t>
            </w:r>
          </w:p>
        </w:tc>
      </w:tr>
      <w:tr w:rsidR="00DB645F" w:rsidRPr="00114D8C" w:rsidTr="00847153">
        <w:trPr>
          <w:trHeight w:val="80"/>
        </w:trPr>
        <w:tc>
          <w:tcPr>
            <w:tcW w:w="2552" w:type="dxa"/>
            <w:tcBorders>
              <w:top w:val="nil"/>
              <w:left w:val="nil"/>
              <w:bottom w:val="nil"/>
              <w:right w:val="nil"/>
            </w:tcBorders>
            <w:shd w:val="clear" w:color="000000" w:fill="FFFFFF"/>
            <w:noWrap/>
            <w:vAlign w:val="bottom"/>
            <w:hideMark/>
          </w:tcPr>
          <w:p w:rsidR="00DB645F" w:rsidRPr="00975792" w:rsidRDefault="00DB645F" w:rsidP="00DB645F">
            <w:pPr>
              <w:rPr>
                <w:rFonts w:eastAsia="Times New Roman" w:cs="Times New Roman"/>
                <w:sz w:val="18"/>
                <w:szCs w:val="18"/>
                <w:lang w:eastAsia="en-AU"/>
              </w:rPr>
            </w:pPr>
            <w:r w:rsidRPr="00975792">
              <w:rPr>
                <w:rFonts w:cs="Calibri"/>
                <w:sz w:val="18"/>
                <w:szCs w:val="18"/>
              </w:rPr>
              <w:t>Small breeders (rearing)</w:t>
            </w:r>
          </w:p>
        </w:tc>
        <w:tc>
          <w:tcPr>
            <w:tcW w:w="2268"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846</w:t>
            </w:r>
          </w:p>
        </w:tc>
        <w:tc>
          <w:tcPr>
            <w:tcW w:w="1616"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$2,411,844</w:t>
            </w:r>
          </w:p>
        </w:tc>
        <w:tc>
          <w:tcPr>
            <w:tcW w:w="1656" w:type="dxa"/>
            <w:tcBorders>
              <w:top w:val="nil"/>
              <w:left w:val="nil"/>
              <w:bottom w:val="nil"/>
              <w:right w:val="nil"/>
            </w:tcBorders>
            <w:shd w:val="clear" w:color="auto" w:fill="DBE5F1" w:themeFill="accent1" w:themeFillTint="33"/>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$2,411,844</w:t>
            </w:r>
          </w:p>
        </w:tc>
      </w:tr>
      <w:tr w:rsidR="00DB645F" w:rsidRPr="00114D8C" w:rsidTr="00847153">
        <w:trPr>
          <w:trHeight w:val="80"/>
        </w:trPr>
        <w:tc>
          <w:tcPr>
            <w:tcW w:w="2552" w:type="dxa"/>
            <w:tcBorders>
              <w:top w:val="nil"/>
              <w:left w:val="nil"/>
              <w:bottom w:val="nil"/>
              <w:right w:val="nil"/>
            </w:tcBorders>
            <w:shd w:val="clear" w:color="000000" w:fill="FFFFFF"/>
            <w:noWrap/>
            <w:vAlign w:val="bottom"/>
            <w:hideMark/>
          </w:tcPr>
          <w:p w:rsidR="00DB645F" w:rsidRPr="00975792" w:rsidRDefault="00DB645F" w:rsidP="00DB645F">
            <w:pPr>
              <w:rPr>
                <w:rFonts w:eastAsia="Times New Roman" w:cs="Times New Roman"/>
                <w:sz w:val="18"/>
                <w:szCs w:val="18"/>
                <w:lang w:eastAsia="en-AU"/>
              </w:rPr>
            </w:pPr>
            <w:r w:rsidRPr="00975792">
              <w:rPr>
                <w:rFonts w:cs="Calibri"/>
                <w:sz w:val="18"/>
                <w:szCs w:val="18"/>
              </w:rPr>
              <w:t>Large trainers (breaking in)</w:t>
            </w:r>
          </w:p>
        </w:tc>
        <w:tc>
          <w:tcPr>
            <w:tcW w:w="2268"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59</w:t>
            </w:r>
          </w:p>
        </w:tc>
        <w:tc>
          <w:tcPr>
            <w:tcW w:w="1616"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$168,565</w:t>
            </w:r>
          </w:p>
        </w:tc>
        <w:tc>
          <w:tcPr>
            <w:tcW w:w="1656" w:type="dxa"/>
            <w:tcBorders>
              <w:top w:val="nil"/>
              <w:left w:val="nil"/>
              <w:bottom w:val="nil"/>
              <w:right w:val="nil"/>
            </w:tcBorders>
            <w:shd w:val="clear" w:color="auto" w:fill="DBE5F1" w:themeFill="accent1" w:themeFillTint="33"/>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$168,565</w:t>
            </w:r>
          </w:p>
        </w:tc>
      </w:tr>
      <w:tr w:rsidR="00DB645F" w:rsidRPr="00114D8C" w:rsidTr="00847153">
        <w:trPr>
          <w:trHeight w:val="80"/>
        </w:trPr>
        <w:tc>
          <w:tcPr>
            <w:tcW w:w="2552" w:type="dxa"/>
            <w:tcBorders>
              <w:top w:val="nil"/>
              <w:left w:val="nil"/>
              <w:bottom w:val="nil"/>
              <w:right w:val="nil"/>
            </w:tcBorders>
            <w:shd w:val="clear" w:color="000000" w:fill="FFFFFF"/>
            <w:noWrap/>
            <w:vAlign w:val="bottom"/>
            <w:hideMark/>
          </w:tcPr>
          <w:p w:rsidR="00DB645F" w:rsidRPr="00975792" w:rsidRDefault="00DB645F" w:rsidP="00DB645F">
            <w:pPr>
              <w:rPr>
                <w:rFonts w:eastAsia="Times New Roman" w:cs="Times New Roman"/>
                <w:sz w:val="18"/>
                <w:szCs w:val="18"/>
                <w:lang w:eastAsia="en-AU"/>
              </w:rPr>
            </w:pPr>
            <w:r w:rsidRPr="00975792">
              <w:rPr>
                <w:rFonts w:cs="Calibri"/>
                <w:sz w:val="18"/>
                <w:szCs w:val="18"/>
              </w:rPr>
              <w:t>Small trainers (breaking in)</w:t>
            </w:r>
          </w:p>
        </w:tc>
        <w:tc>
          <w:tcPr>
            <w:tcW w:w="2268"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759</w:t>
            </w:r>
          </w:p>
        </w:tc>
        <w:tc>
          <w:tcPr>
            <w:tcW w:w="1616" w:type="dxa"/>
            <w:tcBorders>
              <w:top w:val="nil"/>
              <w:left w:val="nil"/>
              <w:bottom w:val="nil"/>
              <w:right w:val="nil"/>
            </w:tcBorders>
            <w:shd w:val="clear" w:color="000000" w:fill="FFFFFF"/>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$2,163,539</w:t>
            </w:r>
          </w:p>
        </w:tc>
        <w:tc>
          <w:tcPr>
            <w:tcW w:w="1656" w:type="dxa"/>
            <w:tcBorders>
              <w:top w:val="nil"/>
              <w:left w:val="nil"/>
              <w:bottom w:val="nil"/>
              <w:right w:val="nil"/>
            </w:tcBorders>
            <w:shd w:val="clear" w:color="auto" w:fill="DBE5F1" w:themeFill="accent1" w:themeFillTint="33"/>
            <w:noWrap/>
            <w:vAlign w:val="bottom"/>
            <w:hideMark/>
          </w:tcPr>
          <w:p w:rsidR="00DB645F" w:rsidRPr="00975792" w:rsidRDefault="00DB645F" w:rsidP="00DB645F">
            <w:pPr>
              <w:jc w:val="center"/>
              <w:rPr>
                <w:rFonts w:eastAsia="Times New Roman" w:cs="Times New Roman"/>
                <w:sz w:val="18"/>
                <w:szCs w:val="18"/>
                <w:lang w:eastAsia="en-AU"/>
              </w:rPr>
            </w:pPr>
            <w:r w:rsidRPr="00975792">
              <w:rPr>
                <w:rFonts w:cs="Calibri"/>
                <w:sz w:val="18"/>
                <w:szCs w:val="18"/>
              </w:rPr>
              <w:t>$2,163,539</w:t>
            </w:r>
          </w:p>
        </w:tc>
      </w:tr>
      <w:tr w:rsidR="00B91DF1" w:rsidRPr="00114D8C" w:rsidTr="00847153">
        <w:trPr>
          <w:trHeight w:val="70"/>
        </w:trPr>
        <w:tc>
          <w:tcPr>
            <w:tcW w:w="2552" w:type="dxa"/>
            <w:tcBorders>
              <w:top w:val="single" w:sz="4" w:space="0" w:color="1F4E78"/>
              <w:left w:val="nil"/>
              <w:bottom w:val="single" w:sz="4" w:space="0" w:color="1F4E78"/>
              <w:right w:val="nil"/>
            </w:tcBorders>
            <w:shd w:val="clear" w:color="000000" w:fill="FFFFFF"/>
            <w:noWrap/>
            <w:vAlign w:val="bottom"/>
            <w:hideMark/>
          </w:tcPr>
          <w:p w:rsidR="00B91DF1" w:rsidRPr="00975792" w:rsidRDefault="00B91DF1" w:rsidP="00B91DF1">
            <w:pPr>
              <w:rPr>
                <w:rFonts w:eastAsia="Times New Roman" w:cs="Times New Roman"/>
                <w:b/>
                <w:bCs/>
                <w:i/>
                <w:iCs/>
                <w:sz w:val="18"/>
                <w:szCs w:val="18"/>
                <w:lang w:eastAsia="en-AU"/>
              </w:rPr>
            </w:pPr>
            <w:r w:rsidRPr="00975792">
              <w:rPr>
                <w:rFonts w:cs="Calibri"/>
                <w:b/>
                <w:bCs/>
                <w:i/>
                <w:iCs/>
                <w:sz w:val="18"/>
                <w:szCs w:val="18"/>
              </w:rPr>
              <w:t>Total</w:t>
            </w:r>
          </w:p>
        </w:tc>
        <w:tc>
          <w:tcPr>
            <w:tcW w:w="2268" w:type="dxa"/>
            <w:tcBorders>
              <w:top w:val="single" w:sz="4" w:space="0" w:color="1F4E78"/>
              <w:left w:val="nil"/>
              <w:bottom w:val="single" w:sz="4" w:space="0" w:color="1F4E78"/>
              <w:right w:val="nil"/>
            </w:tcBorders>
            <w:shd w:val="clear" w:color="000000" w:fill="FFFFFF"/>
            <w:noWrap/>
            <w:vAlign w:val="bottom"/>
            <w:hideMark/>
          </w:tcPr>
          <w:p w:rsidR="00B91DF1" w:rsidRPr="00975792" w:rsidRDefault="00B91DF1" w:rsidP="00B91DF1">
            <w:pPr>
              <w:jc w:val="center"/>
              <w:rPr>
                <w:rFonts w:eastAsia="Times New Roman" w:cs="Times New Roman"/>
                <w:b/>
                <w:bCs/>
                <w:i/>
                <w:iCs/>
                <w:sz w:val="18"/>
                <w:szCs w:val="18"/>
                <w:lang w:eastAsia="en-AU"/>
              </w:rPr>
            </w:pPr>
            <w:r w:rsidRPr="00975792">
              <w:rPr>
                <w:rFonts w:cs="Calibri"/>
                <w:b/>
                <w:bCs/>
                <w:i/>
                <w:iCs/>
                <w:sz w:val="18"/>
                <w:szCs w:val="18"/>
              </w:rPr>
              <w:t>1707</w:t>
            </w:r>
          </w:p>
        </w:tc>
        <w:tc>
          <w:tcPr>
            <w:tcW w:w="1616" w:type="dxa"/>
            <w:tcBorders>
              <w:top w:val="single" w:sz="4" w:space="0" w:color="1F4E78"/>
              <w:left w:val="nil"/>
              <w:bottom w:val="single" w:sz="4" w:space="0" w:color="1F4E78"/>
              <w:right w:val="nil"/>
            </w:tcBorders>
            <w:shd w:val="clear" w:color="000000" w:fill="FFFFFF"/>
            <w:noWrap/>
            <w:vAlign w:val="bottom"/>
            <w:hideMark/>
          </w:tcPr>
          <w:p w:rsidR="00B91DF1" w:rsidRPr="00975792" w:rsidRDefault="00B91DF1" w:rsidP="00B91DF1">
            <w:pPr>
              <w:jc w:val="center"/>
              <w:rPr>
                <w:rFonts w:eastAsia="Times New Roman" w:cs="Times New Roman"/>
                <w:b/>
                <w:bCs/>
                <w:i/>
                <w:iCs/>
                <w:sz w:val="18"/>
                <w:szCs w:val="18"/>
                <w:lang w:eastAsia="en-AU"/>
              </w:rPr>
            </w:pPr>
            <w:r w:rsidRPr="00975792">
              <w:rPr>
                <w:rFonts w:cs="Calibri"/>
                <w:b/>
                <w:bCs/>
                <w:i/>
                <w:iCs/>
                <w:sz w:val="18"/>
                <w:szCs w:val="18"/>
              </w:rPr>
              <w:t xml:space="preserve">$4,864,302 </w:t>
            </w:r>
          </w:p>
        </w:tc>
        <w:tc>
          <w:tcPr>
            <w:tcW w:w="1656" w:type="dxa"/>
            <w:tcBorders>
              <w:top w:val="single" w:sz="4" w:space="0" w:color="1F4E78"/>
              <w:left w:val="nil"/>
              <w:bottom w:val="single" w:sz="4" w:space="0" w:color="1F4E78"/>
              <w:right w:val="nil"/>
            </w:tcBorders>
            <w:shd w:val="clear" w:color="auto" w:fill="DBE5F1" w:themeFill="accent1" w:themeFillTint="33"/>
            <w:noWrap/>
            <w:vAlign w:val="bottom"/>
            <w:hideMark/>
          </w:tcPr>
          <w:p w:rsidR="00B91DF1" w:rsidRPr="00975792" w:rsidRDefault="00B91DF1" w:rsidP="00B91DF1">
            <w:pPr>
              <w:jc w:val="center"/>
              <w:rPr>
                <w:rFonts w:eastAsia="Times New Roman" w:cs="Times New Roman"/>
                <w:b/>
                <w:bCs/>
                <w:i/>
                <w:iCs/>
                <w:sz w:val="18"/>
                <w:szCs w:val="18"/>
                <w:lang w:eastAsia="en-AU"/>
              </w:rPr>
            </w:pPr>
            <w:r w:rsidRPr="00975792">
              <w:rPr>
                <w:rFonts w:cs="Calibri"/>
                <w:b/>
                <w:bCs/>
                <w:i/>
                <w:iCs/>
                <w:sz w:val="18"/>
                <w:szCs w:val="18"/>
              </w:rPr>
              <w:t>$4,864,302</w:t>
            </w:r>
          </w:p>
        </w:tc>
      </w:tr>
    </w:tbl>
    <w:p w:rsidR="00C100E9" w:rsidRDefault="00C100E9" w:rsidP="00C100E9">
      <w:pPr>
        <w:jc w:val="both"/>
      </w:pPr>
    </w:p>
    <w:p w:rsidR="00DB645F" w:rsidRPr="005F3BA9" w:rsidRDefault="00EA26DD" w:rsidP="00DB645F">
      <w:pPr>
        <w:pStyle w:val="Heading2"/>
      </w:pPr>
      <w:bookmarkStart w:id="257" w:name="_Toc469529227"/>
      <w:bookmarkStart w:id="258" w:name="_Toc477190251"/>
      <w:r w:rsidRPr="005F3BA9">
        <w:lastRenderedPageBreak/>
        <w:t>A4.14</w:t>
      </w:r>
      <w:r w:rsidR="00DB645F" w:rsidRPr="005F3BA9">
        <w:t xml:space="preserve"> – Estimation of costs and dogs aff</w:t>
      </w:r>
      <w:r w:rsidR="006D3AE0" w:rsidRPr="005F3BA9">
        <w:t>ected by proposed standard 6.6.6</w:t>
      </w:r>
      <w:r w:rsidR="00DB645F" w:rsidRPr="005F3BA9">
        <w:t xml:space="preserve"> (</w:t>
      </w:r>
      <w:r w:rsidR="006D3AE0" w:rsidRPr="005F3BA9">
        <w:t xml:space="preserve">Indoor </w:t>
      </w:r>
      <w:r w:rsidR="00DB645F" w:rsidRPr="005F3BA9">
        <w:t>housing) – Options 1 to 6</w:t>
      </w:r>
      <w:bookmarkEnd w:id="257"/>
      <w:bookmarkEnd w:id="258"/>
    </w:p>
    <w:p w:rsidR="00C100E9" w:rsidRDefault="00C100E9" w:rsidP="00C100E9">
      <w:pPr>
        <w:jc w:val="both"/>
      </w:pPr>
      <w:r>
        <w:t>Proposed standard 6.6.6 would require indoor kennel facilities to meet specified conditions including, that all sleeping areas would be required to have solid partitions to a height of 1.5m on three sides.</w:t>
      </w:r>
      <w:r w:rsidR="007B521C">
        <w:t xml:space="preserve"> </w:t>
      </w:r>
      <w:r>
        <w:t>According to DEDJTR 50% of dogs are housed in indoor kennels.</w:t>
      </w:r>
      <w:r w:rsidR="007B521C">
        <w:t xml:space="preserve"> </w:t>
      </w:r>
      <w:r>
        <w:t>The cost of a panel is $26.40/pen and the cost of labour required to install the necessary panels is estimated to be $50/hr, bringing the total cost to $76.40 per pen.</w:t>
      </w:r>
    </w:p>
    <w:p w:rsidR="00C100E9" w:rsidRDefault="00C100E9" w:rsidP="00C100E9">
      <w:pPr>
        <w:jc w:val="both"/>
      </w:pPr>
    </w:p>
    <w:p w:rsidR="006D3AE0" w:rsidRDefault="006D3AE0" w:rsidP="006D3AE0">
      <w:pPr>
        <w:jc w:val="both"/>
      </w:pPr>
      <w:r>
        <w:t xml:space="preserve">The estimated number of dogs </w:t>
      </w:r>
      <w:r w:rsidRPr="003C40A5">
        <w:rPr>
          <w:i/>
        </w:rPr>
        <w:t>affected</w:t>
      </w:r>
      <w:r>
        <w:t xml:space="preserve"> in Table A4.21 is calculated by taking 50% of the product of the number of dogs breaking in, training or racing (3,913 dogs breaking in, 3,052 dogs training and 5,759 dogs racing</w:t>
      </w:r>
      <w:r>
        <w:rPr>
          <w:rStyle w:val="FootnoteReference"/>
        </w:rPr>
        <w:footnoteReference w:id="193"/>
      </w:r>
      <w:r>
        <w:t xml:space="preserve"> apportioned against large and small trainers – 14.98%</w:t>
      </w:r>
      <w:r>
        <w:rPr>
          <w:rStyle w:val="FootnoteReference"/>
        </w:rPr>
        <w:footnoteReference w:id="194"/>
      </w:r>
      <w:r>
        <w:t xml:space="preserve"> and 85.02%</w:t>
      </w:r>
      <w:r>
        <w:rPr>
          <w:rStyle w:val="FootnoteReference"/>
        </w:rPr>
        <w:footnoteReference w:id="195"/>
      </w:r>
      <w:r>
        <w:t xml:space="preserve">, respectively); and </w:t>
      </w:r>
      <w:r w:rsidRPr="00740E56">
        <w:t>the last column in Table A</w:t>
      </w:r>
      <w:r>
        <w:t>4.3 against each of the participant categories</w:t>
      </w:r>
      <w:r w:rsidRPr="00740E56">
        <w:t xml:space="preserve"> </w:t>
      </w:r>
      <w:r>
        <w:t>–</w:t>
      </w:r>
      <w:r w:rsidRPr="00740E56">
        <w:t xml:space="preserve"> </w:t>
      </w:r>
      <w:r>
        <w:t xml:space="preserve">using the </w:t>
      </w:r>
      <w:r w:rsidRPr="00740E56">
        <w:t>following formula:</w:t>
      </w:r>
    </w:p>
    <w:p w:rsidR="006D3AE0" w:rsidRPr="009E30A8" w:rsidRDefault="006D3AE0" w:rsidP="006D3AE0">
      <w:pPr>
        <w:jc w:val="center"/>
        <w:rPr>
          <w:i/>
          <w:sz w:val="20"/>
        </w:rPr>
      </w:pPr>
      <w:r>
        <w:rPr>
          <w:i/>
          <w:sz w:val="20"/>
        </w:rPr>
        <w:t>Estimated No. dogs breaking in, training and racing affected = 50% x {number of dogs breaking in, training and racing x 14.98% for large trainers or 85.02% for small trainers} x % of</w:t>
      </w:r>
      <w:r w:rsidRPr="00E63EC4">
        <w:rPr>
          <w:i/>
          <w:sz w:val="20"/>
        </w:rPr>
        <w:t xml:space="preserve"> total </w:t>
      </w:r>
      <w:r>
        <w:rPr>
          <w:i/>
          <w:sz w:val="20"/>
        </w:rPr>
        <w:t xml:space="preserve">participants </w:t>
      </w:r>
      <w:r w:rsidRPr="00E63EC4">
        <w:rPr>
          <w:i/>
          <w:sz w:val="20"/>
        </w:rPr>
        <w:t>affected by behaviour change</w:t>
      </w:r>
      <w:r>
        <w:rPr>
          <w:i/>
          <w:sz w:val="20"/>
        </w:rPr>
        <w:t xml:space="preserve"> (see last column of Table A4.3 for options 1 to 6)</w:t>
      </w:r>
      <w:r w:rsidRPr="000A6D5E">
        <w:rPr>
          <w:i/>
          <w:sz w:val="20"/>
        </w:rPr>
        <w:t>.</w:t>
      </w:r>
    </w:p>
    <w:p w:rsidR="006D3AE0" w:rsidRDefault="006D3AE0" w:rsidP="00C100E9">
      <w:pPr>
        <w:jc w:val="both"/>
      </w:pPr>
    </w:p>
    <w:p w:rsidR="00C100E9" w:rsidRDefault="00C100E9" w:rsidP="00C100E9">
      <w:pPr>
        <w:jc w:val="both"/>
      </w:pPr>
      <w:r>
        <w:t xml:space="preserve">The </w:t>
      </w:r>
      <w:r w:rsidR="007D7A02">
        <w:t>number of pens affected is</w:t>
      </w:r>
      <w:r>
        <w:t xml:space="preserve"> determined by dividing the number of dogs affected by 3 dogs per pen</w:t>
      </w:r>
      <w:r w:rsidR="00577280">
        <w:rPr>
          <w:rStyle w:val="FootnoteReference"/>
        </w:rPr>
        <w:footnoteReference w:id="196"/>
      </w:r>
      <w:r>
        <w:t>.</w:t>
      </w:r>
    </w:p>
    <w:p w:rsidR="00C100E9" w:rsidRDefault="00C100E9" w:rsidP="00C100E9">
      <w:pPr>
        <w:jc w:val="both"/>
      </w:pPr>
    </w:p>
    <w:p w:rsidR="006D3AE0" w:rsidRDefault="00C100E9" w:rsidP="00C100E9">
      <w:pPr>
        <w:jc w:val="both"/>
      </w:pPr>
      <w:r>
        <w:t>The one-off additional cost of indoor housing is estimated as the product of the number of pens affected in Table A4.21 and the cost of panels per pen ($76.40/pen).</w:t>
      </w:r>
      <w:r w:rsidR="007B521C">
        <w:t xml:space="preserve"> </w:t>
      </w:r>
    </w:p>
    <w:p w:rsidR="006D3AE0" w:rsidRDefault="006D3AE0" w:rsidP="00C100E9">
      <w:pPr>
        <w:jc w:val="both"/>
      </w:pPr>
    </w:p>
    <w:p w:rsidR="00C100E9" w:rsidRDefault="00C100E9" w:rsidP="00C100E9">
      <w:pPr>
        <w:jc w:val="both"/>
      </w:pPr>
      <w:r>
        <w:t>The 10-year additional cost of panels</w:t>
      </w:r>
      <w:r w:rsidR="00463F0F">
        <w:t xml:space="preserve"> for indoor kennels</w:t>
      </w:r>
      <w:r>
        <w:t xml:space="preserve"> under proposed standard </w:t>
      </w:r>
      <w:r w:rsidR="00463F0F">
        <w:t>6.6.6 is estimated to be $85.91K under Options 3, 5 and 6; $3.66K under Option 1; $22.45K under Option 2; $54.18K under Option 4 –</w:t>
      </w:r>
      <w:r w:rsidR="007B521C">
        <w:t xml:space="preserve"> </w:t>
      </w:r>
      <w:r>
        <w:t>in present value dollars, as shown in Table A4.21.</w:t>
      </w:r>
    </w:p>
    <w:p w:rsidR="00C100E9" w:rsidRDefault="00C100E9" w:rsidP="00C100E9">
      <w:pPr>
        <w:jc w:val="both"/>
      </w:pPr>
    </w:p>
    <w:p w:rsidR="00C02451" w:rsidRDefault="00C02451">
      <w:pPr>
        <w:rPr>
          <w:b/>
          <w:sz w:val="20"/>
        </w:rPr>
      </w:pPr>
      <w:r>
        <w:rPr>
          <w:b/>
          <w:sz w:val="20"/>
        </w:rPr>
        <w:br w:type="page"/>
      </w:r>
    </w:p>
    <w:p w:rsidR="00C100E9" w:rsidRPr="00463F0F" w:rsidRDefault="00C100E9" w:rsidP="00C100E9">
      <w:pPr>
        <w:jc w:val="center"/>
        <w:rPr>
          <w:b/>
          <w:sz w:val="20"/>
        </w:rPr>
      </w:pPr>
      <w:r w:rsidRPr="00463F0F">
        <w:rPr>
          <w:b/>
          <w:sz w:val="20"/>
        </w:rPr>
        <w:lastRenderedPageBreak/>
        <w:t xml:space="preserve">Table A4.21: Estimated 10-year additional cost of indoor dog housing for </w:t>
      </w:r>
      <w:r w:rsidR="00463F0F" w:rsidRPr="00463F0F">
        <w:rPr>
          <w:b/>
          <w:sz w:val="20"/>
        </w:rPr>
        <w:t>participants under proposed standard 6.6.6 – Options 1 to 6</w:t>
      </w:r>
    </w:p>
    <w:p w:rsidR="00C100E9" w:rsidRDefault="00C100E9" w:rsidP="00C100E9">
      <w:pPr>
        <w:jc w:val="both"/>
      </w:pPr>
    </w:p>
    <w:tbl>
      <w:tblPr>
        <w:tblW w:w="8387" w:type="dxa"/>
        <w:tblLook w:val="04A0" w:firstRow="1" w:lastRow="0" w:firstColumn="1" w:lastColumn="0" w:noHBand="0" w:noVBand="1"/>
      </w:tblPr>
      <w:tblGrid>
        <w:gridCol w:w="1843"/>
        <w:gridCol w:w="3118"/>
        <w:gridCol w:w="1232"/>
        <w:gridCol w:w="876"/>
        <w:gridCol w:w="1318"/>
      </w:tblGrid>
      <w:tr w:rsidR="00C100E9" w:rsidRPr="00975792" w:rsidTr="00847153">
        <w:trPr>
          <w:trHeight w:val="540"/>
          <w:tblHeader/>
        </w:trPr>
        <w:tc>
          <w:tcPr>
            <w:tcW w:w="1843"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Category of participants</w:t>
            </w:r>
          </w:p>
        </w:tc>
        <w:tc>
          <w:tcPr>
            <w:tcW w:w="3118"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Estimated No. dogs affected (breaking in, training and racing)</w:t>
            </w:r>
          </w:p>
        </w:tc>
        <w:tc>
          <w:tcPr>
            <w:tcW w:w="1232"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No. pens affected</w:t>
            </w:r>
          </w:p>
        </w:tc>
        <w:tc>
          <w:tcPr>
            <w:tcW w:w="876"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one off cost</w:t>
            </w:r>
          </w:p>
        </w:tc>
        <w:tc>
          <w:tcPr>
            <w:tcW w:w="1318"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PV cost</w:t>
            </w:r>
          </w:p>
        </w:tc>
      </w:tr>
      <w:tr w:rsidR="00582075" w:rsidRPr="00E52081" w:rsidTr="00847153">
        <w:trPr>
          <w:trHeight w:val="315"/>
        </w:trPr>
        <w:tc>
          <w:tcPr>
            <w:tcW w:w="1843" w:type="dxa"/>
            <w:tcBorders>
              <w:top w:val="nil"/>
              <w:left w:val="nil"/>
              <w:bottom w:val="nil"/>
              <w:right w:val="nil"/>
            </w:tcBorders>
            <w:shd w:val="clear" w:color="000000" w:fill="FFFFFF"/>
            <w:noWrap/>
            <w:vAlign w:val="bottom"/>
          </w:tcPr>
          <w:p w:rsidR="00582075" w:rsidRPr="00582075" w:rsidRDefault="00582075" w:rsidP="00973C4B">
            <w:pPr>
              <w:rPr>
                <w:rFonts w:eastAsia="Times New Roman" w:cs="Times New Roman"/>
                <w:b/>
                <w:sz w:val="20"/>
                <w:szCs w:val="20"/>
                <w:lang w:eastAsia="en-AU"/>
              </w:rPr>
            </w:pPr>
            <w:r w:rsidRPr="00582075">
              <w:rPr>
                <w:rFonts w:eastAsia="Times New Roman" w:cs="Times New Roman"/>
                <w:b/>
                <w:sz w:val="20"/>
                <w:szCs w:val="20"/>
                <w:lang w:eastAsia="en-AU"/>
              </w:rPr>
              <w:t>Option 1</w:t>
            </w:r>
          </w:p>
        </w:tc>
        <w:tc>
          <w:tcPr>
            <w:tcW w:w="3118" w:type="dxa"/>
            <w:tcBorders>
              <w:top w:val="nil"/>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232" w:type="dxa"/>
            <w:tcBorders>
              <w:top w:val="nil"/>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876" w:type="dxa"/>
            <w:tcBorders>
              <w:top w:val="nil"/>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318" w:type="dxa"/>
            <w:tcBorders>
              <w:top w:val="nil"/>
              <w:left w:val="nil"/>
              <w:bottom w:val="nil"/>
              <w:right w:val="nil"/>
            </w:tcBorders>
            <w:shd w:val="clear" w:color="auto" w:fill="DBE5F1" w:themeFill="accent1" w:themeFillTint="33"/>
            <w:noWrap/>
            <w:vAlign w:val="bottom"/>
          </w:tcPr>
          <w:p w:rsidR="00582075" w:rsidRPr="00E52081" w:rsidRDefault="00582075" w:rsidP="00973C4B">
            <w:pPr>
              <w:jc w:val="center"/>
              <w:rPr>
                <w:rFonts w:eastAsia="Times New Roman" w:cs="Times New Roman"/>
                <w:sz w:val="20"/>
                <w:szCs w:val="20"/>
                <w:lang w:eastAsia="en-AU"/>
              </w:rPr>
            </w:pPr>
          </w:p>
        </w:tc>
      </w:tr>
      <w:tr w:rsidR="00582075" w:rsidRPr="00E52081" w:rsidTr="00847153">
        <w:trPr>
          <w:trHeight w:val="80"/>
        </w:trPr>
        <w:tc>
          <w:tcPr>
            <w:tcW w:w="1843" w:type="dxa"/>
            <w:tcBorders>
              <w:top w:val="nil"/>
              <w:left w:val="nil"/>
              <w:bottom w:val="nil"/>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Large trainers</w:t>
            </w:r>
          </w:p>
        </w:tc>
        <w:tc>
          <w:tcPr>
            <w:tcW w:w="3118"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0</w:t>
            </w:r>
          </w:p>
        </w:tc>
        <w:tc>
          <w:tcPr>
            <w:tcW w:w="1232"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0</w:t>
            </w:r>
          </w:p>
        </w:tc>
        <w:tc>
          <w:tcPr>
            <w:tcW w:w="876"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$0</w:t>
            </w:r>
          </w:p>
        </w:tc>
        <w:tc>
          <w:tcPr>
            <w:tcW w:w="1318" w:type="dxa"/>
            <w:tcBorders>
              <w:top w:val="nil"/>
              <w:left w:val="nil"/>
              <w:bottom w:val="nil"/>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$0</w:t>
            </w:r>
          </w:p>
        </w:tc>
      </w:tr>
      <w:tr w:rsidR="00582075" w:rsidRPr="00E52081" w:rsidTr="00847153">
        <w:trPr>
          <w:trHeight w:val="80"/>
        </w:trPr>
        <w:tc>
          <w:tcPr>
            <w:tcW w:w="1843"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Small trainers</w:t>
            </w:r>
          </w:p>
        </w:tc>
        <w:tc>
          <w:tcPr>
            <w:tcW w:w="3118"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144</w:t>
            </w:r>
          </w:p>
        </w:tc>
        <w:tc>
          <w:tcPr>
            <w:tcW w:w="1232"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48</w:t>
            </w:r>
          </w:p>
        </w:tc>
        <w:tc>
          <w:tcPr>
            <w:tcW w:w="876"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$3,656</w:t>
            </w:r>
          </w:p>
        </w:tc>
        <w:tc>
          <w:tcPr>
            <w:tcW w:w="1318" w:type="dxa"/>
            <w:tcBorders>
              <w:top w:val="nil"/>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$3,656</w:t>
            </w:r>
          </w:p>
        </w:tc>
      </w:tr>
      <w:tr w:rsidR="00582075" w:rsidRPr="00E52081" w:rsidTr="00847153">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b/>
                <w:bCs/>
                <w:i/>
                <w:iCs/>
                <w:sz w:val="20"/>
                <w:szCs w:val="20"/>
              </w:rPr>
              <w:t>Total</w:t>
            </w:r>
          </w:p>
        </w:tc>
        <w:tc>
          <w:tcPr>
            <w:tcW w:w="3118"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144</w:t>
            </w:r>
          </w:p>
        </w:tc>
        <w:tc>
          <w:tcPr>
            <w:tcW w:w="1232"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48</w:t>
            </w:r>
          </w:p>
        </w:tc>
        <w:tc>
          <w:tcPr>
            <w:tcW w:w="876"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$3,656</w:t>
            </w:r>
          </w:p>
        </w:tc>
        <w:tc>
          <w:tcPr>
            <w:tcW w:w="131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$3,656</w:t>
            </w:r>
          </w:p>
        </w:tc>
      </w:tr>
      <w:tr w:rsidR="00582075" w:rsidRPr="00E52081" w:rsidTr="00847153">
        <w:trPr>
          <w:trHeight w:val="70"/>
        </w:trPr>
        <w:tc>
          <w:tcPr>
            <w:tcW w:w="1843" w:type="dxa"/>
            <w:tcBorders>
              <w:top w:val="single" w:sz="4" w:space="0" w:color="1F497D" w:themeColor="text2"/>
              <w:left w:val="nil"/>
              <w:bottom w:val="nil"/>
              <w:right w:val="nil"/>
            </w:tcBorders>
            <w:shd w:val="clear" w:color="000000" w:fill="FFFFFF"/>
            <w:noWrap/>
            <w:vAlign w:val="bottom"/>
          </w:tcPr>
          <w:p w:rsidR="00582075" w:rsidRPr="00582075" w:rsidRDefault="00582075" w:rsidP="00973C4B">
            <w:pPr>
              <w:rPr>
                <w:rFonts w:eastAsia="Times New Roman" w:cs="Times New Roman"/>
                <w:b/>
                <w:sz w:val="20"/>
                <w:szCs w:val="20"/>
                <w:lang w:eastAsia="en-AU"/>
              </w:rPr>
            </w:pPr>
            <w:r w:rsidRPr="00582075">
              <w:rPr>
                <w:rFonts w:eastAsia="Times New Roman" w:cs="Times New Roman"/>
                <w:b/>
                <w:sz w:val="20"/>
                <w:szCs w:val="20"/>
                <w:lang w:eastAsia="en-AU"/>
              </w:rPr>
              <w:t>Option 2</w:t>
            </w:r>
          </w:p>
        </w:tc>
        <w:tc>
          <w:tcPr>
            <w:tcW w:w="3118"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876"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318" w:type="dxa"/>
            <w:tcBorders>
              <w:top w:val="single" w:sz="4" w:space="0" w:color="1F497D" w:themeColor="text2"/>
              <w:left w:val="nil"/>
              <w:bottom w:val="nil"/>
              <w:right w:val="nil"/>
            </w:tcBorders>
            <w:shd w:val="clear" w:color="auto" w:fill="DBE5F1" w:themeFill="accent1" w:themeFillTint="33"/>
            <w:noWrap/>
            <w:vAlign w:val="bottom"/>
          </w:tcPr>
          <w:p w:rsidR="00582075" w:rsidRPr="00E52081" w:rsidRDefault="00582075" w:rsidP="00973C4B">
            <w:pPr>
              <w:jc w:val="center"/>
              <w:rPr>
                <w:rFonts w:eastAsia="Times New Roman" w:cs="Times New Roman"/>
                <w:sz w:val="20"/>
                <w:szCs w:val="20"/>
                <w:lang w:eastAsia="en-AU"/>
              </w:rPr>
            </w:pPr>
          </w:p>
        </w:tc>
      </w:tr>
      <w:tr w:rsidR="00582075" w:rsidRPr="00E52081" w:rsidTr="00847153">
        <w:trPr>
          <w:trHeight w:val="80"/>
        </w:trPr>
        <w:tc>
          <w:tcPr>
            <w:tcW w:w="1843" w:type="dxa"/>
            <w:tcBorders>
              <w:top w:val="nil"/>
              <w:left w:val="nil"/>
              <w:bottom w:val="nil"/>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Large trainers</w:t>
            </w:r>
          </w:p>
        </w:tc>
        <w:tc>
          <w:tcPr>
            <w:tcW w:w="3118"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12</w:t>
            </w:r>
          </w:p>
        </w:tc>
        <w:tc>
          <w:tcPr>
            <w:tcW w:w="1232"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4</w:t>
            </w:r>
          </w:p>
        </w:tc>
        <w:tc>
          <w:tcPr>
            <w:tcW w:w="876"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$304</w:t>
            </w:r>
          </w:p>
        </w:tc>
        <w:tc>
          <w:tcPr>
            <w:tcW w:w="1318" w:type="dxa"/>
            <w:tcBorders>
              <w:top w:val="nil"/>
              <w:left w:val="nil"/>
              <w:bottom w:val="nil"/>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$304</w:t>
            </w:r>
          </w:p>
        </w:tc>
      </w:tr>
      <w:tr w:rsidR="00582075" w:rsidRPr="00E52081" w:rsidTr="00847153">
        <w:trPr>
          <w:trHeight w:val="80"/>
        </w:trPr>
        <w:tc>
          <w:tcPr>
            <w:tcW w:w="1843"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Small trainers</w:t>
            </w:r>
          </w:p>
        </w:tc>
        <w:tc>
          <w:tcPr>
            <w:tcW w:w="3118"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870</w:t>
            </w:r>
          </w:p>
        </w:tc>
        <w:tc>
          <w:tcPr>
            <w:tcW w:w="1232"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290</w:t>
            </w:r>
          </w:p>
        </w:tc>
        <w:tc>
          <w:tcPr>
            <w:tcW w:w="876"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$22,146</w:t>
            </w:r>
          </w:p>
        </w:tc>
        <w:tc>
          <w:tcPr>
            <w:tcW w:w="1318" w:type="dxa"/>
            <w:tcBorders>
              <w:top w:val="nil"/>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$22,146</w:t>
            </w:r>
          </w:p>
        </w:tc>
      </w:tr>
      <w:tr w:rsidR="00582075" w:rsidRPr="00E52081" w:rsidTr="00847153">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b/>
                <w:bCs/>
                <w:i/>
                <w:iCs/>
                <w:sz w:val="20"/>
                <w:szCs w:val="20"/>
              </w:rPr>
              <w:t>Total</w:t>
            </w:r>
          </w:p>
        </w:tc>
        <w:tc>
          <w:tcPr>
            <w:tcW w:w="3118"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882</w:t>
            </w:r>
          </w:p>
        </w:tc>
        <w:tc>
          <w:tcPr>
            <w:tcW w:w="1232"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294</w:t>
            </w:r>
          </w:p>
        </w:tc>
        <w:tc>
          <w:tcPr>
            <w:tcW w:w="876"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$22,450</w:t>
            </w:r>
          </w:p>
        </w:tc>
        <w:tc>
          <w:tcPr>
            <w:tcW w:w="131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$22,450</w:t>
            </w:r>
          </w:p>
        </w:tc>
      </w:tr>
      <w:tr w:rsidR="00582075" w:rsidRPr="00E52081" w:rsidTr="00847153">
        <w:trPr>
          <w:trHeight w:val="70"/>
        </w:trPr>
        <w:tc>
          <w:tcPr>
            <w:tcW w:w="1843" w:type="dxa"/>
            <w:tcBorders>
              <w:top w:val="single" w:sz="4" w:space="0" w:color="1F497D" w:themeColor="text2"/>
              <w:left w:val="nil"/>
              <w:bottom w:val="nil"/>
              <w:right w:val="nil"/>
            </w:tcBorders>
            <w:shd w:val="clear" w:color="000000" w:fill="FFFFFF"/>
            <w:noWrap/>
            <w:vAlign w:val="bottom"/>
          </w:tcPr>
          <w:p w:rsidR="00582075" w:rsidRPr="00582075" w:rsidRDefault="00582075" w:rsidP="00973C4B">
            <w:pPr>
              <w:rPr>
                <w:rFonts w:eastAsia="Times New Roman" w:cs="Times New Roman"/>
                <w:b/>
                <w:sz w:val="20"/>
                <w:szCs w:val="20"/>
                <w:lang w:eastAsia="en-AU"/>
              </w:rPr>
            </w:pPr>
            <w:r w:rsidRPr="00582075">
              <w:rPr>
                <w:rFonts w:eastAsia="Times New Roman" w:cs="Times New Roman"/>
                <w:b/>
                <w:sz w:val="20"/>
                <w:szCs w:val="20"/>
                <w:lang w:eastAsia="en-AU"/>
              </w:rPr>
              <w:t>Options 3, 5 and 6</w:t>
            </w:r>
          </w:p>
        </w:tc>
        <w:tc>
          <w:tcPr>
            <w:tcW w:w="3118"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876"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318" w:type="dxa"/>
            <w:tcBorders>
              <w:top w:val="single" w:sz="4" w:space="0" w:color="1F497D" w:themeColor="text2"/>
              <w:left w:val="nil"/>
              <w:bottom w:val="nil"/>
              <w:right w:val="nil"/>
            </w:tcBorders>
            <w:shd w:val="clear" w:color="auto" w:fill="DBE5F1" w:themeFill="accent1" w:themeFillTint="33"/>
            <w:noWrap/>
            <w:vAlign w:val="bottom"/>
          </w:tcPr>
          <w:p w:rsidR="00582075" w:rsidRPr="00E52081" w:rsidRDefault="00582075" w:rsidP="00973C4B">
            <w:pPr>
              <w:jc w:val="center"/>
              <w:rPr>
                <w:rFonts w:eastAsia="Times New Roman" w:cs="Times New Roman"/>
                <w:sz w:val="20"/>
                <w:szCs w:val="20"/>
                <w:lang w:eastAsia="en-AU"/>
              </w:rPr>
            </w:pPr>
          </w:p>
        </w:tc>
      </w:tr>
      <w:tr w:rsidR="00582075" w:rsidRPr="00E52081" w:rsidTr="00847153">
        <w:trPr>
          <w:trHeight w:val="80"/>
        </w:trPr>
        <w:tc>
          <w:tcPr>
            <w:tcW w:w="1843" w:type="dxa"/>
            <w:tcBorders>
              <w:top w:val="nil"/>
              <w:left w:val="nil"/>
              <w:bottom w:val="nil"/>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Large trainers</w:t>
            </w:r>
          </w:p>
        </w:tc>
        <w:tc>
          <w:tcPr>
            <w:tcW w:w="3118"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46</w:t>
            </w:r>
          </w:p>
        </w:tc>
        <w:tc>
          <w:tcPr>
            <w:tcW w:w="1232"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15</w:t>
            </w:r>
          </w:p>
        </w:tc>
        <w:tc>
          <w:tcPr>
            <w:tcW w:w="876"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$1,163</w:t>
            </w:r>
          </w:p>
        </w:tc>
        <w:tc>
          <w:tcPr>
            <w:tcW w:w="1318" w:type="dxa"/>
            <w:tcBorders>
              <w:top w:val="nil"/>
              <w:left w:val="nil"/>
              <w:bottom w:val="nil"/>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$1,163</w:t>
            </w:r>
          </w:p>
        </w:tc>
      </w:tr>
      <w:tr w:rsidR="00582075" w:rsidRPr="00E52081" w:rsidTr="00847153">
        <w:trPr>
          <w:trHeight w:val="80"/>
        </w:trPr>
        <w:tc>
          <w:tcPr>
            <w:tcW w:w="1843"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Small trainers</w:t>
            </w:r>
          </w:p>
        </w:tc>
        <w:tc>
          <w:tcPr>
            <w:tcW w:w="3118"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3,328</w:t>
            </w:r>
          </w:p>
        </w:tc>
        <w:tc>
          <w:tcPr>
            <w:tcW w:w="1232"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1109</w:t>
            </w:r>
          </w:p>
        </w:tc>
        <w:tc>
          <w:tcPr>
            <w:tcW w:w="876"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$84,750</w:t>
            </w:r>
          </w:p>
        </w:tc>
        <w:tc>
          <w:tcPr>
            <w:tcW w:w="1318" w:type="dxa"/>
            <w:tcBorders>
              <w:top w:val="nil"/>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$84,750</w:t>
            </w:r>
          </w:p>
        </w:tc>
      </w:tr>
      <w:tr w:rsidR="00582075" w:rsidRPr="00E52081" w:rsidTr="00847153">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b/>
                <w:bCs/>
                <w:i/>
                <w:iCs/>
                <w:sz w:val="20"/>
                <w:szCs w:val="20"/>
              </w:rPr>
              <w:t>Total</w:t>
            </w:r>
          </w:p>
        </w:tc>
        <w:tc>
          <w:tcPr>
            <w:tcW w:w="3118"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3,374</w:t>
            </w:r>
          </w:p>
        </w:tc>
        <w:tc>
          <w:tcPr>
            <w:tcW w:w="1232"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1125</w:t>
            </w:r>
          </w:p>
        </w:tc>
        <w:tc>
          <w:tcPr>
            <w:tcW w:w="876"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$85,913</w:t>
            </w:r>
          </w:p>
        </w:tc>
        <w:tc>
          <w:tcPr>
            <w:tcW w:w="131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$85,913</w:t>
            </w:r>
          </w:p>
        </w:tc>
      </w:tr>
      <w:tr w:rsidR="00582075" w:rsidRPr="00E52081" w:rsidTr="00847153">
        <w:trPr>
          <w:trHeight w:val="70"/>
        </w:trPr>
        <w:tc>
          <w:tcPr>
            <w:tcW w:w="1843"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rPr>
                <w:rFonts w:eastAsia="Times New Roman" w:cs="Times New Roman"/>
                <w:sz w:val="20"/>
                <w:szCs w:val="20"/>
                <w:lang w:eastAsia="en-AU"/>
              </w:rPr>
            </w:pPr>
            <w:r>
              <w:rPr>
                <w:rFonts w:eastAsia="Times New Roman" w:cs="Times New Roman"/>
                <w:sz w:val="20"/>
                <w:szCs w:val="20"/>
                <w:lang w:eastAsia="en-AU"/>
              </w:rPr>
              <w:t>Option 4</w:t>
            </w:r>
          </w:p>
        </w:tc>
        <w:tc>
          <w:tcPr>
            <w:tcW w:w="3118"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232"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876" w:type="dxa"/>
            <w:tcBorders>
              <w:top w:val="single" w:sz="4" w:space="0" w:color="1F497D" w:themeColor="text2"/>
              <w:left w:val="nil"/>
              <w:bottom w:val="nil"/>
              <w:right w:val="nil"/>
            </w:tcBorders>
            <w:shd w:val="clear" w:color="000000" w:fill="FFFFFF"/>
            <w:noWrap/>
            <w:vAlign w:val="bottom"/>
          </w:tcPr>
          <w:p w:rsidR="00582075" w:rsidRPr="00E52081" w:rsidRDefault="00582075" w:rsidP="00973C4B">
            <w:pPr>
              <w:jc w:val="center"/>
              <w:rPr>
                <w:rFonts w:eastAsia="Times New Roman" w:cs="Times New Roman"/>
                <w:sz w:val="20"/>
                <w:szCs w:val="20"/>
                <w:lang w:eastAsia="en-AU"/>
              </w:rPr>
            </w:pPr>
          </w:p>
        </w:tc>
        <w:tc>
          <w:tcPr>
            <w:tcW w:w="1318" w:type="dxa"/>
            <w:tcBorders>
              <w:top w:val="single" w:sz="4" w:space="0" w:color="1F497D" w:themeColor="text2"/>
              <w:left w:val="nil"/>
              <w:bottom w:val="nil"/>
              <w:right w:val="nil"/>
            </w:tcBorders>
            <w:shd w:val="clear" w:color="auto" w:fill="DBE5F1" w:themeFill="accent1" w:themeFillTint="33"/>
            <w:noWrap/>
            <w:vAlign w:val="bottom"/>
          </w:tcPr>
          <w:p w:rsidR="00582075" w:rsidRPr="00E52081" w:rsidRDefault="00582075" w:rsidP="00973C4B">
            <w:pPr>
              <w:jc w:val="center"/>
              <w:rPr>
                <w:rFonts w:eastAsia="Times New Roman" w:cs="Times New Roman"/>
                <w:sz w:val="20"/>
                <w:szCs w:val="20"/>
                <w:lang w:eastAsia="en-AU"/>
              </w:rPr>
            </w:pPr>
          </w:p>
        </w:tc>
      </w:tr>
      <w:tr w:rsidR="00582075" w:rsidRPr="00E52081" w:rsidTr="00847153">
        <w:trPr>
          <w:trHeight w:val="80"/>
        </w:trPr>
        <w:tc>
          <w:tcPr>
            <w:tcW w:w="1843" w:type="dxa"/>
            <w:tcBorders>
              <w:top w:val="nil"/>
              <w:left w:val="nil"/>
              <w:bottom w:val="nil"/>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Large trainers</w:t>
            </w:r>
          </w:p>
        </w:tc>
        <w:tc>
          <w:tcPr>
            <w:tcW w:w="3118"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29</w:t>
            </w:r>
          </w:p>
        </w:tc>
        <w:tc>
          <w:tcPr>
            <w:tcW w:w="1232"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10</w:t>
            </w:r>
          </w:p>
        </w:tc>
        <w:tc>
          <w:tcPr>
            <w:tcW w:w="876" w:type="dxa"/>
            <w:tcBorders>
              <w:top w:val="nil"/>
              <w:left w:val="nil"/>
              <w:bottom w:val="nil"/>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$734</w:t>
            </w:r>
          </w:p>
        </w:tc>
        <w:tc>
          <w:tcPr>
            <w:tcW w:w="1318" w:type="dxa"/>
            <w:tcBorders>
              <w:top w:val="nil"/>
              <w:left w:val="nil"/>
              <w:bottom w:val="nil"/>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$734</w:t>
            </w:r>
          </w:p>
        </w:tc>
      </w:tr>
      <w:tr w:rsidR="00582075" w:rsidRPr="00E52081" w:rsidTr="00847153">
        <w:trPr>
          <w:trHeight w:val="80"/>
        </w:trPr>
        <w:tc>
          <w:tcPr>
            <w:tcW w:w="1843"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sz w:val="20"/>
                <w:szCs w:val="20"/>
              </w:rPr>
              <w:t>Small trainers</w:t>
            </w:r>
          </w:p>
        </w:tc>
        <w:tc>
          <w:tcPr>
            <w:tcW w:w="3118"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2,099</w:t>
            </w:r>
          </w:p>
        </w:tc>
        <w:tc>
          <w:tcPr>
            <w:tcW w:w="1232"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700</w:t>
            </w:r>
          </w:p>
        </w:tc>
        <w:tc>
          <w:tcPr>
            <w:tcW w:w="876" w:type="dxa"/>
            <w:tcBorders>
              <w:top w:val="nil"/>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$53,447</w:t>
            </w:r>
          </w:p>
        </w:tc>
        <w:tc>
          <w:tcPr>
            <w:tcW w:w="1318" w:type="dxa"/>
            <w:tcBorders>
              <w:top w:val="nil"/>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sz w:val="20"/>
                <w:szCs w:val="20"/>
              </w:rPr>
              <w:t>$53,447</w:t>
            </w:r>
          </w:p>
        </w:tc>
      </w:tr>
      <w:tr w:rsidR="00582075" w:rsidRPr="00E52081" w:rsidTr="00847153">
        <w:trPr>
          <w:trHeight w:val="70"/>
        </w:trPr>
        <w:tc>
          <w:tcPr>
            <w:tcW w:w="1843"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rPr>
                <w:rFonts w:eastAsia="Times New Roman" w:cs="Times New Roman"/>
                <w:sz w:val="20"/>
                <w:szCs w:val="20"/>
                <w:lang w:eastAsia="en-AU"/>
              </w:rPr>
            </w:pPr>
            <w:r>
              <w:rPr>
                <w:rFonts w:cs="Calibri"/>
                <w:b/>
                <w:bCs/>
                <w:i/>
                <w:iCs/>
                <w:sz w:val="20"/>
                <w:szCs w:val="20"/>
              </w:rPr>
              <w:t>Total</w:t>
            </w:r>
          </w:p>
        </w:tc>
        <w:tc>
          <w:tcPr>
            <w:tcW w:w="3118"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2,127</w:t>
            </w:r>
          </w:p>
        </w:tc>
        <w:tc>
          <w:tcPr>
            <w:tcW w:w="1232"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709</w:t>
            </w:r>
          </w:p>
        </w:tc>
        <w:tc>
          <w:tcPr>
            <w:tcW w:w="876" w:type="dxa"/>
            <w:tcBorders>
              <w:top w:val="single" w:sz="4" w:space="0" w:color="1F497D" w:themeColor="text2"/>
              <w:left w:val="nil"/>
              <w:bottom w:val="single" w:sz="4" w:space="0" w:color="1F497D" w:themeColor="text2"/>
              <w:right w:val="nil"/>
            </w:tcBorders>
            <w:shd w:val="clear" w:color="000000" w:fill="FFFFFF"/>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$54,180</w:t>
            </w:r>
          </w:p>
        </w:tc>
        <w:tc>
          <w:tcPr>
            <w:tcW w:w="131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582075" w:rsidRPr="00E52081" w:rsidRDefault="00582075" w:rsidP="00582075">
            <w:pPr>
              <w:jc w:val="center"/>
              <w:rPr>
                <w:rFonts w:eastAsia="Times New Roman" w:cs="Times New Roman"/>
                <w:sz w:val="20"/>
                <w:szCs w:val="20"/>
                <w:lang w:eastAsia="en-AU"/>
              </w:rPr>
            </w:pPr>
            <w:r>
              <w:rPr>
                <w:rFonts w:cs="Calibri"/>
                <w:b/>
                <w:bCs/>
                <w:i/>
                <w:iCs/>
                <w:sz w:val="20"/>
                <w:szCs w:val="20"/>
              </w:rPr>
              <w:t>$54,180</w:t>
            </w:r>
          </w:p>
        </w:tc>
      </w:tr>
    </w:tbl>
    <w:p w:rsidR="00C100E9" w:rsidRDefault="00C100E9" w:rsidP="00C100E9">
      <w:pPr>
        <w:jc w:val="both"/>
      </w:pPr>
    </w:p>
    <w:p w:rsidR="002C5A66" w:rsidRPr="005F3BA9" w:rsidRDefault="00EA26DD" w:rsidP="002C5A66">
      <w:pPr>
        <w:pStyle w:val="Heading2"/>
      </w:pPr>
      <w:bookmarkStart w:id="259" w:name="_Toc469529228"/>
      <w:bookmarkStart w:id="260" w:name="_Toc477190252"/>
      <w:r w:rsidRPr="005F3BA9">
        <w:t>A4.15</w:t>
      </w:r>
      <w:r w:rsidR="002C5A66" w:rsidRPr="005F3BA9">
        <w:t xml:space="preserve"> – Estimation of costs and dogs affected by proposed standard 7.1 (Sale and transfer of greyhounds out of industry) – Options 1 to 6</w:t>
      </w:r>
      <w:bookmarkEnd w:id="259"/>
      <w:bookmarkEnd w:id="260"/>
    </w:p>
    <w:p w:rsidR="00F84387" w:rsidRDefault="00C100E9" w:rsidP="00F84387">
      <w:pPr>
        <w:jc w:val="both"/>
      </w:pPr>
      <w:r>
        <w:t>Proposed standard 7.1 would require participants to notify GRV every time a dog was transferred with an estimated time of 1 minute (0.017hrs).</w:t>
      </w:r>
      <w:r w:rsidR="007B521C">
        <w:t xml:space="preserve"> </w:t>
      </w:r>
      <w:r>
        <w:t>GRV would incur 0.5hrs per m</w:t>
      </w:r>
      <w:r w:rsidR="002469C5">
        <w:t>onth to process notifications.</w:t>
      </w:r>
      <w:r w:rsidR="007B521C">
        <w:t xml:space="preserve"> </w:t>
      </w:r>
      <w:r>
        <w:t xml:space="preserve">The estimated dogs affected by transfer </w:t>
      </w:r>
      <w:r w:rsidR="00EF6433">
        <w:t xml:space="preserve">in Table A2.22 </w:t>
      </w:r>
      <w:r>
        <w:t>is determined as the product of the number of average dogs per annum retired (5,353 dogs (see Table 7)) and the percentage of dogs apportioned by par</w:t>
      </w:r>
      <w:r w:rsidR="00F84387">
        <w:t xml:space="preserve">ticipant category (see Table 6); and </w:t>
      </w:r>
      <w:r w:rsidR="00F84387" w:rsidRPr="00740E56">
        <w:t>the last column in Table A</w:t>
      </w:r>
      <w:r w:rsidR="00F84387">
        <w:t>4.3 against each of the participant categories</w:t>
      </w:r>
      <w:r w:rsidR="00F84387" w:rsidRPr="00740E56">
        <w:t xml:space="preserve"> </w:t>
      </w:r>
      <w:r w:rsidR="00F84387">
        <w:t>–</w:t>
      </w:r>
      <w:r w:rsidR="00F84387" w:rsidRPr="00740E56">
        <w:t xml:space="preserve"> </w:t>
      </w:r>
      <w:r w:rsidR="00F84387">
        <w:t xml:space="preserve">using the </w:t>
      </w:r>
      <w:r w:rsidR="00F84387" w:rsidRPr="00740E56">
        <w:t>following formula:</w:t>
      </w:r>
    </w:p>
    <w:p w:rsidR="00F84387" w:rsidRPr="009E30A8" w:rsidRDefault="00F84387" w:rsidP="00F84387">
      <w:pPr>
        <w:jc w:val="center"/>
        <w:rPr>
          <w:i/>
          <w:sz w:val="20"/>
        </w:rPr>
      </w:pPr>
      <w:r>
        <w:rPr>
          <w:i/>
          <w:sz w:val="20"/>
        </w:rPr>
        <w:t>Estimated No. (retired) dogs affected = 5,353 x % of dogs apportioned by participant category (see Table 6) x % of</w:t>
      </w:r>
      <w:r w:rsidRPr="00E63EC4">
        <w:rPr>
          <w:i/>
          <w:sz w:val="20"/>
        </w:rPr>
        <w:t xml:space="preserve"> total </w:t>
      </w:r>
      <w:r>
        <w:rPr>
          <w:i/>
          <w:sz w:val="20"/>
        </w:rPr>
        <w:t xml:space="preserve">participants </w:t>
      </w:r>
      <w:r w:rsidRPr="00E63EC4">
        <w:rPr>
          <w:i/>
          <w:sz w:val="20"/>
        </w:rPr>
        <w:t>affected by behaviour change</w:t>
      </w:r>
      <w:r>
        <w:rPr>
          <w:i/>
          <w:sz w:val="20"/>
        </w:rPr>
        <w:t xml:space="preserve"> (see last column of Table A4.3 for options 1 to 6)</w:t>
      </w:r>
      <w:r w:rsidRPr="000A6D5E">
        <w:rPr>
          <w:i/>
          <w:sz w:val="20"/>
        </w:rPr>
        <w:t>.</w:t>
      </w:r>
    </w:p>
    <w:p w:rsidR="00C100E9" w:rsidRDefault="00C100E9" w:rsidP="00C100E9">
      <w:pPr>
        <w:jc w:val="both"/>
      </w:pPr>
    </w:p>
    <w:p w:rsidR="00C100E9" w:rsidRDefault="00C100E9" w:rsidP="00C100E9">
      <w:pPr>
        <w:jc w:val="both"/>
      </w:pPr>
      <w:r>
        <w:t xml:space="preserve">The annual additional cost of proposed standard 7.1 for participants </w:t>
      </w:r>
      <w:r w:rsidR="00480D29">
        <w:t xml:space="preserve">in Table A4.22 </w:t>
      </w:r>
      <w:r>
        <w:t xml:space="preserve">is estimated using the product of the number of dogs affected, the time required for participants to notify GRV (i.e. 0.017hrs) and an hourly charge out rate for an </w:t>
      </w:r>
      <w:r w:rsidRPr="00526C7A">
        <w:t>Operations manager</w:t>
      </w:r>
      <w:r>
        <w:t xml:space="preserve"> of $68.13 (see Table A3.1 of Appendix 3).</w:t>
      </w:r>
      <w:r w:rsidR="007B521C">
        <w:t xml:space="preserve"> </w:t>
      </w:r>
      <w:r>
        <w:t xml:space="preserve">The annual additional cost of proposed standard 7.1 for GRV </w:t>
      </w:r>
      <w:r w:rsidR="00480D29">
        <w:t xml:space="preserve">in Table A4.22 </w:t>
      </w:r>
      <w:r>
        <w:t>is estimated as 0.5hrs per month by 12 months at an hourly charge out rate of $69.25 (see Table A3.1).</w:t>
      </w:r>
    </w:p>
    <w:p w:rsidR="00C100E9" w:rsidRDefault="00C100E9" w:rsidP="00C100E9">
      <w:pPr>
        <w:jc w:val="both"/>
      </w:pPr>
    </w:p>
    <w:p w:rsidR="00480D29" w:rsidRDefault="00480D29" w:rsidP="00480D29">
      <w:pPr>
        <w:jc w:val="both"/>
      </w:pPr>
      <w:r>
        <w:t>The 10-year additional cost of sale and transfer requirements under proposed standard 7.1 is estimated to be $38.63K under Options 3, 5 and 6; $4.89K under Option 1; $12.68K under Option 2; $25.66K under Option 4 –</w:t>
      </w:r>
      <w:r w:rsidR="007B521C">
        <w:t xml:space="preserve"> </w:t>
      </w:r>
      <w:r>
        <w:t>in present value dollars, as shown in Table A4.22.</w:t>
      </w:r>
    </w:p>
    <w:p w:rsidR="00704E82" w:rsidRDefault="00704E82" w:rsidP="00C100E9">
      <w:pPr>
        <w:jc w:val="both"/>
      </w:pPr>
    </w:p>
    <w:p w:rsidR="00C02451" w:rsidRDefault="00C02451">
      <w:pPr>
        <w:rPr>
          <w:b/>
          <w:sz w:val="20"/>
        </w:rPr>
      </w:pPr>
      <w:r>
        <w:rPr>
          <w:b/>
          <w:sz w:val="20"/>
        </w:rPr>
        <w:br w:type="page"/>
      </w:r>
    </w:p>
    <w:p w:rsidR="00C100E9" w:rsidRPr="002469C5" w:rsidRDefault="00C100E9" w:rsidP="00C100E9">
      <w:pPr>
        <w:jc w:val="center"/>
        <w:rPr>
          <w:b/>
          <w:sz w:val="20"/>
        </w:rPr>
      </w:pPr>
      <w:r w:rsidRPr="002469C5">
        <w:rPr>
          <w:b/>
          <w:sz w:val="20"/>
        </w:rPr>
        <w:lastRenderedPageBreak/>
        <w:t>Table A4.22: Estimated 10-year additional cost of sale and transfer for participants/GRV</w:t>
      </w:r>
      <w:r w:rsidR="00EF6433" w:rsidRPr="002469C5">
        <w:rPr>
          <w:b/>
          <w:sz w:val="20"/>
        </w:rPr>
        <w:t xml:space="preserve"> under proposed standard 7.1 – Options 1 to 6</w:t>
      </w:r>
    </w:p>
    <w:p w:rsidR="00C100E9" w:rsidRDefault="00C100E9" w:rsidP="00C100E9">
      <w:pPr>
        <w:jc w:val="both"/>
      </w:pPr>
    </w:p>
    <w:tbl>
      <w:tblPr>
        <w:tblW w:w="8216" w:type="dxa"/>
        <w:tblLook w:val="04A0" w:firstRow="1" w:lastRow="0" w:firstColumn="1" w:lastColumn="0" w:noHBand="0" w:noVBand="1"/>
      </w:tblPr>
      <w:tblGrid>
        <w:gridCol w:w="2268"/>
        <w:gridCol w:w="2268"/>
        <w:gridCol w:w="1261"/>
        <w:gridCol w:w="1291"/>
        <w:gridCol w:w="1128"/>
      </w:tblGrid>
      <w:tr w:rsidR="00C100E9" w:rsidRPr="00975792" w:rsidTr="002469C5">
        <w:trPr>
          <w:trHeight w:val="70"/>
          <w:tblHeader/>
        </w:trPr>
        <w:tc>
          <w:tcPr>
            <w:tcW w:w="2268"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Category of participant</w:t>
            </w:r>
          </w:p>
        </w:tc>
        <w:tc>
          <w:tcPr>
            <w:tcW w:w="2268"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Estimated No. dogs affected (those retired)</w:t>
            </w:r>
          </w:p>
        </w:tc>
        <w:tc>
          <w:tcPr>
            <w:tcW w:w="1261"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Annual cost</w:t>
            </w:r>
          </w:p>
        </w:tc>
        <w:tc>
          <w:tcPr>
            <w:tcW w:w="1291"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cost</w:t>
            </w:r>
          </w:p>
        </w:tc>
        <w:tc>
          <w:tcPr>
            <w:tcW w:w="1128" w:type="dxa"/>
            <w:tcBorders>
              <w:top w:val="single" w:sz="4" w:space="0" w:color="1F4E78"/>
              <w:left w:val="nil"/>
              <w:bottom w:val="double" w:sz="6" w:space="0" w:color="1F4E78"/>
              <w:right w:val="nil"/>
            </w:tcBorders>
            <w:shd w:val="clear" w:color="auto" w:fill="DBE5F1" w:themeFill="accent1" w:themeFillTint="33"/>
            <w:noWrap/>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PV</w:t>
            </w:r>
          </w:p>
        </w:tc>
      </w:tr>
      <w:tr w:rsidR="00704E82" w:rsidRPr="0035398E" w:rsidTr="002469C5">
        <w:trPr>
          <w:trHeight w:val="35"/>
        </w:trPr>
        <w:tc>
          <w:tcPr>
            <w:tcW w:w="2268" w:type="dxa"/>
            <w:tcBorders>
              <w:top w:val="nil"/>
              <w:left w:val="nil"/>
              <w:bottom w:val="nil"/>
              <w:right w:val="nil"/>
            </w:tcBorders>
            <w:shd w:val="clear" w:color="000000" w:fill="FFFFFF"/>
            <w:noWrap/>
            <w:vAlign w:val="bottom"/>
          </w:tcPr>
          <w:p w:rsidR="00704E82" w:rsidRPr="00704E82" w:rsidRDefault="00704E82" w:rsidP="00973C4B">
            <w:pPr>
              <w:rPr>
                <w:rFonts w:eastAsia="Times New Roman" w:cs="Times New Roman"/>
                <w:b/>
                <w:sz w:val="20"/>
                <w:szCs w:val="20"/>
                <w:lang w:eastAsia="en-AU"/>
              </w:rPr>
            </w:pPr>
            <w:r w:rsidRPr="00704E82">
              <w:rPr>
                <w:rFonts w:eastAsia="Times New Roman" w:cs="Times New Roman"/>
                <w:b/>
                <w:sz w:val="20"/>
                <w:szCs w:val="20"/>
                <w:lang w:eastAsia="en-AU"/>
              </w:rPr>
              <w:t>Option 1</w:t>
            </w:r>
          </w:p>
        </w:tc>
        <w:tc>
          <w:tcPr>
            <w:tcW w:w="2268" w:type="dxa"/>
            <w:tcBorders>
              <w:top w:val="nil"/>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61" w:type="dxa"/>
            <w:tcBorders>
              <w:top w:val="nil"/>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91" w:type="dxa"/>
            <w:tcBorders>
              <w:top w:val="nil"/>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973C4B">
            <w:pPr>
              <w:jc w:val="center"/>
              <w:rPr>
                <w:rFonts w:eastAsia="Times New Roman" w:cs="Times New Roman"/>
                <w:sz w:val="20"/>
                <w:szCs w:val="20"/>
                <w:lang w:eastAsia="en-AU"/>
              </w:rPr>
            </w:pP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58</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$65</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$653</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$551</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$0</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87</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$99</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$992</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$836</w:t>
            </w:r>
          </w:p>
        </w:tc>
      </w:tr>
      <w:tr w:rsidR="00704E82" w:rsidRPr="0035398E" w:rsidTr="002469C5">
        <w:trPr>
          <w:trHeight w:val="80"/>
        </w:trPr>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GRV</w:t>
            </w:r>
          </w:p>
        </w:tc>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w:t>
            </w:r>
          </w:p>
        </w:tc>
        <w:tc>
          <w:tcPr>
            <w:tcW w:w="126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$416</w:t>
            </w:r>
          </w:p>
        </w:tc>
        <w:tc>
          <w:tcPr>
            <w:tcW w:w="129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$4,155</w:t>
            </w:r>
          </w:p>
        </w:tc>
        <w:tc>
          <w:tcPr>
            <w:tcW w:w="1128" w:type="dxa"/>
            <w:tcBorders>
              <w:top w:val="nil"/>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$3,505</w:t>
            </w:r>
          </w:p>
        </w:tc>
      </w:tr>
      <w:tr w:rsidR="00704E82" w:rsidRPr="0035398E" w:rsidTr="002469C5">
        <w:trPr>
          <w:trHeight w:val="80"/>
        </w:trPr>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b/>
                <w:bCs/>
                <w:i/>
                <w:iCs/>
                <w:sz w:val="20"/>
                <w:szCs w:val="20"/>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145</w:t>
            </w:r>
          </w:p>
        </w:tc>
        <w:tc>
          <w:tcPr>
            <w:tcW w:w="126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$580</w:t>
            </w:r>
          </w:p>
        </w:tc>
        <w:tc>
          <w:tcPr>
            <w:tcW w:w="129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$5,800</w:t>
            </w:r>
          </w:p>
        </w:tc>
        <w:tc>
          <w:tcPr>
            <w:tcW w:w="112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$4,892</w:t>
            </w:r>
          </w:p>
        </w:tc>
      </w:tr>
      <w:tr w:rsidR="00704E82" w:rsidRPr="0035398E" w:rsidTr="002469C5">
        <w:trPr>
          <w:trHeight w:val="80"/>
        </w:trPr>
        <w:tc>
          <w:tcPr>
            <w:tcW w:w="2268" w:type="dxa"/>
            <w:tcBorders>
              <w:top w:val="single" w:sz="4" w:space="0" w:color="1F497D" w:themeColor="text2"/>
              <w:left w:val="nil"/>
              <w:bottom w:val="nil"/>
              <w:right w:val="nil"/>
            </w:tcBorders>
            <w:shd w:val="clear" w:color="000000" w:fill="FFFFFF"/>
            <w:noWrap/>
            <w:vAlign w:val="bottom"/>
          </w:tcPr>
          <w:p w:rsidR="00704E82" w:rsidRPr="00704E82" w:rsidRDefault="00704E82" w:rsidP="00704E82">
            <w:pPr>
              <w:rPr>
                <w:rFonts w:cs="Calibri"/>
                <w:b/>
                <w:sz w:val="20"/>
                <w:szCs w:val="20"/>
              </w:rPr>
            </w:pPr>
            <w:r w:rsidRPr="00704E82">
              <w:rPr>
                <w:rFonts w:cs="Calibri"/>
                <w:b/>
                <w:sz w:val="20"/>
                <w:szCs w:val="20"/>
              </w:rPr>
              <w:t>Option 2</w:t>
            </w:r>
          </w:p>
        </w:tc>
        <w:tc>
          <w:tcPr>
            <w:tcW w:w="2268" w:type="dxa"/>
            <w:tcBorders>
              <w:top w:val="single" w:sz="4" w:space="0" w:color="1F497D" w:themeColor="text2"/>
              <w:left w:val="nil"/>
              <w:bottom w:val="nil"/>
              <w:right w:val="nil"/>
            </w:tcBorders>
            <w:shd w:val="clear" w:color="000000" w:fill="FFFFFF"/>
            <w:noWrap/>
            <w:vAlign w:val="bottom"/>
          </w:tcPr>
          <w:p w:rsidR="00704E82" w:rsidRDefault="00704E82" w:rsidP="00704E82">
            <w:pPr>
              <w:jc w:val="center"/>
              <w:rPr>
                <w:rFonts w:cs="Calibri"/>
                <w:sz w:val="20"/>
                <w:szCs w:val="20"/>
              </w:rPr>
            </w:pPr>
          </w:p>
        </w:tc>
        <w:tc>
          <w:tcPr>
            <w:tcW w:w="1261" w:type="dxa"/>
            <w:tcBorders>
              <w:top w:val="single" w:sz="4" w:space="0" w:color="1F497D" w:themeColor="text2"/>
              <w:left w:val="nil"/>
              <w:bottom w:val="nil"/>
              <w:right w:val="nil"/>
            </w:tcBorders>
            <w:shd w:val="clear" w:color="000000" w:fill="FFFFFF"/>
            <w:noWrap/>
            <w:vAlign w:val="bottom"/>
          </w:tcPr>
          <w:p w:rsidR="00704E82" w:rsidRDefault="00704E82" w:rsidP="00704E82">
            <w:pPr>
              <w:jc w:val="center"/>
              <w:rPr>
                <w:rFonts w:cs="Calibri"/>
                <w:sz w:val="20"/>
                <w:szCs w:val="20"/>
              </w:rPr>
            </w:pPr>
          </w:p>
        </w:tc>
        <w:tc>
          <w:tcPr>
            <w:tcW w:w="1291" w:type="dxa"/>
            <w:tcBorders>
              <w:top w:val="single" w:sz="4" w:space="0" w:color="1F497D" w:themeColor="text2"/>
              <w:left w:val="nil"/>
              <w:bottom w:val="nil"/>
              <w:right w:val="nil"/>
            </w:tcBorders>
            <w:shd w:val="clear" w:color="000000" w:fill="FFFFFF"/>
            <w:noWrap/>
            <w:vAlign w:val="bottom"/>
          </w:tcPr>
          <w:p w:rsidR="00704E82" w:rsidRDefault="00704E82" w:rsidP="00704E82">
            <w:pPr>
              <w:jc w:val="center"/>
              <w:rPr>
                <w:rFonts w:cs="Calibri"/>
                <w:sz w:val="20"/>
                <w:szCs w:val="20"/>
              </w:rPr>
            </w:pPr>
          </w:p>
        </w:tc>
        <w:tc>
          <w:tcPr>
            <w:tcW w:w="1128" w:type="dxa"/>
            <w:tcBorders>
              <w:top w:val="single" w:sz="4" w:space="0" w:color="1F497D" w:themeColor="text2"/>
              <w:left w:val="nil"/>
              <w:bottom w:val="nil"/>
              <w:right w:val="nil"/>
            </w:tcBorders>
            <w:shd w:val="clear" w:color="auto" w:fill="DBE5F1" w:themeFill="accent1" w:themeFillTint="33"/>
            <w:noWrap/>
            <w:vAlign w:val="bottom"/>
          </w:tcPr>
          <w:p w:rsidR="00704E82" w:rsidRDefault="00704E82" w:rsidP="00704E82">
            <w:pPr>
              <w:jc w:val="center"/>
              <w:rPr>
                <w:rFonts w:cs="Calibri"/>
                <w:sz w:val="20"/>
                <w:szCs w:val="20"/>
              </w:rPr>
            </w:pP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18</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$21</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$210</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$177</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370</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$420</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$4,199</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$3,542</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$47</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$468</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$395</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529</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$601</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$6,006</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$5,066</w:t>
            </w:r>
          </w:p>
        </w:tc>
      </w:tr>
      <w:tr w:rsidR="00704E82" w:rsidRPr="0035398E" w:rsidTr="002469C5">
        <w:trPr>
          <w:trHeight w:val="80"/>
        </w:trPr>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GRV</w:t>
            </w:r>
          </w:p>
        </w:tc>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w:t>
            </w:r>
          </w:p>
        </w:tc>
        <w:tc>
          <w:tcPr>
            <w:tcW w:w="126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$416</w:t>
            </w:r>
          </w:p>
        </w:tc>
        <w:tc>
          <w:tcPr>
            <w:tcW w:w="129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$4,155</w:t>
            </w:r>
          </w:p>
        </w:tc>
        <w:tc>
          <w:tcPr>
            <w:tcW w:w="1128" w:type="dxa"/>
            <w:tcBorders>
              <w:top w:val="nil"/>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$3,505</w:t>
            </w:r>
          </w:p>
        </w:tc>
      </w:tr>
      <w:tr w:rsidR="00704E82" w:rsidRPr="0035398E" w:rsidTr="002469C5">
        <w:trPr>
          <w:trHeight w:val="70"/>
        </w:trPr>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b/>
                <w:bCs/>
                <w:i/>
                <w:iCs/>
                <w:sz w:val="20"/>
                <w:szCs w:val="20"/>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958</w:t>
            </w:r>
          </w:p>
        </w:tc>
        <w:tc>
          <w:tcPr>
            <w:tcW w:w="126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$1,504</w:t>
            </w:r>
          </w:p>
        </w:tc>
        <w:tc>
          <w:tcPr>
            <w:tcW w:w="129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$15,037</w:t>
            </w:r>
          </w:p>
        </w:tc>
        <w:tc>
          <w:tcPr>
            <w:tcW w:w="112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$12,684</w:t>
            </w:r>
          </w:p>
        </w:tc>
      </w:tr>
      <w:tr w:rsidR="00704E82" w:rsidRPr="0035398E" w:rsidTr="002469C5">
        <w:trPr>
          <w:trHeight w:val="80"/>
        </w:trPr>
        <w:tc>
          <w:tcPr>
            <w:tcW w:w="2268" w:type="dxa"/>
            <w:tcBorders>
              <w:top w:val="single" w:sz="4" w:space="0" w:color="1F497D" w:themeColor="text2"/>
              <w:left w:val="nil"/>
              <w:bottom w:val="nil"/>
              <w:right w:val="nil"/>
            </w:tcBorders>
            <w:shd w:val="clear" w:color="000000" w:fill="FFFFFF"/>
            <w:noWrap/>
            <w:vAlign w:val="bottom"/>
          </w:tcPr>
          <w:p w:rsidR="00704E82" w:rsidRPr="00704E82" w:rsidRDefault="00704E82" w:rsidP="00973C4B">
            <w:pPr>
              <w:rPr>
                <w:rFonts w:eastAsia="Times New Roman" w:cs="Times New Roman"/>
                <w:b/>
                <w:sz w:val="20"/>
                <w:szCs w:val="20"/>
                <w:lang w:eastAsia="en-AU"/>
              </w:rPr>
            </w:pPr>
            <w:r w:rsidRPr="00704E82">
              <w:rPr>
                <w:rFonts w:eastAsia="Times New Roman" w:cs="Times New Roman"/>
                <w:b/>
                <w:sz w:val="20"/>
                <w:szCs w:val="20"/>
                <w:lang w:eastAsia="en-AU"/>
              </w:rPr>
              <w:t>Options 3, 5 and 6</w:t>
            </w:r>
          </w:p>
        </w:tc>
        <w:tc>
          <w:tcPr>
            <w:tcW w:w="2268"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61"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91"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128" w:type="dxa"/>
            <w:tcBorders>
              <w:top w:val="single" w:sz="4" w:space="0" w:color="1F497D" w:themeColor="text2"/>
              <w:left w:val="nil"/>
              <w:bottom w:val="nil"/>
              <w:right w:val="nil"/>
            </w:tcBorders>
            <w:shd w:val="clear" w:color="auto" w:fill="DBE5F1" w:themeFill="accent1" w:themeFillTint="33"/>
            <w:noWrap/>
            <w:vAlign w:val="bottom"/>
          </w:tcPr>
          <w:p w:rsidR="00704E82" w:rsidRPr="0035398E" w:rsidRDefault="00704E82" w:rsidP="00973C4B">
            <w:pPr>
              <w:jc w:val="center"/>
              <w:rPr>
                <w:rFonts w:eastAsia="Times New Roman" w:cs="Times New Roman"/>
                <w:sz w:val="20"/>
                <w:szCs w:val="20"/>
                <w:lang w:eastAsia="en-AU"/>
              </w:rPr>
            </w:pP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71</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$80</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$802</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$676</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1,415</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$1,607</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$16,070</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$13,555</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158</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$179</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$1,791</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$1,510</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2,024</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$2,298</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$22,982</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$19,386</w:t>
            </w:r>
          </w:p>
        </w:tc>
      </w:tr>
      <w:tr w:rsidR="00704E82" w:rsidRPr="0035398E" w:rsidTr="002469C5">
        <w:trPr>
          <w:trHeight w:val="80"/>
        </w:trPr>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GRV</w:t>
            </w:r>
          </w:p>
        </w:tc>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w:t>
            </w:r>
          </w:p>
        </w:tc>
        <w:tc>
          <w:tcPr>
            <w:tcW w:w="126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$416</w:t>
            </w:r>
          </w:p>
        </w:tc>
        <w:tc>
          <w:tcPr>
            <w:tcW w:w="129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$4,155</w:t>
            </w:r>
          </w:p>
        </w:tc>
        <w:tc>
          <w:tcPr>
            <w:tcW w:w="1128" w:type="dxa"/>
            <w:tcBorders>
              <w:top w:val="nil"/>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$3,505</w:t>
            </w:r>
          </w:p>
        </w:tc>
      </w:tr>
      <w:tr w:rsidR="00704E82" w:rsidRPr="0035398E" w:rsidTr="002469C5">
        <w:trPr>
          <w:trHeight w:val="80"/>
        </w:trPr>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b/>
                <w:bCs/>
                <w:i/>
                <w:iCs/>
                <w:sz w:val="20"/>
                <w:szCs w:val="20"/>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3,667</w:t>
            </w:r>
          </w:p>
        </w:tc>
        <w:tc>
          <w:tcPr>
            <w:tcW w:w="126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$4,580</w:t>
            </w:r>
          </w:p>
        </w:tc>
        <w:tc>
          <w:tcPr>
            <w:tcW w:w="129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$45,799</w:t>
            </w:r>
          </w:p>
        </w:tc>
        <w:tc>
          <w:tcPr>
            <w:tcW w:w="112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$38,633</w:t>
            </w:r>
          </w:p>
        </w:tc>
      </w:tr>
      <w:tr w:rsidR="00704E82" w:rsidRPr="0035398E" w:rsidTr="002469C5">
        <w:trPr>
          <w:trHeight w:val="70"/>
        </w:trPr>
        <w:tc>
          <w:tcPr>
            <w:tcW w:w="2268" w:type="dxa"/>
            <w:tcBorders>
              <w:top w:val="single" w:sz="4" w:space="0" w:color="1F497D" w:themeColor="text2"/>
              <w:left w:val="nil"/>
              <w:bottom w:val="nil"/>
              <w:right w:val="nil"/>
            </w:tcBorders>
            <w:shd w:val="clear" w:color="000000" w:fill="FFFFFF"/>
            <w:noWrap/>
            <w:vAlign w:val="bottom"/>
          </w:tcPr>
          <w:p w:rsidR="00704E82" w:rsidRPr="00704E82" w:rsidRDefault="00704E82" w:rsidP="00973C4B">
            <w:pPr>
              <w:rPr>
                <w:rFonts w:eastAsia="Times New Roman" w:cs="Times New Roman"/>
                <w:b/>
                <w:sz w:val="20"/>
                <w:szCs w:val="20"/>
                <w:lang w:eastAsia="en-AU"/>
              </w:rPr>
            </w:pPr>
            <w:r w:rsidRPr="00704E82">
              <w:rPr>
                <w:rFonts w:eastAsia="Times New Roman" w:cs="Times New Roman"/>
                <w:b/>
                <w:sz w:val="20"/>
                <w:szCs w:val="20"/>
                <w:lang w:eastAsia="en-AU"/>
              </w:rPr>
              <w:t>Option 4</w:t>
            </w:r>
          </w:p>
        </w:tc>
        <w:tc>
          <w:tcPr>
            <w:tcW w:w="2268"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61"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291" w:type="dxa"/>
            <w:tcBorders>
              <w:top w:val="single" w:sz="4" w:space="0" w:color="1F497D" w:themeColor="text2"/>
              <w:left w:val="nil"/>
              <w:bottom w:val="nil"/>
              <w:right w:val="nil"/>
            </w:tcBorders>
            <w:shd w:val="clear" w:color="000000" w:fill="FFFFFF"/>
            <w:noWrap/>
            <w:vAlign w:val="bottom"/>
          </w:tcPr>
          <w:p w:rsidR="00704E82" w:rsidRPr="0035398E" w:rsidRDefault="00704E82" w:rsidP="00973C4B">
            <w:pPr>
              <w:jc w:val="center"/>
              <w:rPr>
                <w:rFonts w:eastAsia="Times New Roman" w:cs="Times New Roman"/>
                <w:sz w:val="20"/>
                <w:szCs w:val="20"/>
                <w:lang w:eastAsia="en-AU"/>
              </w:rPr>
            </w:pPr>
          </w:p>
        </w:tc>
        <w:tc>
          <w:tcPr>
            <w:tcW w:w="1128" w:type="dxa"/>
            <w:tcBorders>
              <w:top w:val="single" w:sz="4" w:space="0" w:color="1F497D" w:themeColor="text2"/>
              <w:left w:val="nil"/>
              <w:bottom w:val="nil"/>
              <w:right w:val="nil"/>
            </w:tcBorders>
            <w:shd w:val="clear" w:color="auto" w:fill="DBE5F1" w:themeFill="accent1" w:themeFillTint="33"/>
            <w:noWrap/>
            <w:vAlign w:val="bottom"/>
          </w:tcPr>
          <w:p w:rsidR="00704E82" w:rsidRPr="0035398E" w:rsidRDefault="00704E82" w:rsidP="00973C4B">
            <w:pPr>
              <w:jc w:val="center"/>
              <w:rPr>
                <w:rFonts w:eastAsia="Times New Roman" w:cs="Times New Roman"/>
                <w:sz w:val="20"/>
                <w:szCs w:val="20"/>
                <w:lang w:eastAsia="en-AU"/>
              </w:rPr>
            </w:pP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45</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$51</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$506</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$427</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breeders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892</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$1,013</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$10,134</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$8,548</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Large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99</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$113</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$1,129</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$953</w:t>
            </w:r>
          </w:p>
        </w:tc>
      </w:tr>
      <w:tr w:rsidR="00704E82" w:rsidRPr="0035398E" w:rsidTr="002469C5">
        <w:trPr>
          <w:trHeight w:val="80"/>
        </w:trPr>
        <w:tc>
          <w:tcPr>
            <w:tcW w:w="2268" w:type="dxa"/>
            <w:tcBorders>
              <w:top w:val="nil"/>
              <w:left w:val="nil"/>
              <w:bottom w:val="nil"/>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Small trainers</w:t>
            </w:r>
          </w:p>
        </w:tc>
        <w:tc>
          <w:tcPr>
            <w:tcW w:w="2268"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1,276</w:t>
            </w:r>
          </w:p>
        </w:tc>
        <w:tc>
          <w:tcPr>
            <w:tcW w:w="126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$1,449</w:t>
            </w:r>
          </w:p>
        </w:tc>
        <w:tc>
          <w:tcPr>
            <w:tcW w:w="1291" w:type="dxa"/>
            <w:tcBorders>
              <w:top w:val="nil"/>
              <w:left w:val="nil"/>
              <w:bottom w:val="nil"/>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$14,494</w:t>
            </w:r>
          </w:p>
        </w:tc>
        <w:tc>
          <w:tcPr>
            <w:tcW w:w="1128" w:type="dxa"/>
            <w:tcBorders>
              <w:top w:val="nil"/>
              <w:left w:val="nil"/>
              <w:bottom w:val="nil"/>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$12,226</w:t>
            </w:r>
          </w:p>
        </w:tc>
      </w:tr>
      <w:tr w:rsidR="00704E82" w:rsidRPr="0035398E" w:rsidTr="002469C5">
        <w:trPr>
          <w:trHeight w:val="80"/>
        </w:trPr>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sz w:val="20"/>
                <w:szCs w:val="20"/>
              </w:rPr>
              <w:t>GRV</w:t>
            </w:r>
          </w:p>
        </w:tc>
        <w:tc>
          <w:tcPr>
            <w:tcW w:w="2268"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w:t>
            </w:r>
          </w:p>
        </w:tc>
        <w:tc>
          <w:tcPr>
            <w:tcW w:w="126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$416</w:t>
            </w:r>
          </w:p>
        </w:tc>
        <w:tc>
          <w:tcPr>
            <w:tcW w:w="1291" w:type="dxa"/>
            <w:tcBorders>
              <w:top w:val="nil"/>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$4,155</w:t>
            </w:r>
          </w:p>
        </w:tc>
        <w:tc>
          <w:tcPr>
            <w:tcW w:w="1128" w:type="dxa"/>
            <w:tcBorders>
              <w:top w:val="nil"/>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sz w:val="20"/>
                <w:szCs w:val="20"/>
              </w:rPr>
              <w:t>$3,505</w:t>
            </w:r>
          </w:p>
        </w:tc>
      </w:tr>
      <w:tr w:rsidR="00704E82" w:rsidRPr="0035398E" w:rsidTr="002469C5">
        <w:trPr>
          <w:trHeight w:val="80"/>
        </w:trPr>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rPr>
                <w:rFonts w:eastAsia="Times New Roman" w:cs="Times New Roman"/>
                <w:sz w:val="20"/>
                <w:szCs w:val="20"/>
                <w:lang w:eastAsia="en-AU"/>
              </w:rPr>
            </w:pPr>
            <w:r>
              <w:rPr>
                <w:rFonts w:cs="Calibri"/>
                <w:b/>
                <w:bCs/>
                <w:i/>
                <w:iCs/>
                <w:sz w:val="20"/>
                <w:szCs w:val="20"/>
              </w:rPr>
              <w:t>Total</w:t>
            </w:r>
          </w:p>
        </w:tc>
        <w:tc>
          <w:tcPr>
            <w:tcW w:w="2268"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2,313</w:t>
            </w:r>
          </w:p>
        </w:tc>
        <w:tc>
          <w:tcPr>
            <w:tcW w:w="126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$3,042</w:t>
            </w:r>
          </w:p>
        </w:tc>
        <w:tc>
          <w:tcPr>
            <w:tcW w:w="1291" w:type="dxa"/>
            <w:tcBorders>
              <w:top w:val="single" w:sz="4" w:space="0" w:color="1F497D" w:themeColor="text2"/>
              <w:left w:val="nil"/>
              <w:bottom w:val="single" w:sz="4" w:space="0" w:color="1F497D" w:themeColor="text2"/>
              <w:right w:val="nil"/>
            </w:tcBorders>
            <w:shd w:val="clear" w:color="000000" w:fill="FFFFFF"/>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$30,418</w:t>
            </w:r>
          </w:p>
        </w:tc>
        <w:tc>
          <w:tcPr>
            <w:tcW w:w="1128" w:type="dxa"/>
            <w:tcBorders>
              <w:top w:val="single" w:sz="4" w:space="0" w:color="1F497D" w:themeColor="text2"/>
              <w:left w:val="nil"/>
              <w:bottom w:val="single" w:sz="4" w:space="0" w:color="1F497D" w:themeColor="text2"/>
              <w:right w:val="nil"/>
            </w:tcBorders>
            <w:shd w:val="clear" w:color="auto" w:fill="DBE5F1" w:themeFill="accent1" w:themeFillTint="33"/>
            <w:noWrap/>
            <w:vAlign w:val="bottom"/>
          </w:tcPr>
          <w:p w:rsidR="00704E82" w:rsidRPr="0035398E" w:rsidRDefault="00704E82" w:rsidP="00704E82">
            <w:pPr>
              <w:jc w:val="center"/>
              <w:rPr>
                <w:rFonts w:eastAsia="Times New Roman" w:cs="Times New Roman"/>
                <w:sz w:val="20"/>
                <w:szCs w:val="20"/>
                <w:lang w:eastAsia="en-AU"/>
              </w:rPr>
            </w:pPr>
            <w:r>
              <w:rPr>
                <w:rFonts w:cs="Calibri"/>
                <w:b/>
                <w:bCs/>
                <w:i/>
                <w:iCs/>
                <w:sz w:val="20"/>
                <w:szCs w:val="20"/>
              </w:rPr>
              <w:t>$25,658</w:t>
            </w:r>
          </w:p>
        </w:tc>
      </w:tr>
    </w:tbl>
    <w:p w:rsidR="002A33C3" w:rsidRDefault="002A33C3" w:rsidP="002A33C3"/>
    <w:p w:rsidR="00661BF9" w:rsidRPr="005F3BA9" w:rsidRDefault="00EA26DD" w:rsidP="00661BF9">
      <w:pPr>
        <w:pStyle w:val="Heading2"/>
      </w:pPr>
      <w:bookmarkStart w:id="261" w:name="_Toc469529229"/>
      <w:bookmarkStart w:id="262" w:name="_Toc477190253"/>
      <w:r w:rsidRPr="005F3BA9">
        <w:t>A4.16</w:t>
      </w:r>
      <w:r w:rsidR="00661BF9" w:rsidRPr="005F3BA9">
        <w:t xml:space="preserve"> – Estimation of additional costs of industry (GRV) enforcement – Options 3, 5 and 6</w:t>
      </w:r>
      <w:bookmarkEnd w:id="261"/>
      <w:bookmarkEnd w:id="262"/>
    </w:p>
    <w:p w:rsidR="00C100E9" w:rsidRDefault="00C100E9" w:rsidP="00C100E9">
      <w:pPr>
        <w:jc w:val="both"/>
      </w:pPr>
      <w:r>
        <w:t xml:space="preserve">The </w:t>
      </w:r>
      <w:r w:rsidR="00821AE9">
        <w:t xml:space="preserve">additional </w:t>
      </w:r>
      <w:r>
        <w:t>cost of enforcement</w:t>
      </w:r>
      <w:r w:rsidR="00821AE9">
        <w:t xml:space="preserve"> by industry </w:t>
      </w:r>
      <w:r w:rsidR="00661BF9">
        <w:t xml:space="preserve">(GRV) </w:t>
      </w:r>
      <w:r w:rsidR="00821AE9">
        <w:t>under</w:t>
      </w:r>
      <w:r>
        <w:t xml:space="preserve"> Option</w:t>
      </w:r>
      <w:r w:rsidR="00821AE9">
        <w:t>s</w:t>
      </w:r>
      <w:r>
        <w:t xml:space="preserve"> 3</w:t>
      </w:r>
      <w:r w:rsidR="00821AE9">
        <w:t>, 5 and 6</w:t>
      </w:r>
      <w:r>
        <w:t xml:space="preserve"> involves two components – staffing and training.</w:t>
      </w:r>
    </w:p>
    <w:p w:rsidR="00C100E9" w:rsidRDefault="00C100E9" w:rsidP="00C100E9">
      <w:pPr>
        <w:jc w:val="both"/>
      </w:pPr>
    </w:p>
    <w:p w:rsidR="00C100E9" w:rsidRPr="004A72B7" w:rsidRDefault="00EA26DD" w:rsidP="005E307C">
      <w:pPr>
        <w:pStyle w:val="Heading3"/>
      </w:pPr>
      <w:bookmarkStart w:id="263" w:name="_Toc469529230"/>
      <w:bookmarkStart w:id="264" w:name="_Toc477190254"/>
      <w:r>
        <w:t>A4.16</w:t>
      </w:r>
      <w:r w:rsidR="00661BF9">
        <w:t xml:space="preserve">.1: </w:t>
      </w:r>
      <w:r w:rsidR="00C100E9">
        <w:t>Ongoing a</w:t>
      </w:r>
      <w:r w:rsidR="00C100E9" w:rsidRPr="004A72B7">
        <w:t>dditional</w:t>
      </w:r>
      <w:r w:rsidR="00C100E9">
        <w:t xml:space="preserve"> cost of</w:t>
      </w:r>
      <w:r w:rsidR="00C100E9" w:rsidRPr="004A72B7">
        <w:t xml:space="preserve"> enforcement staffing</w:t>
      </w:r>
      <w:r w:rsidR="00C100E9">
        <w:t xml:space="preserve"> by GRV</w:t>
      </w:r>
      <w:bookmarkEnd w:id="263"/>
      <w:bookmarkEnd w:id="264"/>
    </w:p>
    <w:p w:rsidR="00C100E9" w:rsidRDefault="00C100E9" w:rsidP="00C100E9">
      <w:pPr>
        <w:jc w:val="both"/>
      </w:pPr>
      <w:r>
        <w:t>The enforcement of the proposed Code by GRV involves hiring 16 GRV animal welfare inspectors and 8 investigation unit officers in addition to existing staff under the current Code (base case)</w:t>
      </w:r>
      <w:r w:rsidR="00801409">
        <w:t xml:space="preserve"> for the first year – falling to 9 GRV animal welfare inspectors 8 investigation unit officers in the subsequent years (based on DEDJTR advice)</w:t>
      </w:r>
      <w:r>
        <w:t>.</w:t>
      </w:r>
      <w:r w:rsidR="007B521C">
        <w:t xml:space="preserve"> </w:t>
      </w:r>
      <w:r>
        <w:t xml:space="preserve">Salaries including on costs and overheads for welfare inspectors and investigations officers are estimated to be </w:t>
      </w:r>
      <w:r w:rsidRPr="004F5351">
        <w:t>$117,083</w:t>
      </w:r>
      <w:r>
        <w:t xml:space="preserve"> and </w:t>
      </w:r>
      <w:r w:rsidRPr="004F5351">
        <w:t>$144,169</w:t>
      </w:r>
      <w:r>
        <w:t>, respectively.</w:t>
      </w:r>
    </w:p>
    <w:p w:rsidR="00C100E9" w:rsidRDefault="00C100E9" w:rsidP="00C100E9">
      <w:pPr>
        <w:jc w:val="both"/>
      </w:pPr>
    </w:p>
    <w:p w:rsidR="00C100E9" w:rsidRDefault="00C100E9" w:rsidP="00C100E9">
      <w:pPr>
        <w:jc w:val="both"/>
      </w:pPr>
      <w:r w:rsidRPr="004F5351">
        <w:t>The 10</w:t>
      </w:r>
      <w:r>
        <w:t>-year additional cost of enforcement staffing under Option</w:t>
      </w:r>
      <w:r w:rsidR="00661BF9">
        <w:t>s</w:t>
      </w:r>
      <w:r>
        <w:t xml:space="preserve"> 3</w:t>
      </w:r>
      <w:r w:rsidR="00661BF9">
        <w:t>, 5 and 6</w:t>
      </w:r>
      <w:r w:rsidR="0000026B">
        <w:t xml:space="preserve"> is estimated to be $19.44</w:t>
      </w:r>
      <w:r>
        <w:t>m</w:t>
      </w:r>
      <w:r w:rsidRPr="004F5351">
        <w:t xml:space="preserve"> in present value </w:t>
      </w:r>
      <w:r>
        <w:t>dollars, as shown in Table A4.23</w:t>
      </w:r>
      <w:r w:rsidRPr="004F5351">
        <w:t>.</w:t>
      </w:r>
    </w:p>
    <w:p w:rsidR="00C100E9" w:rsidRDefault="00C100E9" w:rsidP="00C100E9">
      <w:pPr>
        <w:jc w:val="both"/>
      </w:pPr>
    </w:p>
    <w:p w:rsidR="00975792" w:rsidRDefault="00975792">
      <w:pPr>
        <w:rPr>
          <w:b/>
        </w:rPr>
      </w:pPr>
      <w:r>
        <w:rPr>
          <w:b/>
        </w:rPr>
        <w:br w:type="page"/>
      </w:r>
    </w:p>
    <w:p w:rsidR="00C100E9" w:rsidRDefault="00C100E9" w:rsidP="00C100E9">
      <w:pPr>
        <w:jc w:val="center"/>
        <w:rPr>
          <w:b/>
        </w:rPr>
      </w:pPr>
      <w:r w:rsidRPr="00F460F0">
        <w:rPr>
          <w:b/>
        </w:rPr>
        <w:lastRenderedPageBreak/>
        <w:t>Table A</w:t>
      </w:r>
      <w:r>
        <w:rPr>
          <w:b/>
        </w:rPr>
        <w:t>4.23</w:t>
      </w:r>
      <w:r w:rsidRPr="00E256F2">
        <w:rPr>
          <w:b/>
        </w:rPr>
        <w:t>:</w:t>
      </w:r>
      <w:r w:rsidRPr="00E67529">
        <w:rPr>
          <w:b/>
        </w:rPr>
        <w:t xml:space="preserve"> Estimated </w:t>
      </w:r>
      <w:r>
        <w:rPr>
          <w:b/>
        </w:rPr>
        <w:t>10-year additional cost of enforcement staffing GRV</w:t>
      </w:r>
    </w:p>
    <w:p w:rsidR="00C100E9" w:rsidRDefault="00C100E9" w:rsidP="00C100E9">
      <w:pPr>
        <w:jc w:val="both"/>
      </w:pPr>
    </w:p>
    <w:tbl>
      <w:tblPr>
        <w:tblW w:w="8289" w:type="dxa"/>
        <w:jc w:val="center"/>
        <w:tblLook w:val="04A0" w:firstRow="1" w:lastRow="0" w:firstColumn="1" w:lastColumn="0" w:noHBand="0" w:noVBand="1"/>
      </w:tblPr>
      <w:tblGrid>
        <w:gridCol w:w="2410"/>
        <w:gridCol w:w="1276"/>
        <w:gridCol w:w="995"/>
        <w:gridCol w:w="1144"/>
        <w:gridCol w:w="1232"/>
        <w:gridCol w:w="1232"/>
      </w:tblGrid>
      <w:tr w:rsidR="00C100E9" w:rsidRPr="00975792" w:rsidTr="0020429F">
        <w:trPr>
          <w:trHeight w:val="540"/>
          <w:jc w:val="center"/>
        </w:trPr>
        <w:tc>
          <w:tcPr>
            <w:tcW w:w="2410"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Category of officer</w:t>
            </w:r>
          </w:p>
        </w:tc>
        <w:tc>
          <w:tcPr>
            <w:tcW w:w="1276"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 xml:space="preserve">Salary </w:t>
            </w:r>
          </w:p>
        </w:tc>
        <w:tc>
          <w:tcPr>
            <w:tcW w:w="995"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No. officers</w:t>
            </w:r>
          </w:p>
        </w:tc>
        <w:tc>
          <w:tcPr>
            <w:tcW w:w="1144"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Annual</w:t>
            </w:r>
            <w:r w:rsidR="0000026B" w:rsidRPr="00975792">
              <w:rPr>
                <w:rFonts w:eastAsia="Times New Roman" w:cs="Times New Roman"/>
                <w:b/>
                <w:bCs/>
                <w:color w:val="53565A"/>
                <w:sz w:val="20"/>
                <w:szCs w:val="20"/>
                <w:lang w:eastAsia="en-AU"/>
              </w:rPr>
              <w:t>ised</w:t>
            </w:r>
            <w:r w:rsidRPr="00975792">
              <w:rPr>
                <w:rFonts w:eastAsia="Times New Roman" w:cs="Times New Roman"/>
                <w:b/>
                <w:bCs/>
                <w:color w:val="53565A"/>
                <w:sz w:val="20"/>
                <w:szCs w:val="20"/>
                <w:lang w:eastAsia="en-AU"/>
              </w:rPr>
              <w:t xml:space="preserve"> cost</w:t>
            </w:r>
          </w:p>
        </w:tc>
        <w:tc>
          <w:tcPr>
            <w:tcW w:w="1232"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cost</w:t>
            </w:r>
          </w:p>
        </w:tc>
        <w:tc>
          <w:tcPr>
            <w:tcW w:w="1232"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PV cost</w:t>
            </w:r>
          </w:p>
        </w:tc>
      </w:tr>
      <w:tr w:rsidR="0000026B" w:rsidRPr="004F5351" w:rsidTr="0020429F">
        <w:trPr>
          <w:trHeight w:val="315"/>
          <w:jc w:val="center"/>
        </w:trPr>
        <w:tc>
          <w:tcPr>
            <w:tcW w:w="2410" w:type="dxa"/>
            <w:tcBorders>
              <w:top w:val="nil"/>
              <w:left w:val="nil"/>
              <w:bottom w:val="nil"/>
              <w:right w:val="nil"/>
            </w:tcBorders>
            <w:shd w:val="clear" w:color="000000" w:fill="FFFFFF"/>
            <w:noWrap/>
            <w:vAlign w:val="bottom"/>
            <w:hideMark/>
          </w:tcPr>
          <w:p w:rsidR="0000026B" w:rsidRPr="004F5351" w:rsidRDefault="0000026B" w:rsidP="0000026B">
            <w:pPr>
              <w:rPr>
                <w:rFonts w:eastAsia="Times New Roman" w:cs="Times New Roman"/>
                <w:sz w:val="20"/>
                <w:szCs w:val="20"/>
                <w:lang w:eastAsia="en-AU"/>
              </w:rPr>
            </w:pPr>
            <w:r>
              <w:rPr>
                <w:rFonts w:cs="Calibri"/>
                <w:sz w:val="20"/>
                <w:szCs w:val="20"/>
              </w:rPr>
              <w:t>Animal welfare inspector</w:t>
            </w:r>
          </w:p>
        </w:tc>
        <w:tc>
          <w:tcPr>
            <w:tcW w:w="1276"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$117,083</w:t>
            </w:r>
          </w:p>
        </w:tc>
        <w:tc>
          <w:tcPr>
            <w:tcW w:w="995"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16</w:t>
            </w:r>
          </w:p>
        </w:tc>
        <w:tc>
          <w:tcPr>
            <w:tcW w:w="1144"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$1,135,700</w:t>
            </w:r>
          </w:p>
        </w:tc>
        <w:tc>
          <w:tcPr>
            <w:tcW w:w="1232"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$11,357,003</w:t>
            </w:r>
          </w:p>
        </w:tc>
        <w:tc>
          <w:tcPr>
            <w:tcW w:w="1232" w:type="dxa"/>
            <w:tcBorders>
              <w:top w:val="nil"/>
              <w:left w:val="nil"/>
              <w:bottom w:val="nil"/>
              <w:right w:val="nil"/>
            </w:tcBorders>
            <w:shd w:val="clear" w:color="auto" w:fill="DBE5F1" w:themeFill="accent1" w:themeFillTint="33"/>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$9,708,245</w:t>
            </w:r>
          </w:p>
        </w:tc>
      </w:tr>
      <w:tr w:rsidR="0000026B" w:rsidRPr="004F5351" w:rsidTr="0020429F">
        <w:trPr>
          <w:trHeight w:val="300"/>
          <w:jc w:val="center"/>
        </w:trPr>
        <w:tc>
          <w:tcPr>
            <w:tcW w:w="2410" w:type="dxa"/>
            <w:tcBorders>
              <w:top w:val="nil"/>
              <w:left w:val="nil"/>
              <w:bottom w:val="nil"/>
              <w:right w:val="nil"/>
            </w:tcBorders>
            <w:shd w:val="clear" w:color="000000" w:fill="FFFFFF"/>
            <w:noWrap/>
            <w:vAlign w:val="bottom"/>
            <w:hideMark/>
          </w:tcPr>
          <w:p w:rsidR="0000026B" w:rsidRPr="004F5351" w:rsidRDefault="0000026B" w:rsidP="0000026B">
            <w:pPr>
              <w:rPr>
                <w:rFonts w:eastAsia="Times New Roman" w:cs="Times New Roman"/>
                <w:sz w:val="20"/>
                <w:szCs w:val="20"/>
                <w:lang w:eastAsia="en-AU"/>
              </w:rPr>
            </w:pPr>
            <w:r>
              <w:rPr>
                <w:rFonts w:cs="Calibri"/>
                <w:sz w:val="20"/>
                <w:szCs w:val="20"/>
              </w:rPr>
              <w:t>Investigations unit officer</w:t>
            </w:r>
          </w:p>
        </w:tc>
        <w:tc>
          <w:tcPr>
            <w:tcW w:w="1276"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$144,169</w:t>
            </w:r>
          </w:p>
        </w:tc>
        <w:tc>
          <w:tcPr>
            <w:tcW w:w="995"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8</w:t>
            </w:r>
          </w:p>
        </w:tc>
        <w:tc>
          <w:tcPr>
            <w:tcW w:w="1144"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$1,153,350</w:t>
            </w:r>
          </w:p>
        </w:tc>
        <w:tc>
          <w:tcPr>
            <w:tcW w:w="1232" w:type="dxa"/>
            <w:tcBorders>
              <w:top w:val="nil"/>
              <w:left w:val="nil"/>
              <w:bottom w:val="nil"/>
              <w:right w:val="nil"/>
            </w:tcBorders>
            <w:shd w:val="clear" w:color="000000" w:fill="FFFFFF"/>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$11,533,500</w:t>
            </w:r>
          </w:p>
        </w:tc>
        <w:tc>
          <w:tcPr>
            <w:tcW w:w="1232" w:type="dxa"/>
            <w:tcBorders>
              <w:top w:val="nil"/>
              <w:left w:val="nil"/>
              <w:bottom w:val="nil"/>
              <w:right w:val="nil"/>
            </w:tcBorders>
            <w:shd w:val="clear" w:color="auto" w:fill="DBE5F1" w:themeFill="accent1" w:themeFillTint="33"/>
            <w:noWrap/>
            <w:vAlign w:val="bottom"/>
            <w:hideMark/>
          </w:tcPr>
          <w:p w:rsidR="0000026B" w:rsidRPr="004F5351" w:rsidRDefault="0000026B" w:rsidP="0000026B">
            <w:pPr>
              <w:jc w:val="center"/>
              <w:rPr>
                <w:rFonts w:eastAsia="Times New Roman" w:cs="Times New Roman"/>
                <w:sz w:val="20"/>
                <w:szCs w:val="20"/>
                <w:lang w:eastAsia="en-AU"/>
              </w:rPr>
            </w:pPr>
            <w:r>
              <w:rPr>
                <w:rFonts w:cs="Calibri"/>
                <w:sz w:val="20"/>
                <w:szCs w:val="20"/>
              </w:rPr>
              <w:t>$9,728,890</w:t>
            </w:r>
          </w:p>
        </w:tc>
      </w:tr>
      <w:tr w:rsidR="0000026B" w:rsidRPr="004F5351" w:rsidTr="0020429F">
        <w:trPr>
          <w:trHeight w:val="300"/>
          <w:jc w:val="center"/>
        </w:trPr>
        <w:tc>
          <w:tcPr>
            <w:tcW w:w="2410" w:type="dxa"/>
            <w:tcBorders>
              <w:top w:val="single" w:sz="4" w:space="0" w:color="1F4E78"/>
              <w:left w:val="nil"/>
              <w:bottom w:val="single" w:sz="4" w:space="0" w:color="1F4E78"/>
              <w:right w:val="nil"/>
            </w:tcBorders>
            <w:shd w:val="clear" w:color="000000" w:fill="FFFFFF"/>
            <w:noWrap/>
            <w:vAlign w:val="bottom"/>
            <w:hideMark/>
          </w:tcPr>
          <w:p w:rsidR="0000026B" w:rsidRPr="004F5351" w:rsidRDefault="0000026B" w:rsidP="0000026B">
            <w:pPr>
              <w:rPr>
                <w:rFonts w:eastAsia="Times New Roman" w:cs="Times New Roman"/>
                <w:b/>
                <w:bCs/>
                <w:i/>
                <w:iCs/>
                <w:sz w:val="20"/>
                <w:szCs w:val="20"/>
                <w:lang w:eastAsia="en-AU"/>
              </w:rPr>
            </w:pPr>
            <w:r>
              <w:rPr>
                <w:rFonts w:cs="Calibri"/>
                <w:b/>
                <w:bCs/>
                <w:i/>
                <w:iCs/>
                <w:sz w:val="20"/>
                <w:szCs w:val="20"/>
              </w:rPr>
              <w:t>Total</w:t>
            </w:r>
          </w:p>
        </w:tc>
        <w:tc>
          <w:tcPr>
            <w:tcW w:w="1276" w:type="dxa"/>
            <w:tcBorders>
              <w:top w:val="single" w:sz="4" w:space="0" w:color="1F4E78"/>
              <w:left w:val="nil"/>
              <w:bottom w:val="single" w:sz="4" w:space="0" w:color="1F4E78"/>
              <w:right w:val="nil"/>
            </w:tcBorders>
            <w:shd w:val="clear" w:color="000000" w:fill="FFFFFF"/>
            <w:noWrap/>
            <w:vAlign w:val="bottom"/>
            <w:hideMark/>
          </w:tcPr>
          <w:p w:rsidR="0000026B" w:rsidRPr="004F5351" w:rsidRDefault="0000026B" w:rsidP="0000026B">
            <w:pPr>
              <w:jc w:val="center"/>
              <w:rPr>
                <w:rFonts w:eastAsia="Times New Roman" w:cs="Times New Roman"/>
                <w:b/>
                <w:bCs/>
                <w:i/>
                <w:iCs/>
                <w:sz w:val="20"/>
                <w:szCs w:val="20"/>
                <w:lang w:eastAsia="en-AU"/>
              </w:rPr>
            </w:pPr>
            <w:r>
              <w:rPr>
                <w:rFonts w:cs="Calibri"/>
                <w:b/>
                <w:bCs/>
                <w:i/>
                <w:iCs/>
                <w:sz w:val="20"/>
                <w:szCs w:val="20"/>
              </w:rPr>
              <w:t> </w:t>
            </w:r>
          </w:p>
        </w:tc>
        <w:tc>
          <w:tcPr>
            <w:tcW w:w="995" w:type="dxa"/>
            <w:tcBorders>
              <w:top w:val="single" w:sz="4" w:space="0" w:color="1F4E78"/>
              <w:left w:val="nil"/>
              <w:bottom w:val="single" w:sz="4" w:space="0" w:color="1F4E78"/>
              <w:right w:val="nil"/>
            </w:tcBorders>
            <w:shd w:val="clear" w:color="000000" w:fill="FFFFFF"/>
            <w:noWrap/>
            <w:vAlign w:val="bottom"/>
            <w:hideMark/>
          </w:tcPr>
          <w:p w:rsidR="0000026B" w:rsidRPr="004F5351" w:rsidRDefault="0000026B" w:rsidP="0000026B">
            <w:pPr>
              <w:jc w:val="center"/>
              <w:rPr>
                <w:rFonts w:eastAsia="Times New Roman" w:cs="Times New Roman"/>
                <w:b/>
                <w:bCs/>
                <w:i/>
                <w:iCs/>
                <w:sz w:val="20"/>
                <w:szCs w:val="20"/>
                <w:lang w:eastAsia="en-AU"/>
              </w:rPr>
            </w:pPr>
            <w:r>
              <w:rPr>
                <w:rFonts w:cs="Calibri"/>
                <w:b/>
                <w:bCs/>
                <w:i/>
                <w:iCs/>
                <w:sz w:val="20"/>
                <w:szCs w:val="20"/>
              </w:rPr>
              <w:t>24</w:t>
            </w:r>
          </w:p>
        </w:tc>
        <w:tc>
          <w:tcPr>
            <w:tcW w:w="1144" w:type="dxa"/>
            <w:tcBorders>
              <w:top w:val="single" w:sz="4" w:space="0" w:color="1F4E78"/>
              <w:left w:val="nil"/>
              <w:bottom w:val="single" w:sz="4" w:space="0" w:color="1F4E78"/>
              <w:right w:val="nil"/>
            </w:tcBorders>
            <w:shd w:val="clear" w:color="000000" w:fill="FFFFFF"/>
            <w:noWrap/>
            <w:vAlign w:val="bottom"/>
            <w:hideMark/>
          </w:tcPr>
          <w:p w:rsidR="0000026B" w:rsidRPr="004F5351" w:rsidRDefault="0000026B" w:rsidP="0000026B">
            <w:pPr>
              <w:jc w:val="center"/>
              <w:rPr>
                <w:rFonts w:eastAsia="Times New Roman" w:cs="Times New Roman"/>
                <w:b/>
                <w:bCs/>
                <w:i/>
                <w:iCs/>
                <w:sz w:val="20"/>
                <w:szCs w:val="20"/>
                <w:lang w:eastAsia="en-AU"/>
              </w:rPr>
            </w:pPr>
            <w:r>
              <w:rPr>
                <w:rFonts w:cs="Calibri"/>
                <w:b/>
                <w:bCs/>
                <w:i/>
                <w:iCs/>
                <w:sz w:val="20"/>
                <w:szCs w:val="20"/>
              </w:rPr>
              <w:t>$2,289,050</w:t>
            </w:r>
          </w:p>
        </w:tc>
        <w:tc>
          <w:tcPr>
            <w:tcW w:w="1232" w:type="dxa"/>
            <w:tcBorders>
              <w:top w:val="single" w:sz="4" w:space="0" w:color="1F4E78"/>
              <w:left w:val="nil"/>
              <w:bottom w:val="single" w:sz="4" w:space="0" w:color="1F4E78"/>
              <w:right w:val="nil"/>
            </w:tcBorders>
            <w:shd w:val="clear" w:color="000000" w:fill="FFFFFF"/>
            <w:noWrap/>
            <w:vAlign w:val="bottom"/>
            <w:hideMark/>
          </w:tcPr>
          <w:p w:rsidR="0000026B" w:rsidRPr="004F5351" w:rsidRDefault="0000026B" w:rsidP="0000026B">
            <w:pPr>
              <w:jc w:val="center"/>
              <w:rPr>
                <w:rFonts w:eastAsia="Times New Roman" w:cs="Times New Roman"/>
                <w:b/>
                <w:bCs/>
                <w:i/>
                <w:iCs/>
                <w:sz w:val="20"/>
                <w:szCs w:val="20"/>
                <w:lang w:eastAsia="en-AU"/>
              </w:rPr>
            </w:pPr>
            <w:r>
              <w:rPr>
                <w:rFonts w:cs="Calibri"/>
                <w:b/>
                <w:bCs/>
                <w:i/>
                <w:iCs/>
                <w:sz w:val="20"/>
                <w:szCs w:val="20"/>
              </w:rPr>
              <w:t>$22,890,503</w:t>
            </w:r>
          </w:p>
        </w:tc>
        <w:tc>
          <w:tcPr>
            <w:tcW w:w="1232" w:type="dxa"/>
            <w:tcBorders>
              <w:top w:val="single" w:sz="4" w:space="0" w:color="1F4E78"/>
              <w:left w:val="nil"/>
              <w:bottom w:val="single" w:sz="4" w:space="0" w:color="1F4E78"/>
              <w:right w:val="nil"/>
            </w:tcBorders>
            <w:shd w:val="clear" w:color="auto" w:fill="DBE5F1" w:themeFill="accent1" w:themeFillTint="33"/>
            <w:noWrap/>
            <w:vAlign w:val="bottom"/>
            <w:hideMark/>
          </w:tcPr>
          <w:p w:rsidR="0000026B" w:rsidRPr="004F5351" w:rsidRDefault="0000026B" w:rsidP="0000026B">
            <w:pPr>
              <w:jc w:val="center"/>
              <w:rPr>
                <w:rFonts w:eastAsia="Times New Roman" w:cs="Times New Roman"/>
                <w:b/>
                <w:bCs/>
                <w:i/>
                <w:iCs/>
                <w:sz w:val="20"/>
                <w:szCs w:val="20"/>
                <w:lang w:eastAsia="en-AU"/>
              </w:rPr>
            </w:pPr>
            <w:r>
              <w:rPr>
                <w:rFonts w:cs="Calibri"/>
                <w:b/>
                <w:bCs/>
                <w:i/>
                <w:iCs/>
                <w:sz w:val="20"/>
                <w:szCs w:val="20"/>
              </w:rPr>
              <w:t>$19,437,135</w:t>
            </w:r>
          </w:p>
        </w:tc>
      </w:tr>
    </w:tbl>
    <w:p w:rsidR="00C100E9" w:rsidRDefault="00C100E9" w:rsidP="00C100E9">
      <w:pPr>
        <w:jc w:val="both"/>
      </w:pPr>
    </w:p>
    <w:p w:rsidR="00C100E9" w:rsidRPr="004A72B7" w:rsidRDefault="00EA26DD" w:rsidP="005E307C">
      <w:pPr>
        <w:pStyle w:val="Heading3"/>
      </w:pPr>
      <w:bookmarkStart w:id="265" w:name="_Toc469529231"/>
      <w:bookmarkStart w:id="266" w:name="_Toc477190255"/>
      <w:r>
        <w:t>A4.16</w:t>
      </w:r>
      <w:r w:rsidR="00E416A6">
        <w:t xml:space="preserve">.2: </w:t>
      </w:r>
      <w:r w:rsidR="00C100E9">
        <w:t xml:space="preserve">One-off additional cost of </w:t>
      </w:r>
      <w:r w:rsidR="00C100E9" w:rsidRPr="004A72B7">
        <w:t>enforcement training of GRV office</w:t>
      </w:r>
      <w:r w:rsidR="00E416A6">
        <w:t>r</w:t>
      </w:r>
      <w:r w:rsidR="00C100E9" w:rsidRPr="004A72B7">
        <w:t>s and inspectors</w:t>
      </w:r>
      <w:bookmarkEnd w:id="265"/>
      <w:bookmarkEnd w:id="266"/>
    </w:p>
    <w:p w:rsidR="00C100E9" w:rsidRDefault="00C100E9" w:rsidP="00C100E9">
      <w:pPr>
        <w:jc w:val="both"/>
      </w:pPr>
    </w:p>
    <w:p w:rsidR="00E416A6" w:rsidRDefault="00C100E9" w:rsidP="00C100E9">
      <w:pPr>
        <w:jc w:val="both"/>
      </w:pPr>
      <w:r>
        <w:t>According to DEDJTR, Option</w:t>
      </w:r>
      <w:r w:rsidR="00E416A6">
        <w:t>s</w:t>
      </w:r>
      <w:r>
        <w:t xml:space="preserve"> 3</w:t>
      </w:r>
      <w:r w:rsidR="00E416A6">
        <w:t>, 5 and 6</w:t>
      </w:r>
      <w:r>
        <w:t xml:space="preserve"> would involve the need for 16 GRV animal welfare inspectors and 8 investigation unit officers to undergo once-off training to assist with the implementation/enforcement of the proposed Code.</w:t>
      </w:r>
      <w:r w:rsidR="007B521C">
        <w:t xml:space="preserve"> </w:t>
      </w:r>
      <w:r>
        <w:t>In order to estimate the cost of providing training the following assumptions were made (as shown in Panel A4.7).</w:t>
      </w:r>
      <w:r w:rsidR="007B521C">
        <w:t xml:space="preserve"> </w:t>
      </w:r>
    </w:p>
    <w:p w:rsidR="00E416A6" w:rsidRDefault="00E416A6" w:rsidP="00C100E9">
      <w:pPr>
        <w:jc w:val="both"/>
      </w:pPr>
    </w:p>
    <w:p w:rsidR="00C100E9" w:rsidRDefault="00C100E9" w:rsidP="00C100E9">
      <w:pPr>
        <w:jc w:val="both"/>
      </w:pPr>
      <w:r>
        <w:t>The total time and travel cost for an animal welfare inspector undertaking a four-day course would be $3,102 plus a registration cost of $2,800</w:t>
      </w:r>
      <w:r w:rsidR="00E416A6">
        <w:t xml:space="preserve"> (i.e. $5,902 per inspector)</w:t>
      </w:r>
      <w:r>
        <w:t>.</w:t>
      </w:r>
      <w:r w:rsidR="007B521C">
        <w:t xml:space="preserve"> </w:t>
      </w:r>
      <w:r>
        <w:t>The total time and travel cost for an investigations officer (at a higher charge out rate) undertaking a four-day course would be $3,697 plus a registration cost of $2,800</w:t>
      </w:r>
      <w:r w:rsidR="00E416A6">
        <w:t xml:space="preserve"> (i.e. $6,497 per officer)</w:t>
      </w:r>
      <w:r>
        <w:t>.</w:t>
      </w:r>
      <w:r w:rsidR="007B521C">
        <w:t xml:space="preserve"> </w:t>
      </w:r>
    </w:p>
    <w:p w:rsidR="00C100E9" w:rsidRDefault="00C100E9" w:rsidP="00C100E9">
      <w:pPr>
        <w:jc w:val="both"/>
      </w:pPr>
    </w:p>
    <w:p w:rsidR="00C100E9" w:rsidRPr="00E416A6" w:rsidRDefault="00C100E9" w:rsidP="00C100E9">
      <w:pPr>
        <w:jc w:val="center"/>
        <w:rPr>
          <w:b/>
          <w:sz w:val="20"/>
        </w:rPr>
      </w:pPr>
      <w:r w:rsidRPr="00E416A6">
        <w:rPr>
          <w:b/>
          <w:sz w:val="20"/>
        </w:rPr>
        <w:t>Panel A4.7: Assumptions for training of GRV officers and inspectors</w:t>
      </w:r>
    </w:p>
    <w:p w:rsidR="00C100E9" w:rsidRDefault="00C100E9" w:rsidP="00C100E9">
      <w:pPr>
        <w:jc w:val="center"/>
        <w:rPr>
          <w:b/>
        </w:rPr>
      </w:pPr>
    </w:p>
    <w:tbl>
      <w:tblPr>
        <w:tblW w:w="8383" w:type="dxa"/>
        <w:tblBorders>
          <w:top w:val="double" w:sz="4" w:space="0" w:color="4F81BD" w:themeColor="accent1"/>
          <w:left w:val="double" w:sz="4" w:space="0" w:color="4F81BD" w:themeColor="accent1"/>
          <w:bottom w:val="double" w:sz="4" w:space="0" w:color="4F81BD" w:themeColor="accent1"/>
          <w:right w:val="double" w:sz="4" w:space="0" w:color="4F81BD" w:themeColor="accent1"/>
        </w:tblBorders>
        <w:shd w:val="clear" w:color="auto" w:fill="C6D9F1" w:themeFill="text2" w:themeFillTint="33"/>
        <w:tblLook w:val="04A0" w:firstRow="1" w:lastRow="0" w:firstColumn="1" w:lastColumn="0" w:noHBand="0" w:noVBand="1"/>
      </w:tblPr>
      <w:tblGrid>
        <w:gridCol w:w="5387"/>
        <w:gridCol w:w="2996"/>
      </w:tblGrid>
      <w:tr w:rsidR="00C100E9" w:rsidRPr="00975792" w:rsidTr="00E416A6">
        <w:trPr>
          <w:trHeight w:val="300"/>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Auditing training 1 day</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7.6</w:t>
            </w:r>
            <w:r w:rsidR="00BA5F43" w:rsidRPr="00975792">
              <w:rPr>
                <w:rFonts w:eastAsia="Times New Roman" w:cs="Times New Roman"/>
                <w:color w:val="53565A"/>
                <w:sz w:val="20"/>
                <w:lang w:eastAsia="en-AU"/>
              </w:rPr>
              <w:t>hrs</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Legal training 1 day</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7.6</w:t>
            </w:r>
            <w:r w:rsidR="00BA5F43" w:rsidRPr="00975792">
              <w:rPr>
                <w:rFonts w:eastAsia="Times New Roman" w:cs="Times New Roman"/>
                <w:color w:val="53565A"/>
                <w:sz w:val="20"/>
                <w:lang w:eastAsia="en-AU"/>
              </w:rPr>
              <w:t>hrs</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Client interactive tactics 2 days</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15.2</w:t>
            </w:r>
            <w:r w:rsidR="00BA5F43" w:rsidRPr="00975792">
              <w:rPr>
                <w:rFonts w:eastAsia="Times New Roman" w:cs="Times New Roman"/>
                <w:color w:val="53565A"/>
                <w:sz w:val="20"/>
                <w:lang w:eastAsia="en-AU"/>
              </w:rPr>
              <w:t>hrs</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Total training hours per officer (4 days)</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30.4</w:t>
            </w:r>
            <w:r w:rsidR="00BA5F43" w:rsidRPr="00975792">
              <w:rPr>
                <w:rFonts w:eastAsia="Times New Roman" w:cs="Times New Roman"/>
                <w:color w:val="53565A"/>
                <w:sz w:val="20"/>
                <w:lang w:eastAsia="en-AU"/>
              </w:rPr>
              <w:t>hrs</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Total travel hours (2hrs per day) per officer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8</w:t>
            </w:r>
            <w:r w:rsidR="00BA5F43" w:rsidRPr="00975792">
              <w:rPr>
                <w:rFonts w:eastAsia="Times New Roman" w:cs="Times New Roman"/>
                <w:color w:val="53565A"/>
                <w:sz w:val="20"/>
                <w:lang w:eastAsia="en-AU"/>
              </w:rPr>
              <w:t>hrs</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Km travelled @ 100km per hour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800</w:t>
            </w:r>
            <w:r w:rsidR="00BA5F43" w:rsidRPr="00975792">
              <w:rPr>
                <w:rFonts w:eastAsia="Times New Roman" w:cs="Times New Roman"/>
                <w:color w:val="53565A"/>
                <w:sz w:val="20"/>
                <w:lang w:eastAsia="en-AU"/>
              </w:rPr>
              <w:t>km</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b/>
                <w:bCs/>
                <w:color w:val="53565A"/>
                <w:sz w:val="20"/>
                <w:lang w:eastAsia="en-AU"/>
              </w:rPr>
            </w:pPr>
            <w:r w:rsidRPr="00975792">
              <w:rPr>
                <w:rFonts w:eastAsia="Times New Roman" w:cs="Times New Roman"/>
                <w:b/>
                <w:bCs/>
                <w:color w:val="53565A"/>
                <w:sz w:val="20"/>
                <w:lang w:eastAsia="en-AU"/>
              </w:rPr>
              <w:t>Total Vehicle costs @ $0.66 per km</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b/>
                <w:bCs/>
                <w:color w:val="53565A"/>
                <w:sz w:val="20"/>
                <w:lang w:eastAsia="en-AU"/>
              </w:rPr>
            </w:pPr>
            <w:r w:rsidRPr="00975792">
              <w:rPr>
                <w:rFonts w:eastAsia="Times New Roman" w:cs="Times New Roman"/>
                <w:b/>
                <w:bCs/>
                <w:color w:val="53565A"/>
                <w:sz w:val="20"/>
                <w:lang w:eastAsia="en-AU"/>
              </w:rPr>
              <w:t>$528</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b/>
                <w:bCs/>
                <w:color w:val="53565A"/>
                <w:sz w:val="20"/>
                <w:lang w:eastAsia="en-AU"/>
              </w:rPr>
            </w:pPr>
            <w:r w:rsidRPr="00975792">
              <w:rPr>
                <w:rFonts w:eastAsia="Times New Roman" w:cs="Times New Roman"/>
                <w:b/>
                <w:bCs/>
                <w:color w:val="53565A"/>
                <w:sz w:val="20"/>
                <w:lang w:eastAsia="en-AU"/>
              </w:rPr>
              <w:t>Total hours per inspector/officer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b/>
                <w:bCs/>
                <w:color w:val="53565A"/>
                <w:sz w:val="20"/>
                <w:lang w:eastAsia="en-AU"/>
              </w:rPr>
            </w:pPr>
            <w:r w:rsidRPr="00975792">
              <w:rPr>
                <w:rFonts w:eastAsia="Times New Roman" w:cs="Times New Roman"/>
                <w:b/>
                <w:bCs/>
                <w:color w:val="53565A"/>
                <w:sz w:val="20"/>
                <w:lang w:eastAsia="en-AU"/>
              </w:rPr>
              <w:t>38.4</w:t>
            </w:r>
            <w:r w:rsidR="00973C4B" w:rsidRPr="00975792">
              <w:rPr>
                <w:rFonts w:eastAsia="Times New Roman" w:cs="Times New Roman"/>
                <w:b/>
                <w:bCs/>
                <w:color w:val="53565A"/>
                <w:sz w:val="20"/>
                <w:lang w:eastAsia="en-AU"/>
              </w:rPr>
              <w:t>hrs</w:t>
            </w:r>
          </w:p>
        </w:tc>
      </w:tr>
      <w:tr w:rsidR="00C100E9" w:rsidRPr="00975792" w:rsidTr="00E416A6">
        <w:trPr>
          <w:trHeight w:val="95"/>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Charge out rate for welfare inspector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$67.0</w:t>
            </w:r>
            <w:r w:rsidR="00874727" w:rsidRPr="00975792">
              <w:rPr>
                <w:rFonts w:eastAsia="Times New Roman" w:cs="Times New Roman"/>
                <w:color w:val="53565A"/>
                <w:sz w:val="20"/>
                <w:lang w:eastAsia="en-AU"/>
              </w:rPr>
              <w:t>0*</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b/>
                <w:bCs/>
                <w:i/>
                <w:color w:val="53565A"/>
                <w:sz w:val="20"/>
                <w:lang w:eastAsia="en-AU"/>
              </w:rPr>
            </w:pPr>
            <w:r w:rsidRPr="00975792">
              <w:rPr>
                <w:rFonts w:eastAsia="Times New Roman" w:cs="Times New Roman"/>
                <w:b/>
                <w:bCs/>
                <w:i/>
                <w:color w:val="53565A"/>
                <w:sz w:val="20"/>
                <w:lang w:eastAsia="en-AU"/>
              </w:rPr>
              <w:t>Total time cost including travel and vehicle cost animal welfare inspector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b/>
                <w:bCs/>
                <w:i/>
                <w:color w:val="53565A"/>
                <w:sz w:val="20"/>
                <w:lang w:eastAsia="en-AU"/>
              </w:rPr>
            </w:pPr>
            <w:r w:rsidRPr="00975792">
              <w:rPr>
                <w:rFonts w:eastAsia="Times New Roman" w:cs="Times New Roman"/>
                <w:b/>
                <w:bCs/>
                <w:i/>
                <w:color w:val="53565A"/>
                <w:sz w:val="20"/>
                <w:lang w:eastAsia="en-AU"/>
              </w:rPr>
              <w:t>$3,102</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Charge out rate for investigations officer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$82.53</w:t>
            </w:r>
            <w:r w:rsidR="00874727" w:rsidRPr="00975792">
              <w:rPr>
                <w:rFonts w:eastAsia="Times New Roman" w:cs="Times New Roman"/>
                <w:color w:val="53565A"/>
                <w:sz w:val="20"/>
                <w:lang w:eastAsia="en-AU"/>
              </w:rPr>
              <w:t>*</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b/>
                <w:bCs/>
                <w:i/>
                <w:color w:val="53565A"/>
                <w:sz w:val="20"/>
                <w:lang w:eastAsia="en-AU"/>
              </w:rPr>
            </w:pPr>
            <w:r w:rsidRPr="00975792">
              <w:rPr>
                <w:rFonts w:eastAsia="Times New Roman" w:cs="Times New Roman"/>
                <w:b/>
                <w:bCs/>
                <w:i/>
                <w:color w:val="53565A"/>
                <w:sz w:val="20"/>
                <w:lang w:eastAsia="en-AU"/>
              </w:rPr>
              <w:t>Total time cost including travel and vehicle cost investigations unit officer</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b/>
                <w:bCs/>
                <w:i/>
                <w:color w:val="53565A"/>
                <w:sz w:val="20"/>
                <w:lang w:eastAsia="en-AU"/>
              </w:rPr>
            </w:pPr>
            <w:r w:rsidRPr="00975792">
              <w:rPr>
                <w:rFonts w:eastAsia="Times New Roman" w:cs="Times New Roman"/>
                <w:b/>
                <w:bCs/>
                <w:i/>
                <w:color w:val="53565A"/>
                <w:sz w:val="20"/>
                <w:lang w:eastAsia="en-AU"/>
              </w:rPr>
              <w:t>$3,697</w:t>
            </w:r>
          </w:p>
        </w:tc>
      </w:tr>
      <w:tr w:rsidR="00C100E9" w:rsidRPr="00975792" w:rsidTr="00E416A6">
        <w:trPr>
          <w:trHeight w:val="95"/>
        </w:trPr>
        <w:tc>
          <w:tcPr>
            <w:tcW w:w="5387" w:type="dxa"/>
            <w:shd w:val="clear" w:color="auto" w:fill="DBE5F1" w:themeFill="accent1" w:themeFillTint="33"/>
            <w:vAlign w:val="bottom"/>
            <w:hideMark/>
          </w:tcPr>
          <w:p w:rsidR="00C100E9" w:rsidRPr="00975792" w:rsidRDefault="00C100E9" w:rsidP="00973C4B">
            <w:pPr>
              <w:rPr>
                <w:rFonts w:eastAsia="Times New Roman" w:cs="Times New Roman"/>
                <w:color w:val="53565A"/>
                <w:sz w:val="20"/>
                <w:lang w:eastAsia="en-AU"/>
              </w:rPr>
            </w:pPr>
            <w:r w:rsidRPr="00975792">
              <w:rPr>
                <w:rFonts w:eastAsia="Times New Roman" w:cs="Times New Roman"/>
                <w:color w:val="53565A"/>
                <w:sz w:val="20"/>
                <w:lang w:eastAsia="en-AU"/>
              </w:rPr>
              <w:t>RTO training registration cost per person per day</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color w:val="53565A"/>
                <w:sz w:val="20"/>
                <w:lang w:eastAsia="en-AU"/>
              </w:rPr>
            </w:pPr>
            <w:r w:rsidRPr="00975792">
              <w:rPr>
                <w:rFonts w:eastAsia="Times New Roman" w:cs="Times New Roman"/>
                <w:color w:val="53565A"/>
                <w:sz w:val="20"/>
                <w:lang w:eastAsia="en-AU"/>
              </w:rPr>
              <w:t>$700</w:t>
            </w:r>
          </w:p>
        </w:tc>
      </w:tr>
      <w:tr w:rsidR="00C100E9" w:rsidRPr="00975792" w:rsidTr="00E416A6">
        <w:trPr>
          <w:trHeight w:val="300"/>
        </w:trPr>
        <w:tc>
          <w:tcPr>
            <w:tcW w:w="5387" w:type="dxa"/>
            <w:shd w:val="clear" w:color="auto" w:fill="DBE5F1" w:themeFill="accent1" w:themeFillTint="33"/>
            <w:noWrap/>
            <w:vAlign w:val="bottom"/>
            <w:hideMark/>
          </w:tcPr>
          <w:p w:rsidR="00C100E9" w:rsidRPr="00975792" w:rsidRDefault="00C100E9" w:rsidP="00973C4B">
            <w:pPr>
              <w:rPr>
                <w:rFonts w:eastAsia="Times New Roman" w:cs="Times New Roman"/>
                <w:b/>
                <w:bCs/>
                <w:i/>
                <w:color w:val="53565A"/>
                <w:sz w:val="20"/>
                <w:lang w:eastAsia="en-AU"/>
              </w:rPr>
            </w:pPr>
            <w:r w:rsidRPr="00975792">
              <w:rPr>
                <w:rFonts w:eastAsia="Times New Roman" w:cs="Times New Roman"/>
                <w:b/>
                <w:bCs/>
                <w:i/>
                <w:color w:val="53565A"/>
                <w:sz w:val="20"/>
                <w:lang w:eastAsia="en-AU"/>
              </w:rPr>
              <w:t>Total training registration cost per person for 4 days</w:t>
            </w:r>
          </w:p>
        </w:tc>
        <w:tc>
          <w:tcPr>
            <w:tcW w:w="2996" w:type="dxa"/>
            <w:shd w:val="clear" w:color="auto" w:fill="DBE5F1" w:themeFill="accent1" w:themeFillTint="33"/>
            <w:noWrap/>
            <w:vAlign w:val="bottom"/>
            <w:hideMark/>
          </w:tcPr>
          <w:p w:rsidR="00C100E9" w:rsidRPr="00975792" w:rsidRDefault="00C100E9" w:rsidP="00973C4B">
            <w:pPr>
              <w:jc w:val="right"/>
              <w:rPr>
                <w:rFonts w:eastAsia="Times New Roman" w:cs="Times New Roman"/>
                <w:b/>
                <w:bCs/>
                <w:i/>
                <w:color w:val="53565A"/>
                <w:sz w:val="20"/>
                <w:lang w:eastAsia="en-AU"/>
              </w:rPr>
            </w:pPr>
            <w:r w:rsidRPr="00975792">
              <w:rPr>
                <w:rFonts w:eastAsia="Times New Roman" w:cs="Times New Roman"/>
                <w:b/>
                <w:bCs/>
                <w:i/>
                <w:color w:val="53565A"/>
                <w:sz w:val="20"/>
                <w:lang w:eastAsia="en-AU"/>
              </w:rPr>
              <w:t>$2,800</w:t>
            </w:r>
          </w:p>
        </w:tc>
      </w:tr>
    </w:tbl>
    <w:p w:rsidR="00C100E9" w:rsidRPr="00317780" w:rsidRDefault="00C100E9" w:rsidP="00C100E9">
      <w:pPr>
        <w:jc w:val="both"/>
        <w:rPr>
          <w:sz w:val="18"/>
        </w:rPr>
      </w:pPr>
      <w:r w:rsidRPr="00317780">
        <w:rPr>
          <w:sz w:val="18"/>
        </w:rPr>
        <w:t>*See Table A1.3 of Appendix 3 for source of estimate.</w:t>
      </w:r>
    </w:p>
    <w:p w:rsidR="00C100E9" w:rsidRDefault="00C100E9" w:rsidP="00C100E9">
      <w:pPr>
        <w:jc w:val="both"/>
      </w:pPr>
    </w:p>
    <w:p w:rsidR="00C100E9" w:rsidRDefault="00C100E9" w:rsidP="00C100E9">
      <w:pPr>
        <w:jc w:val="both"/>
      </w:pPr>
      <w:r>
        <w:t xml:space="preserve">The 10-year additional cost of </w:t>
      </w:r>
      <w:r w:rsidR="00874727">
        <w:t xml:space="preserve">enforcement </w:t>
      </w:r>
      <w:r>
        <w:t>training under Option</w:t>
      </w:r>
      <w:r w:rsidR="00874727">
        <w:t>s</w:t>
      </w:r>
      <w:r>
        <w:t xml:space="preserve"> 3</w:t>
      </w:r>
      <w:r w:rsidR="00874727">
        <w:t>, 5 and 6</w:t>
      </w:r>
      <w:r>
        <w:t xml:space="preserve"> is estimated to be $0.15m in present value dollars, as shown in Table A4.24.</w:t>
      </w:r>
    </w:p>
    <w:p w:rsidR="00C100E9" w:rsidRDefault="00C100E9" w:rsidP="00C100E9">
      <w:pPr>
        <w:jc w:val="both"/>
      </w:pPr>
    </w:p>
    <w:p w:rsidR="00C02451" w:rsidRDefault="00C02451">
      <w:pPr>
        <w:rPr>
          <w:b/>
        </w:rPr>
      </w:pPr>
      <w:r>
        <w:rPr>
          <w:b/>
        </w:rPr>
        <w:br w:type="page"/>
      </w:r>
    </w:p>
    <w:p w:rsidR="00C100E9" w:rsidRDefault="00C100E9" w:rsidP="00C100E9">
      <w:pPr>
        <w:jc w:val="center"/>
        <w:rPr>
          <w:b/>
        </w:rPr>
      </w:pPr>
      <w:r w:rsidRPr="00F460F0">
        <w:rPr>
          <w:b/>
        </w:rPr>
        <w:lastRenderedPageBreak/>
        <w:t>Table A</w:t>
      </w:r>
      <w:r>
        <w:rPr>
          <w:b/>
        </w:rPr>
        <w:t>4.24</w:t>
      </w:r>
      <w:r w:rsidRPr="00E256F2">
        <w:rPr>
          <w:b/>
        </w:rPr>
        <w:t>:</w:t>
      </w:r>
      <w:r w:rsidRPr="00E67529">
        <w:rPr>
          <w:b/>
        </w:rPr>
        <w:t xml:space="preserve"> Estimated </w:t>
      </w:r>
      <w:r>
        <w:rPr>
          <w:b/>
        </w:rPr>
        <w:t>10-year additional cost of enforcement training for GRV</w:t>
      </w:r>
    </w:p>
    <w:p w:rsidR="00C100E9" w:rsidRDefault="00C100E9" w:rsidP="00C100E9">
      <w:pPr>
        <w:jc w:val="both"/>
      </w:pPr>
    </w:p>
    <w:tbl>
      <w:tblPr>
        <w:tblW w:w="8373" w:type="dxa"/>
        <w:tblLook w:val="04A0" w:firstRow="1" w:lastRow="0" w:firstColumn="1" w:lastColumn="0" w:noHBand="0" w:noVBand="1"/>
      </w:tblPr>
      <w:tblGrid>
        <w:gridCol w:w="2410"/>
        <w:gridCol w:w="2268"/>
        <w:gridCol w:w="1051"/>
        <w:gridCol w:w="1359"/>
        <w:gridCol w:w="1285"/>
      </w:tblGrid>
      <w:tr w:rsidR="00C100E9" w:rsidRPr="00975792" w:rsidTr="0020429F">
        <w:trPr>
          <w:trHeight w:val="540"/>
        </w:trPr>
        <w:tc>
          <w:tcPr>
            <w:tcW w:w="2410" w:type="dxa"/>
            <w:tcBorders>
              <w:top w:val="single" w:sz="4" w:space="0" w:color="1F4E78"/>
              <w:left w:val="nil"/>
              <w:bottom w:val="double" w:sz="6" w:space="0" w:color="1F4E78"/>
              <w:right w:val="nil"/>
            </w:tcBorders>
            <w:shd w:val="clear" w:color="000000" w:fill="FFFFFF"/>
            <w:noWrap/>
            <w:vAlign w:val="bottom"/>
            <w:hideMark/>
          </w:tcPr>
          <w:p w:rsidR="00C100E9" w:rsidRPr="00975792" w:rsidRDefault="00C100E9" w:rsidP="00973C4B">
            <w:pP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Category of officer</w:t>
            </w:r>
          </w:p>
        </w:tc>
        <w:tc>
          <w:tcPr>
            <w:tcW w:w="2268"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Travel and training cost</w:t>
            </w:r>
          </w:p>
        </w:tc>
        <w:tc>
          <w:tcPr>
            <w:tcW w:w="1051"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No. officers</w:t>
            </w:r>
          </w:p>
        </w:tc>
        <w:tc>
          <w:tcPr>
            <w:tcW w:w="1359" w:type="dxa"/>
            <w:tcBorders>
              <w:top w:val="single" w:sz="4" w:space="0" w:color="1F4E78"/>
              <w:left w:val="nil"/>
              <w:bottom w:val="double" w:sz="6" w:space="0" w:color="1F4E78"/>
              <w:right w:val="nil"/>
            </w:tcBorders>
            <w:shd w:val="clear" w:color="000000" w:fill="FFFFFF"/>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One-off cost</w:t>
            </w:r>
          </w:p>
        </w:tc>
        <w:tc>
          <w:tcPr>
            <w:tcW w:w="1285" w:type="dxa"/>
            <w:tcBorders>
              <w:top w:val="single" w:sz="4" w:space="0" w:color="1F4E78"/>
              <w:left w:val="nil"/>
              <w:bottom w:val="double" w:sz="6" w:space="0" w:color="1F4E78"/>
              <w:right w:val="nil"/>
            </w:tcBorders>
            <w:shd w:val="clear" w:color="auto" w:fill="DBE5F1" w:themeFill="accent1" w:themeFillTint="33"/>
            <w:vAlign w:val="bottom"/>
            <w:hideMark/>
          </w:tcPr>
          <w:p w:rsidR="00C100E9" w:rsidRPr="00975792" w:rsidRDefault="00C100E9" w:rsidP="00973C4B">
            <w:pPr>
              <w:jc w:val="center"/>
              <w:rPr>
                <w:rFonts w:eastAsia="Times New Roman" w:cs="Times New Roman"/>
                <w:b/>
                <w:bCs/>
                <w:color w:val="53565A"/>
                <w:sz w:val="20"/>
                <w:szCs w:val="20"/>
                <w:lang w:eastAsia="en-AU"/>
              </w:rPr>
            </w:pPr>
            <w:r w:rsidRPr="00975792">
              <w:rPr>
                <w:rFonts w:eastAsia="Times New Roman" w:cs="Times New Roman"/>
                <w:b/>
                <w:bCs/>
                <w:color w:val="53565A"/>
                <w:sz w:val="20"/>
                <w:szCs w:val="20"/>
                <w:lang w:eastAsia="en-AU"/>
              </w:rPr>
              <w:t>10-year PV cost</w:t>
            </w:r>
          </w:p>
        </w:tc>
      </w:tr>
      <w:tr w:rsidR="00C100E9" w:rsidRPr="0094596D" w:rsidTr="0020429F">
        <w:trPr>
          <w:trHeight w:val="315"/>
        </w:trPr>
        <w:tc>
          <w:tcPr>
            <w:tcW w:w="2410" w:type="dxa"/>
            <w:tcBorders>
              <w:top w:val="nil"/>
              <w:left w:val="nil"/>
              <w:bottom w:val="nil"/>
              <w:right w:val="nil"/>
            </w:tcBorders>
            <w:shd w:val="clear" w:color="000000" w:fill="FFFFFF"/>
            <w:noWrap/>
            <w:vAlign w:val="bottom"/>
            <w:hideMark/>
          </w:tcPr>
          <w:p w:rsidR="00C100E9" w:rsidRPr="0094596D" w:rsidRDefault="00C100E9" w:rsidP="00973C4B">
            <w:pPr>
              <w:rPr>
                <w:rFonts w:eastAsia="Times New Roman" w:cs="Times New Roman"/>
                <w:sz w:val="20"/>
                <w:szCs w:val="20"/>
                <w:lang w:eastAsia="en-AU"/>
              </w:rPr>
            </w:pPr>
            <w:r w:rsidRPr="0094596D">
              <w:rPr>
                <w:rFonts w:eastAsia="Times New Roman" w:cs="Times New Roman"/>
                <w:sz w:val="20"/>
                <w:szCs w:val="20"/>
                <w:lang w:eastAsia="en-AU"/>
              </w:rPr>
              <w:t>Animal welfare inspector</w:t>
            </w:r>
          </w:p>
        </w:tc>
        <w:tc>
          <w:tcPr>
            <w:tcW w:w="2268"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$5,902</w:t>
            </w:r>
          </w:p>
        </w:tc>
        <w:tc>
          <w:tcPr>
            <w:tcW w:w="1051"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16</w:t>
            </w:r>
          </w:p>
        </w:tc>
        <w:tc>
          <w:tcPr>
            <w:tcW w:w="1359"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$94,429</w:t>
            </w:r>
          </w:p>
        </w:tc>
        <w:tc>
          <w:tcPr>
            <w:tcW w:w="1285" w:type="dxa"/>
            <w:tcBorders>
              <w:top w:val="nil"/>
              <w:left w:val="nil"/>
              <w:bottom w:val="nil"/>
              <w:right w:val="nil"/>
            </w:tcBorders>
            <w:shd w:val="clear" w:color="auto" w:fill="DBE5F1" w:themeFill="accent1" w:themeFillTint="33"/>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$94,429</w:t>
            </w:r>
          </w:p>
        </w:tc>
      </w:tr>
      <w:tr w:rsidR="00C100E9" w:rsidRPr="0094596D" w:rsidTr="0020429F">
        <w:trPr>
          <w:trHeight w:val="300"/>
        </w:trPr>
        <w:tc>
          <w:tcPr>
            <w:tcW w:w="2410" w:type="dxa"/>
            <w:tcBorders>
              <w:top w:val="nil"/>
              <w:left w:val="nil"/>
              <w:bottom w:val="nil"/>
              <w:right w:val="nil"/>
            </w:tcBorders>
            <w:shd w:val="clear" w:color="000000" w:fill="FFFFFF"/>
            <w:noWrap/>
            <w:vAlign w:val="bottom"/>
            <w:hideMark/>
          </w:tcPr>
          <w:p w:rsidR="00C100E9" w:rsidRPr="0094596D" w:rsidRDefault="00C100E9" w:rsidP="00973C4B">
            <w:pPr>
              <w:rPr>
                <w:rFonts w:eastAsia="Times New Roman" w:cs="Times New Roman"/>
                <w:sz w:val="20"/>
                <w:szCs w:val="20"/>
                <w:lang w:eastAsia="en-AU"/>
              </w:rPr>
            </w:pPr>
            <w:r w:rsidRPr="0094596D">
              <w:rPr>
                <w:rFonts w:eastAsia="Times New Roman" w:cs="Times New Roman"/>
                <w:sz w:val="20"/>
                <w:szCs w:val="20"/>
                <w:lang w:eastAsia="en-AU"/>
              </w:rPr>
              <w:t>Investigations unit officer</w:t>
            </w:r>
          </w:p>
        </w:tc>
        <w:tc>
          <w:tcPr>
            <w:tcW w:w="2268"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$6,497</w:t>
            </w:r>
          </w:p>
        </w:tc>
        <w:tc>
          <w:tcPr>
            <w:tcW w:w="1051"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8</w:t>
            </w:r>
          </w:p>
        </w:tc>
        <w:tc>
          <w:tcPr>
            <w:tcW w:w="1359" w:type="dxa"/>
            <w:tcBorders>
              <w:top w:val="nil"/>
              <w:left w:val="nil"/>
              <w:bottom w:val="nil"/>
              <w:right w:val="nil"/>
            </w:tcBorders>
            <w:shd w:val="clear" w:color="000000" w:fill="FFFFFF"/>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$51,978</w:t>
            </w:r>
          </w:p>
        </w:tc>
        <w:tc>
          <w:tcPr>
            <w:tcW w:w="1285" w:type="dxa"/>
            <w:tcBorders>
              <w:top w:val="nil"/>
              <w:left w:val="nil"/>
              <w:bottom w:val="nil"/>
              <w:right w:val="nil"/>
            </w:tcBorders>
            <w:shd w:val="clear" w:color="auto" w:fill="DBE5F1" w:themeFill="accent1" w:themeFillTint="33"/>
            <w:noWrap/>
            <w:vAlign w:val="bottom"/>
            <w:hideMark/>
          </w:tcPr>
          <w:p w:rsidR="00C100E9" w:rsidRPr="0094596D" w:rsidRDefault="00C100E9" w:rsidP="00973C4B">
            <w:pPr>
              <w:jc w:val="center"/>
              <w:rPr>
                <w:rFonts w:eastAsia="Times New Roman" w:cs="Times New Roman"/>
                <w:sz w:val="20"/>
                <w:szCs w:val="20"/>
                <w:lang w:eastAsia="en-AU"/>
              </w:rPr>
            </w:pPr>
            <w:r w:rsidRPr="0094596D">
              <w:rPr>
                <w:rFonts w:eastAsia="Times New Roman" w:cs="Times New Roman"/>
                <w:sz w:val="20"/>
                <w:szCs w:val="20"/>
                <w:lang w:eastAsia="en-AU"/>
              </w:rPr>
              <w:t>$51,978</w:t>
            </w:r>
          </w:p>
        </w:tc>
      </w:tr>
      <w:tr w:rsidR="00C100E9" w:rsidRPr="0094596D" w:rsidTr="00312B2C">
        <w:trPr>
          <w:trHeight w:val="300"/>
        </w:trPr>
        <w:tc>
          <w:tcPr>
            <w:tcW w:w="2410" w:type="dxa"/>
            <w:tcBorders>
              <w:top w:val="single" w:sz="4" w:space="0" w:color="1F4E78"/>
              <w:left w:val="nil"/>
              <w:bottom w:val="single" w:sz="4" w:space="0" w:color="244061" w:themeColor="accent1" w:themeShade="80"/>
              <w:right w:val="nil"/>
            </w:tcBorders>
            <w:shd w:val="clear" w:color="000000" w:fill="FFFFFF"/>
            <w:noWrap/>
            <w:vAlign w:val="bottom"/>
            <w:hideMark/>
          </w:tcPr>
          <w:p w:rsidR="00C100E9" w:rsidRPr="0094596D" w:rsidRDefault="00C100E9" w:rsidP="00973C4B">
            <w:pPr>
              <w:rPr>
                <w:rFonts w:eastAsia="Times New Roman" w:cs="Times New Roman"/>
                <w:b/>
                <w:bCs/>
                <w:i/>
                <w:iCs/>
                <w:sz w:val="20"/>
                <w:szCs w:val="20"/>
                <w:lang w:eastAsia="en-AU"/>
              </w:rPr>
            </w:pPr>
            <w:r w:rsidRPr="0094596D">
              <w:rPr>
                <w:rFonts w:eastAsia="Times New Roman" w:cs="Times New Roman"/>
                <w:b/>
                <w:bCs/>
                <w:i/>
                <w:iCs/>
                <w:sz w:val="20"/>
                <w:szCs w:val="20"/>
                <w:lang w:eastAsia="en-AU"/>
              </w:rPr>
              <w:t>Total</w:t>
            </w:r>
          </w:p>
        </w:tc>
        <w:tc>
          <w:tcPr>
            <w:tcW w:w="2268" w:type="dxa"/>
            <w:tcBorders>
              <w:top w:val="single" w:sz="4" w:space="0" w:color="1F4E78"/>
              <w:left w:val="nil"/>
              <w:bottom w:val="single" w:sz="4" w:space="0" w:color="244061" w:themeColor="accent1" w:themeShade="80"/>
              <w:right w:val="nil"/>
            </w:tcBorders>
            <w:shd w:val="clear" w:color="000000" w:fill="FFFFFF"/>
            <w:noWrap/>
            <w:vAlign w:val="bottom"/>
            <w:hideMark/>
          </w:tcPr>
          <w:p w:rsidR="00C100E9" w:rsidRPr="0094596D" w:rsidRDefault="00C100E9" w:rsidP="00973C4B">
            <w:pPr>
              <w:jc w:val="center"/>
              <w:rPr>
                <w:rFonts w:eastAsia="Times New Roman" w:cs="Times New Roman"/>
                <w:b/>
                <w:bCs/>
                <w:i/>
                <w:iCs/>
                <w:sz w:val="20"/>
                <w:szCs w:val="20"/>
                <w:lang w:eastAsia="en-AU"/>
              </w:rPr>
            </w:pPr>
            <w:r w:rsidRPr="0094596D">
              <w:rPr>
                <w:rFonts w:eastAsia="Times New Roman" w:cs="Times New Roman"/>
                <w:b/>
                <w:bCs/>
                <w:i/>
                <w:iCs/>
                <w:sz w:val="20"/>
                <w:szCs w:val="20"/>
                <w:lang w:eastAsia="en-AU"/>
              </w:rPr>
              <w:t> </w:t>
            </w:r>
          </w:p>
        </w:tc>
        <w:tc>
          <w:tcPr>
            <w:tcW w:w="1051" w:type="dxa"/>
            <w:tcBorders>
              <w:top w:val="single" w:sz="4" w:space="0" w:color="1F4E78"/>
              <w:left w:val="nil"/>
              <w:bottom w:val="single" w:sz="4" w:space="0" w:color="244061" w:themeColor="accent1" w:themeShade="80"/>
              <w:right w:val="nil"/>
            </w:tcBorders>
            <w:shd w:val="clear" w:color="000000" w:fill="FFFFFF"/>
            <w:noWrap/>
            <w:vAlign w:val="bottom"/>
            <w:hideMark/>
          </w:tcPr>
          <w:p w:rsidR="00C100E9" w:rsidRPr="0094596D" w:rsidRDefault="00C100E9" w:rsidP="00973C4B">
            <w:pPr>
              <w:jc w:val="center"/>
              <w:rPr>
                <w:rFonts w:eastAsia="Times New Roman" w:cs="Times New Roman"/>
                <w:b/>
                <w:bCs/>
                <w:i/>
                <w:iCs/>
                <w:sz w:val="20"/>
                <w:szCs w:val="20"/>
                <w:lang w:eastAsia="en-AU"/>
              </w:rPr>
            </w:pPr>
            <w:r w:rsidRPr="0094596D">
              <w:rPr>
                <w:rFonts w:eastAsia="Times New Roman" w:cs="Times New Roman"/>
                <w:b/>
                <w:bCs/>
                <w:i/>
                <w:iCs/>
                <w:sz w:val="20"/>
                <w:szCs w:val="20"/>
                <w:lang w:eastAsia="en-AU"/>
              </w:rPr>
              <w:t>24</w:t>
            </w:r>
          </w:p>
        </w:tc>
        <w:tc>
          <w:tcPr>
            <w:tcW w:w="1359" w:type="dxa"/>
            <w:tcBorders>
              <w:top w:val="single" w:sz="4" w:space="0" w:color="1F4E78"/>
              <w:left w:val="nil"/>
              <w:bottom w:val="single" w:sz="4" w:space="0" w:color="244061" w:themeColor="accent1" w:themeShade="80"/>
              <w:right w:val="nil"/>
            </w:tcBorders>
            <w:shd w:val="clear" w:color="000000" w:fill="FFFFFF"/>
            <w:noWrap/>
            <w:vAlign w:val="bottom"/>
            <w:hideMark/>
          </w:tcPr>
          <w:p w:rsidR="00C100E9" w:rsidRPr="0094596D" w:rsidRDefault="00C100E9" w:rsidP="00973C4B">
            <w:pPr>
              <w:jc w:val="center"/>
              <w:rPr>
                <w:rFonts w:eastAsia="Times New Roman" w:cs="Times New Roman"/>
                <w:b/>
                <w:bCs/>
                <w:i/>
                <w:iCs/>
                <w:sz w:val="20"/>
                <w:szCs w:val="20"/>
                <w:lang w:eastAsia="en-AU"/>
              </w:rPr>
            </w:pPr>
            <w:r w:rsidRPr="0094596D">
              <w:rPr>
                <w:rFonts w:eastAsia="Times New Roman" w:cs="Times New Roman"/>
                <w:b/>
                <w:bCs/>
                <w:i/>
                <w:iCs/>
                <w:sz w:val="20"/>
                <w:szCs w:val="20"/>
                <w:lang w:eastAsia="en-AU"/>
              </w:rPr>
              <w:t>$146,407</w:t>
            </w:r>
          </w:p>
        </w:tc>
        <w:tc>
          <w:tcPr>
            <w:tcW w:w="1285"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C100E9" w:rsidRPr="0094596D" w:rsidRDefault="00C100E9" w:rsidP="00973C4B">
            <w:pPr>
              <w:jc w:val="center"/>
              <w:rPr>
                <w:rFonts w:eastAsia="Times New Roman" w:cs="Times New Roman"/>
                <w:b/>
                <w:bCs/>
                <w:i/>
                <w:iCs/>
                <w:sz w:val="20"/>
                <w:szCs w:val="20"/>
                <w:lang w:eastAsia="en-AU"/>
              </w:rPr>
            </w:pPr>
            <w:r w:rsidRPr="0094596D">
              <w:rPr>
                <w:rFonts w:eastAsia="Times New Roman" w:cs="Times New Roman"/>
                <w:b/>
                <w:bCs/>
                <w:i/>
                <w:iCs/>
                <w:sz w:val="20"/>
                <w:szCs w:val="20"/>
                <w:lang w:eastAsia="en-AU"/>
              </w:rPr>
              <w:t>$146,407</w:t>
            </w:r>
          </w:p>
        </w:tc>
      </w:tr>
    </w:tbl>
    <w:p w:rsidR="001C0E3F" w:rsidRDefault="001C0E3F" w:rsidP="00C100E9">
      <w:pPr>
        <w:jc w:val="both"/>
      </w:pPr>
      <w:r>
        <w:br w:type="page"/>
      </w:r>
    </w:p>
    <w:p w:rsidR="00242891" w:rsidRPr="005F3BA9" w:rsidRDefault="00EA26DD" w:rsidP="00655CA6">
      <w:pPr>
        <w:pStyle w:val="Heading2"/>
      </w:pPr>
      <w:bookmarkStart w:id="267" w:name="_Toc469529232"/>
      <w:bookmarkStart w:id="268" w:name="_Toc477190256"/>
      <w:r w:rsidRPr="005F3BA9">
        <w:lastRenderedPageBreak/>
        <w:t>A4.17</w:t>
      </w:r>
      <w:r w:rsidR="00242891" w:rsidRPr="005F3BA9">
        <w:t xml:space="preserve"> – Summary</w:t>
      </w:r>
      <w:r w:rsidR="006431EA" w:rsidRPr="005F3BA9">
        <w:t xml:space="preserve"> and distribution</w:t>
      </w:r>
      <w:r w:rsidR="000D1D99" w:rsidRPr="005F3BA9">
        <w:t xml:space="preserve"> of total incremental costs - </w:t>
      </w:r>
      <w:r w:rsidR="00975792">
        <w:br/>
      </w:r>
      <w:r w:rsidR="00242891" w:rsidRPr="005F3BA9">
        <w:t>Options 1 to 6</w:t>
      </w:r>
      <w:bookmarkEnd w:id="267"/>
      <w:bookmarkEnd w:id="268"/>
    </w:p>
    <w:p w:rsidR="00C100E9" w:rsidRDefault="00EA26DD" w:rsidP="005E307C">
      <w:pPr>
        <w:pStyle w:val="Heading3"/>
      </w:pPr>
      <w:bookmarkStart w:id="269" w:name="_Toc469529233"/>
      <w:bookmarkStart w:id="270" w:name="_Toc477190257"/>
      <w:r>
        <w:t>A4.17</w:t>
      </w:r>
      <w:r w:rsidR="00242891">
        <w:t>.1</w:t>
      </w:r>
      <w:r w:rsidR="00C100E9">
        <w:t xml:space="preserve"> Summary of total incremental costs of Option </w:t>
      </w:r>
      <w:r w:rsidR="00242891">
        <w:t>1</w:t>
      </w:r>
      <w:bookmarkEnd w:id="269"/>
      <w:bookmarkEnd w:id="270"/>
    </w:p>
    <w:p w:rsidR="00C100E9" w:rsidRDefault="00C100E9" w:rsidP="00C100E9">
      <w:pPr>
        <w:jc w:val="both"/>
      </w:pPr>
      <w:r>
        <w:t>A total summary of net</w:t>
      </w:r>
      <w:r w:rsidR="000D1D99">
        <w:t xml:space="preserve"> incremental cost under Option 1</w:t>
      </w:r>
      <w:r>
        <w:t xml:space="preserve"> based on all estimations in </w:t>
      </w:r>
      <w:r w:rsidR="00EA26DD">
        <w:t>Sections A4.2 to A4.16</w:t>
      </w:r>
      <w:r>
        <w:t xml:space="preserve"> of Appendix </w:t>
      </w:r>
      <w:r w:rsidR="007D7A02">
        <w:t>4</w:t>
      </w:r>
      <w:r>
        <w:t xml:space="preserve"> is provided for in Table A4.25. The to</w:t>
      </w:r>
      <w:r w:rsidR="000D1D99">
        <w:t>tal additional cost</w:t>
      </w:r>
      <w:r w:rsidR="00222708">
        <w:t>s</w:t>
      </w:r>
      <w:r w:rsidR="000D1D99">
        <w:t xml:space="preserve"> (including media expenditure</w:t>
      </w:r>
      <w:r>
        <w:t xml:space="preserve">) of Option </w:t>
      </w:r>
      <w:r w:rsidR="000D1D99">
        <w:t>1</w:t>
      </w:r>
      <w:r>
        <w:t xml:space="preserve"> as compared to the base case is </w:t>
      </w:r>
      <w:r w:rsidR="00EA75BF">
        <w:t>-$7.9</w:t>
      </w:r>
      <w:r>
        <w:t>m</w:t>
      </w:r>
      <w:r w:rsidR="00B578CE">
        <w:t xml:space="preserve"> (i.e. cost savings)</w:t>
      </w:r>
      <w:r>
        <w:t xml:space="preserve"> over 10 years in present value d</w:t>
      </w:r>
      <w:r w:rsidR="00FC5B28">
        <w:t xml:space="preserve">ollars with one-off costs </w:t>
      </w:r>
      <w:r w:rsidR="00B578CE">
        <w:t>of $1.76m and annual cost</w:t>
      </w:r>
      <w:r w:rsidR="00FC5B28">
        <w:t>s</w:t>
      </w:r>
      <w:r>
        <w:t xml:space="preserve"> of </w:t>
      </w:r>
      <w:r w:rsidR="00EA75BF">
        <w:t>-$1.1</w:t>
      </w:r>
      <w:r w:rsidR="00593B27">
        <w:t>3</w:t>
      </w:r>
      <w:r>
        <w:t>m</w:t>
      </w:r>
      <w:r w:rsidR="00B578CE">
        <w:t xml:space="preserve"> (i.e. cost savings)</w:t>
      </w:r>
      <w:r>
        <w:t>.</w:t>
      </w:r>
    </w:p>
    <w:p w:rsidR="00C100E9" w:rsidRDefault="00C100E9" w:rsidP="00C100E9">
      <w:pPr>
        <w:jc w:val="both"/>
      </w:pPr>
    </w:p>
    <w:p w:rsidR="00C100E9" w:rsidRPr="000D1D99" w:rsidRDefault="00C100E9" w:rsidP="00C100E9">
      <w:pPr>
        <w:jc w:val="center"/>
        <w:rPr>
          <w:b/>
          <w:sz w:val="20"/>
        </w:rPr>
      </w:pPr>
      <w:r w:rsidRPr="000D1D99">
        <w:rPr>
          <w:b/>
          <w:sz w:val="20"/>
        </w:rPr>
        <w:t xml:space="preserve">Table A4.25: </w:t>
      </w:r>
      <w:r w:rsidR="00FC5B28">
        <w:rPr>
          <w:b/>
          <w:sz w:val="20"/>
        </w:rPr>
        <w:t xml:space="preserve">Summary of net incremental </w:t>
      </w:r>
      <w:r w:rsidR="000D1D99" w:rsidRPr="000D1D99">
        <w:rPr>
          <w:b/>
          <w:sz w:val="20"/>
        </w:rPr>
        <w:t>cost</w:t>
      </w:r>
      <w:r w:rsidR="00FC5B28">
        <w:rPr>
          <w:b/>
          <w:sz w:val="20"/>
        </w:rPr>
        <w:t>s</w:t>
      </w:r>
      <w:r w:rsidR="000D1D99" w:rsidRPr="000D1D99">
        <w:rPr>
          <w:b/>
          <w:sz w:val="20"/>
        </w:rPr>
        <w:t xml:space="preserve"> of Option 1</w:t>
      </w:r>
    </w:p>
    <w:p w:rsidR="00C100E9" w:rsidRDefault="00C100E9" w:rsidP="00C100E9">
      <w:pPr>
        <w:jc w:val="both"/>
      </w:pPr>
    </w:p>
    <w:tbl>
      <w:tblPr>
        <w:tblW w:w="9466" w:type="dxa"/>
        <w:jc w:val="center"/>
        <w:tblLayout w:type="fixed"/>
        <w:tblLook w:val="04A0" w:firstRow="1" w:lastRow="0" w:firstColumn="1" w:lastColumn="0" w:noHBand="0" w:noVBand="1"/>
      </w:tblPr>
      <w:tblGrid>
        <w:gridCol w:w="709"/>
        <w:gridCol w:w="1639"/>
        <w:gridCol w:w="1337"/>
        <w:gridCol w:w="1207"/>
        <w:gridCol w:w="1053"/>
        <w:gridCol w:w="1039"/>
        <w:gridCol w:w="1206"/>
        <w:gridCol w:w="1276"/>
      </w:tblGrid>
      <w:tr w:rsidR="00FC5B28" w:rsidRPr="00975792" w:rsidTr="00B13AD8">
        <w:trPr>
          <w:trHeight w:val="840"/>
          <w:tblHeader/>
          <w:jc w:val="center"/>
        </w:trPr>
        <w:tc>
          <w:tcPr>
            <w:tcW w:w="709" w:type="dxa"/>
            <w:tcBorders>
              <w:top w:val="single" w:sz="4" w:space="0" w:color="1F4E78"/>
              <w:left w:val="nil"/>
              <w:bottom w:val="double" w:sz="6" w:space="0" w:color="1F4E78"/>
              <w:right w:val="nil"/>
            </w:tcBorders>
            <w:shd w:val="clear" w:color="000000" w:fill="FFFFFF"/>
            <w:vAlign w:val="bottom"/>
            <w:hideMark/>
          </w:tcPr>
          <w:p w:rsidR="00FC5B28" w:rsidRPr="00975792" w:rsidRDefault="00620BCE" w:rsidP="00FC5B28">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S</w:t>
            </w:r>
            <w:r w:rsidR="008904B1" w:rsidRPr="00975792">
              <w:rPr>
                <w:rFonts w:eastAsia="Times New Roman" w:cs="Calibri"/>
                <w:b/>
                <w:bCs/>
                <w:color w:val="53565A"/>
                <w:sz w:val="20"/>
                <w:szCs w:val="20"/>
                <w:lang w:eastAsia="en-AU"/>
              </w:rPr>
              <w:t>td</w:t>
            </w:r>
            <w:r w:rsidR="00A03AA8" w:rsidRPr="00975792">
              <w:rPr>
                <w:rFonts w:eastAsia="Times New Roman" w:cs="Calibri"/>
                <w:b/>
                <w:bCs/>
                <w:color w:val="53565A"/>
                <w:sz w:val="20"/>
                <w:szCs w:val="20"/>
                <w:lang w:eastAsia="en-AU"/>
              </w:rPr>
              <w:t>.</w:t>
            </w:r>
          </w:p>
        </w:tc>
        <w:tc>
          <w:tcPr>
            <w:tcW w:w="1639"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description</w:t>
            </w:r>
          </w:p>
        </w:tc>
        <w:tc>
          <w:tcPr>
            <w:tcW w:w="1337"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incurred by</w:t>
            </w:r>
          </w:p>
        </w:tc>
        <w:tc>
          <w:tcPr>
            <w:tcW w:w="1207"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participants affected</w:t>
            </w:r>
          </w:p>
        </w:tc>
        <w:tc>
          <w:tcPr>
            <w:tcW w:w="1053"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animals affected</w:t>
            </w:r>
          </w:p>
        </w:tc>
        <w:tc>
          <w:tcPr>
            <w:tcW w:w="1039"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1206" w:type="dxa"/>
            <w:tcBorders>
              <w:top w:val="single" w:sz="4" w:space="0" w:color="1F4E78"/>
              <w:left w:val="nil"/>
              <w:bottom w:val="double" w:sz="6" w:space="0" w:color="1F4E78"/>
              <w:right w:val="nil"/>
            </w:tcBorders>
            <w:shd w:val="clear" w:color="000000" w:fill="FFFFFF"/>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276" w:type="dxa"/>
            <w:tcBorders>
              <w:top w:val="single" w:sz="4" w:space="0" w:color="1F4E78"/>
              <w:left w:val="nil"/>
              <w:bottom w:val="double" w:sz="6" w:space="0" w:color="1F4E78"/>
              <w:right w:val="nil"/>
            </w:tcBorders>
            <w:shd w:val="clear" w:color="auto" w:fill="DBE5F1" w:themeFill="accent1" w:themeFillTint="33"/>
            <w:vAlign w:val="bottom"/>
            <w:hideMark/>
          </w:tcPr>
          <w:p w:rsidR="00FC5B28" w:rsidRPr="00975792" w:rsidRDefault="00FC5B28" w:rsidP="00FC5B2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r>
      <w:tr w:rsidR="00FC5B28" w:rsidRPr="00FC5B28" w:rsidTr="00B13AD8">
        <w:trPr>
          <w:trHeight w:val="31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3.1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Staff Ratio 1:25</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975792" w:rsidTr="00B13AD8">
        <w:trPr>
          <w:trHeight w:val="27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3.1</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Staff Ratio 1:25</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3.6</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Independent VET</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Owners who are VETs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975792" w:rsidTr="00B13AD8">
        <w:trPr>
          <w:trHeight w:val="255"/>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3.6</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Independent VET</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management plans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management plans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$21,704</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$21,380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$202,051</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management plans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management plans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338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$49,409</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$49,438</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$466,435</w:t>
            </w:r>
          </w:p>
        </w:tc>
      </w:tr>
      <w:tr w:rsidR="00FC5B28" w:rsidRPr="00975792" w:rsidTr="00B13AD8">
        <w:trPr>
          <w:trHeight w:val="255"/>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4.1</w:t>
            </w:r>
          </w:p>
        </w:tc>
        <w:tc>
          <w:tcPr>
            <w:tcW w:w="1639" w:type="dxa"/>
            <w:tcBorders>
              <w:top w:val="nil"/>
              <w:left w:val="nil"/>
              <w:bottom w:val="single" w:sz="4" w:space="0" w:color="1F4E78"/>
              <w:right w:val="nil"/>
            </w:tcBorders>
            <w:shd w:val="clear" w:color="000000" w:fill="FFFFFF"/>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management plans</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$71,112</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$70,818</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$668,486</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 keeping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 keeping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$1,263</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$10,657</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 keeping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 keeping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338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$1,918</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$16,175</w:t>
            </w:r>
          </w:p>
        </w:tc>
      </w:tr>
      <w:tr w:rsidR="00FC5B28" w:rsidRPr="00975792" w:rsidTr="00B13AD8">
        <w:trPr>
          <w:trHeight w:val="255"/>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w:t>
            </w:r>
          </w:p>
        </w:tc>
        <w:tc>
          <w:tcPr>
            <w:tcW w:w="1639" w:type="dxa"/>
            <w:tcBorders>
              <w:top w:val="nil"/>
              <w:left w:val="nil"/>
              <w:bottom w:val="single" w:sz="4" w:space="0" w:color="1F4E78"/>
              <w:right w:val="nil"/>
            </w:tcBorders>
            <w:shd w:val="clear" w:color="000000" w:fill="FFFFFF"/>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 keeping</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$3,181</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$26,832</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Records of health &amp; transfer</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55"/>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Records of health &amp; transfer</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$2,021</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$17,051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Records of health &amp; transfer</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Records of health &amp; transfer</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338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$3,068</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$25,880</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5.2.1</w:t>
            </w:r>
          </w:p>
        </w:tc>
        <w:tc>
          <w:tcPr>
            <w:tcW w:w="1639" w:type="dxa"/>
            <w:tcBorders>
              <w:top w:val="nil"/>
              <w:left w:val="nil"/>
              <w:bottom w:val="single" w:sz="4" w:space="0" w:color="1F4E78"/>
              <w:right w:val="nil"/>
            </w:tcBorders>
            <w:shd w:val="clear" w:color="000000" w:fill="FFFFFF"/>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Records of health &amp; transfer</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$5,089</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$42,930</w:t>
            </w:r>
          </w:p>
        </w:tc>
      </w:tr>
      <w:tr w:rsidR="00FC5B28" w:rsidRPr="00FC5B28" w:rsidTr="00B13AD8">
        <w:trPr>
          <w:trHeight w:val="27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Food receptacle and hygiene</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Food receptacle and hygiene</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$2,225</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$2,924</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$26,892</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receptacle and hygiene</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178</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223</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$2,225</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$2,924</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$26,892</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Food storage</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Food storage</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lastRenderedPageBreak/>
              <w:t>6.1.1</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storage</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(breeding females)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1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(breeding females)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$6,281</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$52,984</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(breeding females)</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$6,281</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$52,984</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(all greyhounds)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1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(all greyhounds)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$26,701</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$225,232</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(all greyhounds)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Health checks (all greyhounds)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338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$40,528</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$341,865</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(all greyhounds)</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$67,229</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$567,097</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(8 to 16 weeks)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(8 to 16 weeks)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109</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$873</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$7,362</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(8 to 16 weeks)</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109</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$873</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$7,362</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(16 weeks to 18 months)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(16 weeks to 18 months)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109</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$70,832</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$597,491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(16 weeks to 18 months)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Rearing (16 weeks to 18 months)</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104</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$109,761</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$925,870</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(16 weeks to 18 months)</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21</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213</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$180,593</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$1,523,362</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Food and shelter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21</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-$12,114</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-$102,182</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Food and shelter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825</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-$472,383</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-$3,984,707</w:t>
            </w:r>
          </w:p>
        </w:tc>
      </w:tr>
      <w:tr w:rsidR="00EA75BF" w:rsidRPr="00FC5B28"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 (cost savings)</w:t>
            </w:r>
          </w:p>
        </w:tc>
        <w:tc>
          <w:tcPr>
            <w:tcW w:w="133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53"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0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206" w:type="dxa"/>
            <w:tcBorders>
              <w:top w:val="nil"/>
              <w:left w:val="nil"/>
              <w:bottom w:val="single" w:sz="4" w:space="0" w:color="1F4E78"/>
              <w:right w:val="nil"/>
            </w:tcBorders>
            <w:shd w:val="clear" w:color="000000" w:fill="FFFFFF"/>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-$484,497</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-$4,086,889</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Euthanasia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74</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-$8,838</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-$74,550</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Euthanasia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2,872</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-$344,642</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-$2,907,171</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Euthanasia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159</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-$19,120</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-$161,284</w:t>
            </w:r>
          </w:p>
        </w:tc>
      </w:tr>
      <w:tr w:rsidR="00EA75BF" w:rsidRPr="00FC5B28"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Euthanasia (cost savings)</w:t>
            </w:r>
          </w:p>
        </w:tc>
        <w:tc>
          <w:tcPr>
            <w:tcW w:w="133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53"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3,105</w:t>
            </w:r>
          </w:p>
        </w:tc>
        <w:tc>
          <w:tcPr>
            <w:tcW w:w="10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206" w:type="dxa"/>
            <w:tcBorders>
              <w:top w:val="nil"/>
              <w:left w:val="nil"/>
              <w:bottom w:val="single" w:sz="4" w:space="0" w:color="1F4E78"/>
              <w:right w:val="nil"/>
            </w:tcBorders>
            <w:shd w:val="clear" w:color="000000" w:fill="FFFFFF"/>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-$372,600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-$3,143,005</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Rehoming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39</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-$20,666</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-$174,324</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Rehoming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1,523</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-$805,892</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-$6,797,970</w:t>
            </w:r>
          </w:p>
        </w:tc>
      </w:tr>
      <w:tr w:rsidR="00593B27"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593B27" w:rsidRPr="00FC5B28" w:rsidRDefault="00593B27" w:rsidP="00593B27">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593B27" w:rsidRPr="00FC5B28" w:rsidRDefault="00593B27" w:rsidP="00593B27">
            <w:pPr>
              <w:rPr>
                <w:rFonts w:eastAsia="Times New Roman" w:cs="Calibri"/>
                <w:sz w:val="18"/>
                <w:szCs w:val="18"/>
                <w:lang w:eastAsia="en-AU"/>
              </w:rPr>
            </w:pPr>
            <w:r w:rsidRPr="00FC5B28">
              <w:rPr>
                <w:rFonts w:eastAsia="Times New Roman" w:cs="Calibri"/>
                <w:sz w:val="18"/>
                <w:szCs w:val="18"/>
                <w:lang w:eastAsia="en-AU"/>
              </w:rPr>
              <w:t>Rehoming (cost savings)</w:t>
            </w:r>
          </w:p>
        </w:tc>
        <w:tc>
          <w:tcPr>
            <w:tcW w:w="1337" w:type="dxa"/>
            <w:tcBorders>
              <w:top w:val="nil"/>
              <w:left w:val="nil"/>
              <w:bottom w:val="nil"/>
              <w:right w:val="nil"/>
            </w:tcBorders>
            <w:shd w:val="clear" w:color="000000" w:fill="FFFFFF"/>
            <w:noWrap/>
            <w:vAlign w:val="bottom"/>
            <w:hideMark/>
          </w:tcPr>
          <w:p w:rsidR="00593B27" w:rsidRPr="00FC5B28" w:rsidRDefault="00593B27" w:rsidP="00593B27">
            <w:pPr>
              <w:rPr>
                <w:rFonts w:eastAsia="Times New Roman" w:cs="Calibri"/>
                <w:sz w:val="18"/>
                <w:szCs w:val="18"/>
                <w:lang w:eastAsia="en-AU"/>
              </w:rPr>
            </w:pPr>
            <w:r w:rsidRPr="00FC5B2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593B27" w:rsidRPr="00FC5B28" w:rsidRDefault="00593B27" w:rsidP="00593B27">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593B27" w:rsidRPr="00FC5B28" w:rsidRDefault="00593B27" w:rsidP="00593B27">
            <w:pPr>
              <w:jc w:val="right"/>
              <w:rPr>
                <w:rFonts w:eastAsia="Times New Roman" w:cs="Calibri"/>
                <w:sz w:val="18"/>
                <w:szCs w:val="18"/>
                <w:lang w:eastAsia="en-AU"/>
              </w:rPr>
            </w:pPr>
            <w:r>
              <w:rPr>
                <w:rFonts w:cs="Calibri"/>
                <w:sz w:val="18"/>
                <w:szCs w:val="18"/>
              </w:rPr>
              <w:t>686</w:t>
            </w:r>
          </w:p>
        </w:tc>
        <w:tc>
          <w:tcPr>
            <w:tcW w:w="1039" w:type="dxa"/>
            <w:tcBorders>
              <w:top w:val="nil"/>
              <w:left w:val="nil"/>
              <w:bottom w:val="nil"/>
              <w:right w:val="nil"/>
            </w:tcBorders>
            <w:shd w:val="clear" w:color="000000" w:fill="FFFFFF"/>
            <w:noWrap/>
            <w:vAlign w:val="bottom"/>
            <w:hideMark/>
          </w:tcPr>
          <w:p w:rsidR="00593B27" w:rsidRPr="00FC5B28" w:rsidRDefault="00593B27" w:rsidP="00593B27">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593B27" w:rsidRPr="00FC5B28" w:rsidRDefault="00593B27" w:rsidP="00593B27">
            <w:pPr>
              <w:jc w:val="right"/>
              <w:rPr>
                <w:rFonts w:eastAsia="Times New Roman" w:cs="Calibri"/>
                <w:color w:val="FF0000"/>
                <w:sz w:val="18"/>
                <w:szCs w:val="18"/>
                <w:lang w:eastAsia="en-AU"/>
              </w:rPr>
            </w:pPr>
            <w:r>
              <w:rPr>
                <w:rFonts w:cs="Calibri"/>
                <w:color w:val="FF0000"/>
                <w:sz w:val="18"/>
                <w:szCs w:val="18"/>
              </w:rPr>
              <w:t>-$426,099</w:t>
            </w:r>
          </w:p>
        </w:tc>
        <w:tc>
          <w:tcPr>
            <w:tcW w:w="1276" w:type="dxa"/>
            <w:tcBorders>
              <w:top w:val="nil"/>
              <w:left w:val="nil"/>
              <w:bottom w:val="nil"/>
              <w:right w:val="nil"/>
            </w:tcBorders>
            <w:shd w:val="clear" w:color="auto" w:fill="DBE5F1" w:themeFill="accent1" w:themeFillTint="33"/>
            <w:noWrap/>
            <w:vAlign w:val="bottom"/>
            <w:hideMark/>
          </w:tcPr>
          <w:p w:rsidR="00593B27" w:rsidRPr="00FC5B28" w:rsidRDefault="00593B27" w:rsidP="00593B27">
            <w:pPr>
              <w:jc w:val="right"/>
              <w:rPr>
                <w:rFonts w:eastAsia="Times New Roman" w:cs="Calibri"/>
                <w:color w:val="FF0000"/>
                <w:sz w:val="18"/>
                <w:szCs w:val="18"/>
                <w:lang w:eastAsia="en-AU"/>
              </w:rPr>
            </w:pPr>
            <w:r>
              <w:rPr>
                <w:rFonts w:cs="Calibri"/>
                <w:color w:val="FF0000"/>
                <w:sz w:val="18"/>
                <w:szCs w:val="18"/>
              </w:rPr>
              <w:t>-$3,594,283</w:t>
            </w:r>
          </w:p>
        </w:tc>
      </w:tr>
      <w:tr w:rsidR="00593B27" w:rsidRPr="00FC5B28"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 (cost savings)</w:t>
            </w:r>
          </w:p>
        </w:tc>
        <w:tc>
          <w:tcPr>
            <w:tcW w:w="1337"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53"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1,562</w:t>
            </w:r>
          </w:p>
        </w:tc>
        <w:tc>
          <w:tcPr>
            <w:tcW w:w="103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206" w:type="dxa"/>
            <w:tcBorders>
              <w:top w:val="nil"/>
              <w:left w:val="nil"/>
              <w:bottom w:val="single" w:sz="4" w:space="0" w:color="1F4E78"/>
              <w:right w:val="nil"/>
            </w:tcBorders>
            <w:shd w:val="clear" w:color="000000" w:fill="FFFFFF"/>
            <w:noWrap/>
            <w:vAlign w:val="bottom"/>
            <w:hideMark/>
          </w:tcPr>
          <w:p w:rsidR="00593B27" w:rsidRPr="00FC5B28" w:rsidRDefault="00593B27" w:rsidP="00593B27">
            <w:pPr>
              <w:jc w:val="right"/>
              <w:rPr>
                <w:rFonts w:eastAsia="Times New Roman" w:cs="Calibri"/>
                <w:b/>
                <w:bCs/>
                <w:color w:val="FF0000"/>
                <w:sz w:val="18"/>
                <w:szCs w:val="18"/>
                <w:lang w:eastAsia="en-AU"/>
              </w:rPr>
            </w:pPr>
            <w:r>
              <w:rPr>
                <w:rFonts w:cs="Calibri"/>
                <w:b/>
                <w:bCs/>
                <w:color w:val="FF0000"/>
                <w:sz w:val="18"/>
                <w:szCs w:val="18"/>
              </w:rPr>
              <w:t>-$1,252,657</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593B27" w:rsidRPr="00FC5B28" w:rsidRDefault="00593B27" w:rsidP="00593B27">
            <w:pPr>
              <w:jc w:val="right"/>
              <w:rPr>
                <w:rFonts w:eastAsia="Times New Roman" w:cs="Calibri"/>
                <w:b/>
                <w:bCs/>
                <w:color w:val="FF0000"/>
                <w:sz w:val="18"/>
                <w:szCs w:val="18"/>
                <w:lang w:eastAsia="en-AU"/>
              </w:rPr>
            </w:pPr>
            <w:r>
              <w:rPr>
                <w:rFonts w:cs="Calibri"/>
                <w:b/>
                <w:bCs/>
                <w:color w:val="FF0000"/>
                <w:sz w:val="18"/>
                <w:szCs w:val="18"/>
              </w:rPr>
              <w:t>-$10,566,577</w:t>
            </w:r>
          </w:p>
        </w:tc>
      </w:tr>
      <w:tr w:rsidR="00EA75BF"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EA75BF" w:rsidRPr="00FC5B28" w:rsidRDefault="00EA75BF" w:rsidP="00EA75BF">
            <w:pPr>
              <w:jc w:val="center"/>
              <w:rPr>
                <w:rFonts w:eastAsia="Times New Roman" w:cs="Calibri"/>
                <w:sz w:val="18"/>
                <w:szCs w:val="18"/>
                <w:lang w:eastAsia="en-AU"/>
              </w:rPr>
            </w:pPr>
            <w:r w:rsidRPr="00FC5B28">
              <w:rPr>
                <w:rFonts w:eastAsia="Times New Roman" w:cs="Calibri"/>
                <w:sz w:val="18"/>
                <w:szCs w:val="18"/>
                <w:lang w:eastAsia="en-AU"/>
              </w:rPr>
              <w:lastRenderedPageBreak/>
              <w:t>6.3.12</w:t>
            </w:r>
          </w:p>
        </w:tc>
        <w:tc>
          <w:tcPr>
            <w:tcW w:w="1639"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Rehabilitation (cost savings)</w:t>
            </w:r>
          </w:p>
        </w:tc>
        <w:tc>
          <w:tcPr>
            <w:tcW w:w="1337" w:type="dxa"/>
            <w:tcBorders>
              <w:top w:val="nil"/>
              <w:left w:val="nil"/>
              <w:bottom w:val="nil"/>
              <w:right w:val="nil"/>
            </w:tcBorders>
            <w:shd w:val="clear" w:color="000000" w:fill="FFFFFF"/>
            <w:noWrap/>
            <w:vAlign w:val="bottom"/>
            <w:hideMark/>
          </w:tcPr>
          <w:p w:rsidR="00EA75BF" w:rsidRPr="00FC5B28" w:rsidRDefault="00EA75BF" w:rsidP="00EA75BF">
            <w:pPr>
              <w:rPr>
                <w:rFonts w:eastAsia="Times New Roman" w:cs="Calibri"/>
                <w:sz w:val="18"/>
                <w:szCs w:val="18"/>
                <w:lang w:eastAsia="en-AU"/>
              </w:rPr>
            </w:pPr>
            <w:r w:rsidRPr="00FC5B2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846</w:t>
            </w:r>
          </w:p>
        </w:tc>
        <w:tc>
          <w:tcPr>
            <w:tcW w:w="1039"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sz w:val="18"/>
                <w:szCs w:val="18"/>
                <w:lang w:eastAsia="en-AU"/>
              </w:rPr>
            </w:pPr>
            <w:r>
              <w:rPr>
                <w:rFonts w:cs="Calibri"/>
                <w:sz w:val="18"/>
                <w:szCs w:val="18"/>
              </w:rPr>
              <w:t>$0</w:t>
            </w:r>
          </w:p>
        </w:tc>
        <w:tc>
          <w:tcPr>
            <w:tcW w:w="1206" w:type="dxa"/>
            <w:tcBorders>
              <w:top w:val="nil"/>
              <w:left w:val="nil"/>
              <w:bottom w:val="nil"/>
              <w:right w:val="nil"/>
            </w:tcBorders>
            <w:shd w:val="clear" w:color="000000" w:fill="FFFFFF"/>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-$741,856</w:t>
            </w:r>
          </w:p>
        </w:tc>
        <w:tc>
          <w:tcPr>
            <w:tcW w:w="1276" w:type="dxa"/>
            <w:tcBorders>
              <w:top w:val="nil"/>
              <w:left w:val="nil"/>
              <w:bottom w:val="nil"/>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color w:val="FF0000"/>
                <w:sz w:val="18"/>
                <w:szCs w:val="18"/>
                <w:lang w:eastAsia="en-AU"/>
              </w:rPr>
            </w:pPr>
            <w:r>
              <w:rPr>
                <w:rFonts w:cs="Calibri"/>
                <w:color w:val="FF0000"/>
                <w:sz w:val="18"/>
                <w:szCs w:val="18"/>
              </w:rPr>
              <w:t>-$6,257,801</w:t>
            </w:r>
          </w:p>
        </w:tc>
      </w:tr>
      <w:tr w:rsidR="00EA75BF" w:rsidRPr="00FC5B28"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 (cost savings)</w:t>
            </w:r>
          </w:p>
        </w:tc>
        <w:tc>
          <w:tcPr>
            <w:tcW w:w="133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53"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039" w:type="dxa"/>
            <w:tcBorders>
              <w:top w:val="nil"/>
              <w:left w:val="nil"/>
              <w:bottom w:val="single" w:sz="4" w:space="0" w:color="1F4E78"/>
              <w:right w:val="nil"/>
            </w:tcBorders>
            <w:shd w:val="clear" w:color="000000" w:fill="FFFFFF"/>
            <w:noWrap/>
            <w:vAlign w:val="bottom"/>
            <w:hideMark/>
          </w:tcPr>
          <w:p w:rsidR="00EA75BF" w:rsidRPr="00975792" w:rsidRDefault="00EA75BF" w:rsidP="00EA75BF">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206" w:type="dxa"/>
            <w:tcBorders>
              <w:top w:val="nil"/>
              <w:left w:val="nil"/>
              <w:bottom w:val="single" w:sz="4" w:space="0" w:color="1F4E78"/>
              <w:right w:val="nil"/>
            </w:tcBorders>
            <w:shd w:val="clear" w:color="000000" w:fill="FFFFFF"/>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-$741,856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EA75BF" w:rsidRPr="00FC5B28" w:rsidRDefault="00EA75BF" w:rsidP="00EA75BF">
            <w:pPr>
              <w:jc w:val="right"/>
              <w:rPr>
                <w:rFonts w:eastAsia="Times New Roman" w:cs="Calibri"/>
                <w:b/>
                <w:bCs/>
                <w:color w:val="FF0000"/>
                <w:sz w:val="18"/>
                <w:szCs w:val="18"/>
                <w:lang w:eastAsia="en-AU"/>
              </w:rPr>
            </w:pPr>
            <w:r>
              <w:rPr>
                <w:rFonts w:cs="Calibri"/>
                <w:b/>
                <w:bCs/>
                <w:color w:val="FF0000"/>
                <w:sz w:val="18"/>
                <w:szCs w:val="18"/>
              </w:rPr>
              <w:t>-$6,257,801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Rehabilitation</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25</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$14,017</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$118,238</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Rehabilitation</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982</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$546,607</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$4,610,815</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1,008</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$560,624</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$4,729,053</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Rehoming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25</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$7,558</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$63,750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Rehoming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982</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$294,714</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$2,486,014</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1,008</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$302,272</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$2,549,764</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Euthanasia</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$11,754</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$99,146</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Euthanasia</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3406</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3,820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$458,346</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$3,866,297</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Euthanasia</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3,917</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$470,099</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$3,965,443</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Food and shelter</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1,008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$53,877</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$454,472</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Euthanasia</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$1,209</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$10,199</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shelter/euthanasia</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1,018</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$55,086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$464,671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Perimeter fencing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Perimeter fencing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178</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223</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$107,828</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$107,828</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Perimeter fencing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Perimeter fencing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338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$310,203</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$310,203</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6.6.4 </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Perimeter fencing</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590</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$418,031</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$418,031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Outdoor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Outdoor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55</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$155,466</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$155,466</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Outdoor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Outdoor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7</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52</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$148,008</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$148,008</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6.6.5 </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Outdoor housing</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106</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$303,474</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$303,474</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Indoor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Indoor housing</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19</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144</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$3,656</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$3,656</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6.6.6</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Indoor housing</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144</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$3,656</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$3,656</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Sale and transfer out of industry</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Sale and transfer out of industry</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58</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$65</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$551</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Sale and transfer out of industry</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Sale and transfer out of industry</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12</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87</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$99</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$836</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Sale and transfer out of industry</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145</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$416</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$3,505</w:t>
            </w:r>
          </w:p>
        </w:tc>
      </w:tr>
      <w:tr w:rsidR="00FC5B28" w:rsidRPr="00975792" w:rsidTr="00B13AD8">
        <w:trPr>
          <w:trHeight w:val="240"/>
          <w:jc w:val="center"/>
        </w:trPr>
        <w:tc>
          <w:tcPr>
            <w:tcW w:w="70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7.1</w:t>
            </w:r>
          </w:p>
        </w:tc>
        <w:tc>
          <w:tcPr>
            <w:tcW w:w="16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Sale and transfer out of industry</w:t>
            </w:r>
          </w:p>
        </w:tc>
        <w:tc>
          <w:tcPr>
            <w:tcW w:w="133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w:t>
            </w:r>
          </w:p>
        </w:tc>
        <w:tc>
          <w:tcPr>
            <w:tcW w:w="1053"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145</w:t>
            </w:r>
          </w:p>
        </w:tc>
        <w:tc>
          <w:tcPr>
            <w:tcW w:w="1039"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6" w:type="dxa"/>
            <w:tcBorders>
              <w:top w:val="nil"/>
              <w:left w:val="nil"/>
              <w:bottom w:val="single" w:sz="4" w:space="0" w:color="1F4E78"/>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$580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$4,892</w:t>
            </w:r>
          </w:p>
        </w:tc>
      </w:tr>
      <w:tr w:rsidR="00FC5B28" w:rsidRPr="00FC5B28"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FC5B28" w:rsidRDefault="00FC5B28" w:rsidP="00FC5B28">
            <w:pPr>
              <w:jc w:val="center"/>
              <w:rPr>
                <w:rFonts w:eastAsia="Times New Roman" w:cs="Calibri"/>
                <w:sz w:val="18"/>
                <w:szCs w:val="18"/>
                <w:lang w:eastAsia="en-AU"/>
              </w:rPr>
            </w:pPr>
            <w:r w:rsidRPr="00FC5B28">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Media campaign</w:t>
            </w:r>
          </w:p>
        </w:tc>
        <w:tc>
          <w:tcPr>
            <w:tcW w:w="1337" w:type="dxa"/>
            <w:tcBorders>
              <w:top w:val="nil"/>
              <w:left w:val="nil"/>
              <w:bottom w:val="nil"/>
              <w:right w:val="nil"/>
            </w:tcBorders>
            <w:shd w:val="clear" w:color="000000" w:fill="FFFFFF"/>
            <w:noWrap/>
            <w:vAlign w:val="bottom"/>
            <w:hideMark/>
          </w:tcPr>
          <w:p w:rsidR="00FC5B28" w:rsidRPr="00FC5B28" w:rsidRDefault="00FC5B28" w:rsidP="00FC5B28">
            <w:pPr>
              <w:rPr>
                <w:rFonts w:eastAsia="Times New Roman" w:cs="Calibri"/>
                <w:sz w:val="18"/>
                <w:szCs w:val="18"/>
                <w:lang w:eastAsia="en-AU"/>
              </w:rPr>
            </w:pPr>
            <w:r w:rsidRPr="00FC5B28">
              <w:rPr>
                <w:rFonts w:eastAsia="Times New Roman" w:cs="Calibri"/>
                <w:sz w:val="18"/>
                <w:szCs w:val="18"/>
                <w:lang w:eastAsia="en-AU"/>
              </w:rPr>
              <w:t>DEDJTR</w:t>
            </w:r>
          </w:p>
        </w:tc>
        <w:tc>
          <w:tcPr>
            <w:tcW w:w="1207"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1</w:t>
            </w:r>
          </w:p>
        </w:tc>
        <w:tc>
          <w:tcPr>
            <w:tcW w:w="1053"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560</w:t>
            </w:r>
          </w:p>
        </w:tc>
        <w:tc>
          <w:tcPr>
            <w:tcW w:w="1039"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$964,600</w:t>
            </w:r>
          </w:p>
        </w:tc>
        <w:tc>
          <w:tcPr>
            <w:tcW w:w="1206" w:type="dxa"/>
            <w:tcBorders>
              <w:top w:val="nil"/>
              <w:left w:val="nil"/>
              <w:bottom w:val="nil"/>
              <w:right w:val="nil"/>
            </w:tcBorders>
            <w:shd w:val="clear" w:color="000000" w:fill="FFFFFF"/>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FC5B28" w:rsidRDefault="00FC5B28" w:rsidP="00FC5B28">
            <w:pPr>
              <w:jc w:val="right"/>
              <w:rPr>
                <w:rFonts w:eastAsia="Times New Roman" w:cs="Calibri"/>
                <w:sz w:val="18"/>
                <w:szCs w:val="18"/>
                <w:lang w:eastAsia="en-AU"/>
              </w:rPr>
            </w:pPr>
            <w:r w:rsidRPr="00FC5B28">
              <w:rPr>
                <w:rFonts w:eastAsia="Times New Roman" w:cs="Calibri"/>
                <w:sz w:val="18"/>
                <w:szCs w:val="18"/>
                <w:lang w:eastAsia="en-AU"/>
              </w:rPr>
              <w:t>$964,600</w:t>
            </w:r>
          </w:p>
        </w:tc>
      </w:tr>
      <w:tr w:rsidR="00FC5B28" w:rsidRPr="00975792" w:rsidTr="00B13AD8">
        <w:trPr>
          <w:trHeight w:val="240"/>
          <w:jc w:val="center"/>
        </w:trPr>
        <w:tc>
          <w:tcPr>
            <w:tcW w:w="709" w:type="dxa"/>
            <w:tcBorders>
              <w:top w:val="nil"/>
              <w:left w:val="nil"/>
              <w:bottom w:val="nil"/>
              <w:right w:val="nil"/>
            </w:tcBorders>
            <w:shd w:val="clear" w:color="000000" w:fill="FFFFFF"/>
            <w:noWrap/>
            <w:vAlign w:val="bottom"/>
            <w:hideMark/>
          </w:tcPr>
          <w:p w:rsidR="00FC5B28" w:rsidRPr="00975792" w:rsidRDefault="00FC5B28" w:rsidP="00FC5B2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w:t>
            </w:r>
          </w:p>
        </w:tc>
        <w:tc>
          <w:tcPr>
            <w:tcW w:w="1639" w:type="dxa"/>
            <w:tcBorders>
              <w:top w:val="nil"/>
              <w:left w:val="nil"/>
              <w:bottom w:val="nil"/>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Media campaign</w:t>
            </w:r>
          </w:p>
        </w:tc>
        <w:tc>
          <w:tcPr>
            <w:tcW w:w="1337" w:type="dxa"/>
            <w:tcBorders>
              <w:top w:val="nil"/>
              <w:left w:val="nil"/>
              <w:bottom w:val="nil"/>
              <w:right w:val="nil"/>
            </w:tcBorders>
            <w:shd w:val="clear" w:color="000000" w:fill="FFFFFF"/>
            <w:noWrap/>
            <w:vAlign w:val="bottom"/>
            <w:hideMark/>
          </w:tcPr>
          <w:p w:rsidR="00FC5B28" w:rsidRPr="00975792" w:rsidRDefault="00FC5B28" w:rsidP="00FC5B2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nil"/>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53" w:type="dxa"/>
            <w:tcBorders>
              <w:top w:val="nil"/>
              <w:left w:val="nil"/>
              <w:bottom w:val="nil"/>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560</w:t>
            </w:r>
          </w:p>
        </w:tc>
        <w:tc>
          <w:tcPr>
            <w:tcW w:w="1039" w:type="dxa"/>
            <w:tcBorders>
              <w:top w:val="nil"/>
              <w:left w:val="nil"/>
              <w:bottom w:val="nil"/>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$964,600</w:t>
            </w:r>
          </w:p>
        </w:tc>
        <w:tc>
          <w:tcPr>
            <w:tcW w:w="1206" w:type="dxa"/>
            <w:tcBorders>
              <w:top w:val="nil"/>
              <w:left w:val="nil"/>
              <w:bottom w:val="nil"/>
              <w:right w:val="nil"/>
            </w:tcBorders>
            <w:shd w:val="clear" w:color="000000" w:fill="FFFFFF"/>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FC5B28" w:rsidRPr="00975792" w:rsidRDefault="00FC5B28" w:rsidP="00FC5B2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$964,600</w:t>
            </w:r>
          </w:p>
        </w:tc>
      </w:tr>
      <w:tr w:rsidR="00FA59B1" w:rsidRPr="00FC5B28" w:rsidTr="00B13AD8">
        <w:trPr>
          <w:trHeight w:val="240"/>
          <w:jc w:val="center"/>
        </w:trPr>
        <w:tc>
          <w:tcPr>
            <w:tcW w:w="709"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rPr>
                <w:rFonts w:eastAsia="Times New Roman" w:cs="Calibri"/>
                <w:b/>
                <w:bCs/>
                <w:i/>
                <w:iCs/>
                <w:sz w:val="18"/>
                <w:szCs w:val="18"/>
                <w:lang w:eastAsia="en-AU"/>
              </w:rPr>
            </w:pPr>
            <w:r w:rsidRPr="00FC5B28">
              <w:rPr>
                <w:rFonts w:eastAsia="Times New Roman" w:cs="Calibri"/>
                <w:b/>
                <w:bCs/>
                <w:i/>
                <w:iCs/>
                <w:sz w:val="18"/>
                <w:szCs w:val="18"/>
                <w:lang w:eastAsia="en-AU"/>
              </w:rPr>
              <w:t>Total</w:t>
            </w:r>
          </w:p>
        </w:tc>
        <w:tc>
          <w:tcPr>
            <w:tcW w:w="1639"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rPr>
                <w:rFonts w:eastAsia="Times New Roman" w:cs="Calibri"/>
                <w:b/>
                <w:bCs/>
                <w:i/>
                <w:iCs/>
                <w:sz w:val="18"/>
                <w:szCs w:val="18"/>
                <w:lang w:eastAsia="en-AU"/>
              </w:rPr>
            </w:pPr>
            <w:r w:rsidRPr="00FC5B28">
              <w:rPr>
                <w:rFonts w:eastAsia="Times New Roman" w:cs="Calibri"/>
                <w:b/>
                <w:bCs/>
                <w:i/>
                <w:iCs/>
                <w:sz w:val="18"/>
                <w:szCs w:val="18"/>
                <w:lang w:eastAsia="en-AU"/>
              </w:rPr>
              <w:t> </w:t>
            </w:r>
          </w:p>
        </w:tc>
        <w:tc>
          <w:tcPr>
            <w:tcW w:w="1337"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rPr>
                <w:rFonts w:eastAsia="Times New Roman" w:cs="Calibri"/>
                <w:b/>
                <w:bCs/>
                <w:i/>
                <w:iCs/>
                <w:sz w:val="18"/>
                <w:szCs w:val="18"/>
                <w:lang w:eastAsia="en-AU"/>
              </w:rPr>
            </w:pPr>
            <w:r w:rsidRPr="00FC5B28">
              <w:rPr>
                <w:rFonts w:eastAsia="Times New Roman" w:cs="Calibri"/>
                <w:b/>
                <w:bCs/>
                <w:i/>
                <w:iCs/>
                <w:sz w:val="18"/>
                <w:szCs w:val="18"/>
                <w:lang w:eastAsia="en-AU"/>
              </w:rPr>
              <w:t> </w:t>
            </w:r>
          </w:p>
        </w:tc>
        <w:tc>
          <w:tcPr>
            <w:tcW w:w="1207"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rPr>
                <w:rFonts w:eastAsia="Times New Roman" w:cs="Calibri"/>
                <w:b/>
                <w:bCs/>
                <w:i/>
                <w:iCs/>
                <w:sz w:val="18"/>
                <w:szCs w:val="18"/>
                <w:lang w:eastAsia="en-AU"/>
              </w:rPr>
            </w:pPr>
            <w:r w:rsidRPr="00FC5B28">
              <w:rPr>
                <w:rFonts w:eastAsia="Times New Roman" w:cs="Calibri"/>
                <w:b/>
                <w:bCs/>
                <w:i/>
                <w:iCs/>
                <w:sz w:val="18"/>
                <w:szCs w:val="18"/>
                <w:lang w:eastAsia="en-AU"/>
              </w:rPr>
              <w:t> </w:t>
            </w:r>
          </w:p>
        </w:tc>
        <w:tc>
          <w:tcPr>
            <w:tcW w:w="1053"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rPr>
                <w:rFonts w:eastAsia="Times New Roman" w:cs="Calibri"/>
                <w:b/>
                <w:bCs/>
                <w:i/>
                <w:iCs/>
                <w:sz w:val="18"/>
                <w:szCs w:val="18"/>
                <w:lang w:eastAsia="en-AU"/>
              </w:rPr>
            </w:pPr>
            <w:r w:rsidRPr="00FC5B28">
              <w:rPr>
                <w:rFonts w:eastAsia="Times New Roman" w:cs="Calibri"/>
                <w:b/>
                <w:bCs/>
                <w:i/>
                <w:iCs/>
                <w:sz w:val="18"/>
                <w:szCs w:val="18"/>
                <w:lang w:eastAsia="en-AU"/>
              </w:rPr>
              <w:t> </w:t>
            </w:r>
          </w:p>
        </w:tc>
        <w:tc>
          <w:tcPr>
            <w:tcW w:w="1039"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jc w:val="right"/>
              <w:rPr>
                <w:rFonts w:eastAsia="Times New Roman" w:cs="Calibri"/>
                <w:b/>
                <w:bCs/>
                <w:i/>
                <w:iCs/>
                <w:sz w:val="18"/>
                <w:szCs w:val="18"/>
                <w:lang w:eastAsia="en-AU"/>
              </w:rPr>
            </w:pPr>
            <w:r w:rsidRPr="00FC5B28">
              <w:rPr>
                <w:rFonts w:eastAsia="Times New Roman" w:cs="Calibri"/>
                <w:b/>
                <w:bCs/>
                <w:i/>
                <w:iCs/>
                <w:sz w:val="18"/>
                <w:szCs w:val="18"/>
                <w:lang w:eastAsia="en-AU"/>
              </w:rPr>
              <w:t>$1,763,099</w:t>
            </w:r>
          </w:p>
        </w:tc>
        <w:tc>
          <w:tcPr>
            <w:tcW w:w="1206" w:type="dxa"/>
            <w:tcBorders>
              <w:top w:val="single" w:sz="4" w:space="0" w:color="1F4E78"/>
              <w:left w:val="nil"/>
              <w:bottom w:val="single" w:sz="4" w:space="0" w:color="1F4E78"/>
              <w:right w:val="nil"/>
            </w:tcBorders>
            <w:shd w:val="clear" w:color="000000" w:fill="FFFFFF"/>
            <w:noWrap/>
            <w:vAlign w:val="bottom"/>
            <w:hideMark/>
          </w:tcPr>
          <w:p w:rsidR="00FA59B1" w:rsidRPr="00FC5B28" w:rsidRDefault="00FA59B1" w:rsidP="00FA59B1">
            <w:pPr>
              <w:jc w:val="right"/>
              <w:rPr>
                <w:rFonts w:eastAsia="Times New Roman" w:cs="Calibri"/>
                <w:b/>
                <w:bCs/>
                <w:i/>
                <w:iCs/>
                <w:sz w:val="18"/>
                <w:szCs w:val="18"/>
                <w:lang w:eastAsia="en-AU"/>
              </w:rPr>
            </w:pPr>
            <w:r>
              <w:rPr>
                <w:rFonts w:cs="Calibri"/>
                <w:b/>
                <w:bCs/>
                <w:i/>
                <w:iCs/>
                <w:color w:val="FF0000"/>
                <w:sz w:val="18"/>
                <w:szCs w:val="18"/>
              </w:rPr>
              <w:t>-$1,125,959</w:t>
            </w:r>
          </w:p>
        </w:tc>
        <w:tc>
          <w:tcPr>
            <w:tcW w:w="1276" w:type="dxa"/>
            <w:tcBorders>
              <w:top w:val="single" w:sz="4" w:space="0" w:color="1F4E78"/>
              <w:left w:val="nil"/>
              <w:bottom w:val="single" w:sz="4" w:space="0" w:color="1F4E78"/>
              <w:right w:val="nil"/>
            </w:tcBorders>
            <w:shd w:val="clear" w:color="auto" w:fill="DBE5F1" w:themeFill="accent1" w:themeFillTint="33"/>
            <w:noWrap/>
            <w:vAlign w:val="bottom"/>
            <w:hideMark/>
          </w:tcPr>
          <w:p w:rsidR="00FA59B1" w:rsidRPr="00FC5B28" w:rsidRDefault="00FA59B1" w:rsidP="00FA59B1">
            <w:pPr>
              <w:jc w:val="right"/>
              <w:rPr>
                <w:rFonts w:eastAsia="Times New Roman" w:cs="Calibri"/>
                <w:b/>
                <w:bCs/>
                <w:i/>
                <w:iCs/>
                <w:sz w:val="18"/>
                <w:szCs w:val="18"/>
                <w:lang w:eastAsia="en-AU"/>
              </w:rPr>
            </w:pPr>
            <w:r>
              <w:rPr>
                <w:rFonts w:cs="Calibri"/>
                <w:b/>
                <w:bCs/>
                <w:i/>
                <w:iCs/>
                <w:color w:val="FF0000"/>
                <w:sz w:val="18"/>
                <w:szCs w:val="18"/>
              </w:rPr>
              <w:t>-$7,734,742</w:t>
            </w:r>
          </w:p>
        </w:tc>
      </w:tr>
    </w:tbl>
    <w:p w:rsidR="00C100E9" w:rsidRDefault="00C100E9" w:rsidP="00C100E9">
      <w:pPr>
        <w:jc w:val="both"/>
      </w:pPr>
    </w:p>
    <w:p w:rsidR="006431EA" w:rsidRDefault="006431EA" w:rsidP="00C100E9">
      <w:pPr>
        <w:jc w:val="both"/>
      </w:pPr>
    </w:p>
    <w:p w:rsidR="006431EA" w:rsidRDefault="006431EA" w:rsidP="00C100E9">
      <w:pPr>
        <w:jc w:val="both"/>
      </w:pPr>
    </w:p>
    <w:p w:rsidR="00C100E9" w:rsidRDefault="00EA26DD" w:rsidP="005E307C">
      <w:pPr>
        <w:pStyle w:val="Heading3"/>
      </w:pPr>
      <w:bookmarkStart w:id="271" w:name="_Toc469529234"/>
      <w:bookmarkStart w:id="272" w:name="_Toc477190258"/>
      <w:r>
        <w:lastRenderedPageBreak/>
        <w:t>A4.17</w:t>
      </w:r>
      <w:r w:rsidR="009351B9">
        <w:t>.2</w:t>
      </w:r>
      <w:r w:rsidR="00C100E9">
        <w:t xml:space="preserve"> Distribution of total incremental costs of Option </w:t>
      </w:r>
      <w:r w:rsidR="009351B9">
        <w:t>1</w:t>
      </w:r>
      <w:bookmarkEnd w:id="271"/>
      <w:bookmarkEnd w:id="272"/>
    </w:p>
    <w:p w:rsidR="00C100E9" w:rsidRDefault="00C100E9" w:rsidP="00C100E9">
      <w:pPr>
        <w:jc w:val="both"/>
      </w:pPr>
      <w:r>
        <w:t>A total summary of the dist</w:t>
      </w:r>
      <w:r w:rsidR="009351B9">
        <w:t>ribution of costs under Option 1</w:t>
      </w:r>
      <w:r>
        <w:t xml:space="preserve"> based on all estimates in Table A4.25 is provided for in Table A4.26.</w:t>
      </w:r>
      <w:r w:rsidR="007B521C">
        <w:t xml:space="preserve"> </w:t>
      </w:r>
      <w:r>
        <w:t xml:space="preserve">The largest share of </w:t>
      </w:r>
      <w:r w:rsidR="00FA3037">
        <w:t xml:space="preserve">10-year present value </w:t>
      </w:r>
      <w:r>
        <w:t xml:space="preserve">cost is incurred by small </w:t>
      </w:r>
      <w:r w:rsidR="00FA3037">
        <w:t>owners (67.18</w:t>
      </w:r>
      <w:r>
        <w:t xml:space="preserve">%) followed by small </w:t>
      </w:r>
      <w:r w:rsidR="00FA3037">
        <w:t xml:space="preserve">trainers (13.72%) </w:t>
      </w:r>
      <w:r>
        <w:t xml:space="preserve">small </w:t>
      </w:r>
      <w:r w:rsidR="00FA3037">
        <w:t>breeders (8.60</w:t>
      </w:r>
      <w:r>
        <w:t>%)</w:t>
      </w:r>
      <w:r w:rsidR="00FA3037">
        <w:t xml:space="preserve"> and DEDJTR (5.91%)</w:t>
      </w:r>
      <w:r>
        <w:t>.</w:t>
      </w:r>
      <w:r w:rsidR="007B521C">
        <w:t xml:space="preserve"> </w:t>
      </w:r>
      <w:r>
        <w:t>Small owners are also likely to o</w:t>
      </w:r>
      <w:r w:rsidR="003347AE">
        <w:t>btain the highest share of 56.</w:t>
      </w:r>
      <w:r w:rsidR="00593B27">
        <w:t>91</w:t>
      </w:r>
      <w:r>
        <w:t>% of all</w:t>
      </w:r>
      <w:r w:rsidR="00FA3037">
        <w:t xml:space="preserve"> 10-year present value</w:t>
      </w:r>
      <w:r>
        <w:t xml:space="preserve"> </w:t>
      </w:r>
      <w:r w:rsidR="00FA3037">
        <w:t>c</w:t>
      </w:r>
      <w:r w:rsidR="003347AE">
        <w:t>ost savings, followed by GAP (4</w:t>
      </w:r>
      <w:r w:rsidR="00593B27">
        <w:t>1</w:t>
      </w:r>
      <w:r w:rsidR="003347AE">
        <w:t>.</w:t>
      </w:r>
      <w:r w:rsidR="00593B27">
        <w:t>63</w:t>
      </w:r>
      <w:r w:rsidR="00FA3037">
        <w:t>%) under Option 1</w:t>
      </w:r>
      <w:r>
        <w:t>.</w:t>
      </w:r>
    </w:p>
    <w:p w:rsidR="00C100E9" w:rsidRDefault="00C100E9" w:rsidP="00C100E9">
      <w:pPr>
        <w:jc w:val="both"/>
      </w:pPr>
    </w:p>
    <w:p w:rsidR="00C100E9" w:rsidRPr="000A087D" w:rsidRDefault="00C100E9" w:rsidP="00C100E9">
      <w:pPr>
        <w:jc w:val="center"/>
        <w:rPr>
          <w:b/>
          <w:sz w:val="20"/>
        </w:rPr>
      </w:pPr>
      <w:r w:rsidRPr="000A087D">
        <w:rPr>
          <w:b/>
          <w:sz w:val="20"/>
        </w:rPr>
        <w:t xml:space="preserve">Table A4.26: Distribution of 10-year additional cost of </w:t>
      </w:r>
      <w:r w:rsidR="009351B9" w:rsidRPr="000A087D">
        <w:rPr>
          <w:b/>
          <w:sz w:val="20"/>
        </w:rPr>
        <w:t>Option 1</w:t>
      </w:r>
    </w:p>
    <w:p w:rsidR="00C100E9" w:rsidRDefault="00C100E9" w:rsidP="00C100E9">
      <w:pPr>
        <w:jc w:val="both"/>
      </w:pPr>
    </w:p>
    <w:tbl>
      <w:tblPr>
        <w:tblW w:w="8367" w:type="dxa"/>
        <w:tblLook w:val="04A0" w:firstRow="1" w:lastRow="0" w:firstColumn="1" w:lastColumn="0" w:noHBand="0" w:noVBand="1"/>
      </w:tblPr>
      <w:tblGrid>
        <w:gridCol w:w="2093"/>
        <w:gridCol w:w="1374"/>
        <w:gridCol w:w="2028"/>
        <w:gridCol w:w="1380"/>
        <w:gridCol w:w="1492"/>
      </w:tblGrid>
      <w:tr w:rsidR="009351B9" w:rsidRPr="00975792" w:rsidTr="00503B24">
        <w:trPr>
          <w:trHeight w:val="525"/>
        </w:trPr>
        <w:tc>
          <w:tcPr>
            <w:tcW w:w="2093" w:type="dxa"/>
            <w:tcBorders>
              <w:top w:val="single" w:sz="4" w:space="0" w:color="1F4E78"/>
              <w:left w:val="nil"/>
              <w:bottom w:val="double" w:sz="6" w:space="0" w:color="1F4E78"/>
              <w:right w:val="nil"/>
            </w:tcBorders>
            <w:shd w:val="clear" w:color="000000" w:fill="FFFFFF"/>
            <w:vAlign w:val="bottom"/>
            <w:hideMark/>
          </w:tcPr>
          <w:p w:rsidR="009351B9" w:rsidRPr="00975792" w:rsidRDefault="009351B9" w:rsidP="009351B9">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Category of participant</w:t>
            </w:r>
          </w:p>
        </w:tc>
        <w:tc>
          <w:tcPr>
            <w:tcW w:w="1374" w:type="dxa"/>
            <w:tcBorders>
              <w:top w:val="single" w:sz="4" w:space="0" w:color="1F4E78"/>
              <w:left w:val="nil"/>
              <w:bottom w:val="double" w:sz="6" w:space="0" w:color="1F4E78"/>
              <w:right w:val="nil"/>
            </w:tcBorders>
            <w:shd w:val="clear" w:color="000000" w:fill="FFFFFF"/>
            <w:vAlign w:val="bottom"/>
            <w:hideMark/>
          </w:tcPr>
          <w:p w:rsidR="009351B9" w:rsidRPr="00975792" w:rsidRDefault="009351B9" w:rsidP="009351B9">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2028" w:type="dxa"/>
            <w:tcBorders>
              <w:top w:val="single" w:sz="4" w:space="0" w:color="1F4E78"/>
              <w:left w:val="nil"/>
              <w:bottom w:val="double" w:sz="6" w:space="0" w:color="1F4E78"/>
              <w:right w:val="nil"/>
            </w:tcBorders>
            <w:shd w:val="clear" w:color="000000" w:fill="FFFFFF"/>
            <w:vAlign w:val="bottom"/>
            <w:hideMark/>
          </w:tcPr>
          <w:p w:rsidR="009351B9" w:rsidRPr="00975792" w:rsidRDefault="009351B9" w:rsidP="009351B9">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bottom"/>
            <w:hideMark/>
          </w:tcPr>
          <w:p w:rsidR="009351B9" w:rsidRPr="00975792" w:rsidRDefault="009351B9" w:rsidP="009351B9">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c>
          <w:tcPr>
            <w:tcW w:w="1492" w:type="dxa"/>
            <w:tcBorders>
              <w:top w:val="single" w:sz="4" w:space="0" w:color="1F4E78"/>
              <w:left w:val="nil"/>
              <w:bottom w:val="double" w:sz="6" w:space="0" w:color="1F4E78"/>
              <w:right w:val="nil"/>
            </w:tcBorders>
            <w:shd w:val="clear" w:color="auto" w:fill="DBE5F1" w:themeFill="accent1" w:themeFillTint="33"/>
            <w:vAlign w:val="bottom"/>
            <w:hideMark/>
          </w:tcPr>
          <w:p w:rsidR="009351B9" w:rsidRPr="00975792" w:rsidRDefault="009351B9" w:rsidP="009351B9">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 of 10-year PV cost</w:t>
            </w:r>
          </w:p>
        </w:tc>
      </w:tr>
      <w:tr w:rsidR="009351B9" w:rsidRPr="009351B9" w:rsidTr="00503B24">
        <w:trPr>
          <w:trHeight w:val="255"/>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Large breeder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0.00%</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Small breeder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$287,222</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$132,341</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$1,403,564</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8.60%</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Large trainer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0.00%</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Small trainer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$511,277</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$204,811</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$2,238,929</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13.72%</w:t>
            </w:r>
          </w:p>
        </w:tc>
      </w:tr>
      <w:tr w:rsidR="009351B9" w:rsidRPr="009351B9" w:rsidTr="00503B24">
        <w:trPr>
          <w:trHeight w:val="240"/>
        </w:trPr>
        <w:tc>
          <w:tcPr>
            <w:tcW w:w="2093" w:type="dxa"/>
            <w:tcBorders>
              <w:top w:val="nil"/>
              <w:left w:val="nil"/>
              <w:bottom w:val="nil"/>
              <w:right w:val="nil"/>
            </w:tcBorders>
            <w:shd w:val="clear" w:color="000000" w:fill="FFFFFF"/>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Large owner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$33,328</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$281,133</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1.72%</w:t>
            </w:r>
          </w:p>
        </w:tc>
      </w:tr>
      <w:tr w:rsidR="009351B9" w:rsidRPr="009351B9" w:rsidTr="00503B24">
        <w:trPr>
          <w:trHeight w:val="240"/>
        </w:trPr>
        <w:tc>
          <w:tcPr>
            <w:tcW w:w="2093" w:type="dxa"/>
            <w:tcBorders>
              <w:top w:val="nil"/>
              <w:left w:val="nil"/>
              <w:bottom w:val="nil"/>
              <w:right w:val="nil"/>
            </w:tcBorders>
            <w:shd w:val="clear" w:color="000000" w:fill="FFFFFF"/>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Small owner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$1,299,668</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$10,963,127</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67.18%</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GAP</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$55,086</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$464,671</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2.85%</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GRV</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$416</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$3,505</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0.02%</w:t>
            </w:r>
          </w:p>
        </w:tc>
      </w:tr>
      <w:tr w:rsidR="009351B9" w:rsidRPr="009351B9" w:rsidTr="00503B24">
        <w:trPr>
          <w:trHeight w:val="240"/>
        </w:trPr>
        <w:tc>
          <w:tcPr>
            <w:tcW w:w="2093" w:type="dxa"/>
            <w:tcBorders>
              <w:top w:val="nil"/>
              <w:left w:val="nil"/>
              <w:bottom w:val="nil"/>
              <w:right w:val="nil"/>
            </w:tcBorders>
            <w:shd w:val="clear" w:color="000000" w:fill="FFFFFF"/>
            <w:noWrap/>
            <w:vAlign w:val="bottom"/>
            <w:hideMark/>
          </w:tcPr>
          <w:p w:rsidR="009351B9" w:rsidRPr="009351B9" w:rsidRDefault="009351B9" w:rsidP="009351B9">
            <w:pPr>
              <w:rPr>
                <w:rFonts w:eastAsia="Times New Roman" w:cs="Calibri"/>
                <w:sz w:val="18"/>
                <w:szCs w:val="18"/>
                <w:lang w:eastAsia="en-AU"/>
              </w:rPr>
            </w:pPr>
            <w:r w:rsidRPr="009351B9">
              <w:rPr>
                <w:rFonts w:eastAsia="Times New Roman" w:cs="Calibri"/>
                <w:sz w:val="18"/>
                <w:szCs w:val="18"/>
                <w:lang w:eastAsia="en-AU"/>
              </w:rPr>
              <w:t>DEDJTR</w:t>
            </w:r>
          </w:p>
        </w:tc>
        <w:tc>
          <w:tcPr>
            <w:tcW w:w="1374"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$964,600</w:t>
            </w:r>
          </w:p>
        </w:tc>
        <w:tc>
          <w:tcPr>
            <w:tcW w:w="2028"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$0</w:t>
            </w:r>
          </w:p>
        </w:tc>
        <w:tc>
          <w:tcPr>
            <w:tcW w:w="1380" w:type="dxa"/>
            <w:tcBorders>
              <w:top w:val="nil"/>
              <w:left w:val="nil"/>
              <w:bottom w:val="nil"/>
              <w:right w:val="nil"/>
            </w:tcBorders>
            <w:shd w:val="clear" w:color="000000" w:fill="FFFFFF"/>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$964,600</w:t>
            </w:r>
          </w:p>
        </w:tc>
        <w:tc>
          <w:tcPr>
            <w:tcW w:w="1492" w:type="dxa"/>
            <w:tcBorders>
              <w:top w:val="nil"/>
              <w:left w:val="nil"/>
              <w:bottom w:val="nil"/>
              <w:right w:val="nil"/>
            </w:tcBorders>
            <w:shd w:val="clear" w:color="auto" w:fill="DBE5F1" w:themeFill="accent1" w:themeFillTint="33"/>
            <w:noWrap/>
            <w:vAlign w:val="bottom"/>
            <w:hideMark/>
          </w:tcPr>
          <w:p w:rsidR="009351B9" w:rsidRPr="009351B9" w:rsidRDefault="009351B9" w:rsidP="009351B9">
            <w:pPr>
              <w:jc w:val="right"/>
              <w:rPr>
                <w:rFonts w:eastAsia="Times New Roman" w:cs="Calibri"/>
                <w:sz w:val="18"/>
                <w:szCs w:val="18"/>
                <w:lang w:eastAsia="en-AU"/>
              </w:rPr>
            </w:pPr>
            <w:r w:rsidRPr="009351B9">
              <w:rPr>
                <w:rFonts w:eastAsia="Times New Roman" w:cs="Calibri"/>
                <w:sz w:val="18"/>
                <w:szCs w:val="18"/>
                <w:lang w:eastAsia="en-AU"/>
              </w:rPr>
              <w:t>5.91%</w:t>
            </w:r>
          </w:p>
        </w:tc>
      </w:tr>
      <w:tr w:rsidR="009351B9" w:rsidRPr="00975792" w:rsidTr="00503B24">
        <w:trPr>
          <w:trHeight w:val="240"/>
        </w:trPr>
        <w:tc>
          <w:tcPr>
            <w:tcW w:w="2093" w:type="dxa"/>
            <w:tcBorders>
              <w:top w:val="single" w:sz="4" w:space="0" w:color="1F4E78"/>
              <w:left w:val="nil"/>
              <w:bottom w:val="single" w:sz="4" w:space="0" w:color="1F4E78"/>
              <w:right w:val="nil"/>
            </w:tcBorders>
            <w:shd w:val="clear" w:color="000000" w:fill="FFFFFF"/>
            <w:noWrap/>
            <w:vAlign w:val="bottom"/>
            <w:hideMark/>
          </w:tcPr>
          <w:p w:rsidR="009351B9" w:rsidRPr="00975792" w:rsidRDefault="009351B9" w:rsidP="009351B9">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 costs</w:t>
            </w:r>
          </w:p>
        </w:tc>
        <w:tc>
          <w:tcPr>
            <w:tcW w:w="1374" w:type="dxa"/>
            <w:tcBorders>
              <w:top w:val="single" w:sz="4" w:space="0" w:color="1F4E78"/>
              <w:left w:val="nil"/>
              <w:bottom w:val="single" w:sz="4" w:space="0" w:color="1F4E78"/>
              <w:right w:val="nil"/>
            </w:tcBorders>
            <w:shd w:val="clear" w:color="000000" w:fill="FFFFFF"/>
            <w:noWrap/>
            <w:vAlign w:val="bottom"/>
            <w:hideMark/>
          </w:tcPr>
          <w:p w:rsidR="009351B9" w:rsidRPr="00975792" w:rsidRDefault="009351B9" w:rsidP="009351B9">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$1,763,099</w:t>
            </w:r>
          </w:p>
        </w:tc>
        <w:tc>
          <w:tcPr>
            <w:tcW w:w="2028" w:type="dxa"/>
            <w:tcBorders>
              <w:top w:val="single" w:sz="4" w:space="0" w:color="1F4E78"/>
              <w:left w:val="nil"/>
              <w:bottom w:val="single" w:sz="4" w:space="0" w:color="1F4E78"/>
              <w:right w:val="nil"/>
            </w:tcBorders>
            <w:shd w:val="clear" w:color="000000" w:fill="FFFFFF"/>
            <w:noWrap/>
            <w:vAlign w:val="bottom"/>
            <w:hideMark/>
          </w:tcPr>
          <w:p w:rsidR="009351B9" w:rsidRPr="00975792" w:rsidRDefault="009351B9" w:rsidP="009351B9">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$1,725,650</w:t>
            </w:r>
          </w:p>
        </w:tc>
        <w:tc>
          <w:tcPr>
            <w:tcW w:w="1380" w:type="dxa"/>
            <w:tcBorders>
              <w:top w:val="single" w:sz="4" w:space="0" w:color="1F4E78"/>
              <w:left w:val="nil"/>
              <w:bottom w:val="single" w:sz="4" w:space="0" w:color="1F4E78"/>
              <w:right w:val="nil"/>
            </w:tcBorders>
            <w:shd w:val="clear" w:color="000000" w:fill="FFFFFF"/>
            <w:noWrap/>
            <w:vAlign w:val="bottom"/>
            <w:hideMark/>
          </w:tcPr>
          <w:p w:rsidR="009351B9" w:rsidRPr="00975792" w:rsidRDefault="009351B9" w:rsidP="009351B9">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$16,319,529</w:t>
            </w:r>
          </w:p>
        </w:tc>
        <w:tc>
          <w:tcPr>
            <w:tcW w:w="1492" w:type="dxa"/>
            <w:tcBorders>
              <w:top w:val="single" w:sz="4" w:space="0" w:color="1F4E78"/>
              <w:left w:val="nil"/>
              <w:bottom w:val="single" w:sz="4" w:space="0" w:color="1F4E78"/>
              <w:right w:val="nil"/>
            </w:tcBorders>
            <w:shd w:val="clear" w:color="auto" w:fill="DBE5F1" w:themeFill="accent1" w:themeFillTint="33"/>
            <w:noWrap/>
            <w:vAlign w:val="bottom"/>
            <w:hideMark/>
          </w:tcPr>
          <w:p w:rsidR="009351B9" w:rsidRPr="00975792" w:rsidRDefault="009351B9" w:rsidP="009351B9">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100.00%</w:t>
            </w:r>
          </w:p>
        </w:tc>
      </w:tr>
      <w:tr w:rsidR="003347AE" w:rsidRPr="009351B9" w:rsidTr="00503B24">
        <w:trPr>
          <w:trHeight w:val="240"/>
        </w:trPr>
        <w:tc>
          <w:tcPr>
            <w:tcW w:w="2093" w:type="dxa"/>
            <w:tcBorders>
              <w:top w:val="nil"/>
              <w:left w:val="nil"/>
              <w:bottom w:val="nil"/>
              <w:right w:val="nil"/>
            </w:tcBorders>
            <w:shd w:val="clear" w:color="000000" w:fill="FFFFFF"/>
            <w:noWrap/>
            <w:vAlign w:val="bottom"/>
            <w:hideMark/>
          </w:tcPr>
          <w:p w:rsidR="003347AE" w:rsidRPr="009351B9" w:rsidRDefault="003347AE" w:rsidP="003347AE">
            <w:pPr>
              <w:rPr>
                <w:rFonts w:eastAsia="Times New Roman" w:cs="Calibri"/>
                <w:sz w:val="18"/>
                <w:szCs w:val="18"/>
                <w:lang w:eastAsia="en-AU"/>
              </w:rPr>
            </w:pPr>
            <w:r w:rsidRPr="009351B9">
              <w:rPr>
                <w:rFonts w:eastAsia="Times New Roman" w:cs="Calibri"/>
                <w:sz w:val="18"/>
                <w:szCs w:val="18"/>
                <w:lang w:eastAsia="en-AU"/>
              </w:rPr>
              <w:t>Large owner</w:t>
            </w:r>
          </w:p>
        </w:tc>
        <w:tc>
          <w:tcPr>
            <w:tcW w:w="1374"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2028"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Pr>
                <w:rFonts w:cs="Calibri"/>
                <w:color w:val="FF0000"/>
                <w:sz w:val="18"/>
                <w:szCs w:val="18"/>
              </w:rPr>
              <w:t>-$351,056</w:t>
            </w:r>
          </w:p>
        </w:tc>
        <w:tc>
          <w:tcPr>
            <w:tcW w:w="1492" w:type="dxa"/>
            <w:tcBorders>
              <w:top w:val="nil"/>
              <w:left w:val="nil"/>
              <w:bottom w:val="nil"/>
              <w:right w:val="nil"/>
            </w:tcBorders>
            <w:shd w:val="clear" w:color="auto" w:fill="DBE5F1" w:themeFill="accent1" w:themeFillTint="33"/>
            <w:noWrap/>
            <w:vAlign w:val="bottom"/>
            <w:hideMark/>
          </w:tcPr>
          <w:p w:rsidR="003347AE" w:rsidRPr="009351B9" w:rsidRDefault="003347AE" w:rsidP="003347AE">
            <w:pPr>
              <w:jc w:val="right"/>
              <w:rPr>
                <w:rFonts w:eastAsia="Times New Roman" w:cs="Calibri"/>
                <w:sz w:val="18"/>
                <w:szCs w:val="18"/>
                <w:lang w:eastAsia="en-AU"/>
              </w:rPr>
            </w:pPr>
            <w:r>
              <w:rPr>
                <w:rFonts w:cs="Calibri"/>
                <w:sz w:val="18"/>
                <w:szCs w:val="18"/>
              </w:rPr>
              <w:t>1.4</w:t>
            </w:r>
            <w:r w:rsidR="00FA59B1">
              <w:rPr>
                <w:rFonts w:cs="Calibri"/>
                <w:sz w:val="18"/>
                <w:szCs w:val="18"/>
              </w:rPr>
              <w:t>6</w:t>
            </w:r>
            <w:r>
              <w:rPr>
                <w:rFonts w:cs="Calibri"/>
                <w:sz w:val="18"/>
                <w:szCs w:val="18"/>
              </w:rPr>
              <w:t>%</w:t>
            </w:r>
          </w:p>
        </w:tc>
      </w:tr>
      <w:tr w:rsidR="003347AE" w:rsidRPr="009351B9" w:rsidTr="00503B24">
        <w:trPr>
          <w:trHeight w:val="240"/>
        </w:trPr>
        <w:tc>
          <w:tcPr>
            <w:tcW w:w="2093" w:type="dxa"/>
            <w:tcBorders>
              <w:top w:val="nil"/>
              <w:left w:val="nil"/>
              <w:bottom w:val="nil"/>
              <w:right w:val="nil"/>
            </w:tcBorders>
            <w:shd w:val="clear" w:color="000000" w:fill="FFFFFF"/>
            <w:noWrap/>
            <w:vAlign w:val="bottom"/>
            <w:hideMark/>
          </w:tcPr>
          <w:p w:rsidR="003347AE" w:rsidRPr="009351B9" w:rsidRDefault="003347AE" w:rsidP="003347AE">
            <w:pPr>
              <w:rPr>
                <w:rFonts w:eastAsia="Times New Roman" w:cs="Calibri"/>
                <w:sz w:val="18"/>
                <w:szCs w:val="18"/>
                <w:lang w:eastAsia="en-AU"/>
              </w:rPr>
            </w:pPr>
            <w:r w:rsidRPr="009351B9">
              <w:rPr>
                <w:rFonts w:eastAsia="Times New Roman" w:cs="Calibri"/>
                <w:sz w:val="18"/>
                <w:szCs w:val="18"/>
                <w:lang w:eastAsia="en-AU"/>
              </w:rPr>
              <w:t>Small owner</w:t>
            </w:r>
          </w:p>
        </w:tc>
        <w:tc>
          <w:tcPr>
            <w:tcW w:w="1374"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2028"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3347AE" w:rsidRPr="009351B9" w:rsidRDefault="003347AE" w:rsidP="003347AE">
            <w:pPr>
              <w:jc w:val="right"/>
              <w:rPr>
                <w:rFonts w:eastAsia="Times New Roman" w:cs="Calibri"/>
                <w:color w:val="FF0000"/>
                <w:sz w:val="18"/>
                <w:szCs w:val="18"/>
                <w:lang w:eastAsia="en-AU"/>
              </w:rPr>
            </w:pPr>
            <w:r>
              <w:rPr>
                <w:rFonts w:cs="Calibri"/>
                <w:color w:val="FF0000"/>
                <w:sz w:val="18"/>
                <w:szCs w:val="18"/>
              </w:rPr>
              <w:t>-$13,689,847</w:t>
            </w:r>
          </w:p>
        </w:tc>
        <w:tc>
          <w:tcPr>
            <w:tcW w:w="1492" w:type="dxa"/>
            <w:tcBorders>
              <w:top w:val="nil"/>
              <w:left w:val="nil"/>
              <w:bottom w:val="nil"/>
              <w:right w:val="nil"/>
            </w:tcBorders>
            <w:shd w:val="clear" w:color="auto" w:fill="DBE5F1" w:themeFill="accent1" w:themeFillTint="33"/>
            <w:noWrap/>
            <w:vAlign w:val="bottom"/>
            <w:hideMark/>
          </w:tcPr>
          <w:p w:rsidR="003347AE" w:rsidRPr="009351B9" w:rsidRDefault="003347AE" w:rsidP="003347AE">
            <w:pPr>
              <w:jc w:val="right"/>
              <w:rPr>
                <w:rFonts w:eastAsia="Times New Roman" w:cs="Calibri"/>
                <w:sz w:val="18"/>
                <w:szCs w:val="18"/>
                <w:lang w:eastAsia="en-AU"/>
              </w:rPr>
            </w:pPr>
            <w:r>
              <w:rPr>
                <w:rFonts w:cs="Calibri"/>
                <w:sz w:val="18"/>
                <w:szCs w:val="18"/>
              </w:rPr>
              <w:t>56.</w:t>
            </w:r>
            <w:r w:rsidR="00FA59B1">
              <w:rPr>
                <w:rFonts w:cs="Calibri"/>
                <w:sz w:val="18"/>
                <w:szCs w:val="18"/>
              </w:rPr>
              <w:t>91</w:t>
            </w:r>
            <w:r>
              <w:rPr>
                <w:rFonts w:cs="Calibri"/>
                <w:sz w:val="18"/>
                <w:szCs w:val="18"/>
              </w:rPr>
              <w:t>%</w:t>
            </w:r>
          </w:p>
        </w:tc>
      </w:tr>
      <w:tr w:rsidR="00FA59B1" w:rsidRPr="009351B9" w:rsidTr="00503B24">
        <w:trPr>
          <w:trHeight w:val="240"/>
        </w:trPr>
        <w:tc>
          <w:tcPr>
            <w:tcW w:w="2093" w:type="dxa"/>
            <w:tcBorders>
              <w:top w:val="nil"/>
              <w:left w:val="nil"/>
              <w:bottom w:val="nil"/>
              <w:right w:val="nil"/>
            </w:tcBorders>
            <w:shd w:val="clear" w:color="000000" w:fill="FFFFFF"/>
            <w:noWrap/>
            <w:vAlign w:val="bottom"/>
            <w:hideMark/>
          </w:tcPr>
          <w:p w:rsidR="00FA59B1" w:rsidRPr="009351B9" w:rsidRDefault="00FA59B1" w:rsidP="00FA59B1">
            <w:pPr>
              <w:rPr>
                <w:rFonts w:eastAsia="Times New Roman" w:cs="Calibri"/>
                <w:sz w:val="18"/>
                <w:szCs w:val="18"/>
                <w:lang w:eastAsia="en-AU"/>
              </w:rPr>
            </w:pPr>
            <w:r w:rsidRPr="009351B9">
              <w:rPr>
                <w:rFonts w:eastAsia="Times New Roman" w:cs="Calibri"/>
                <w:sz w:val="18"/>
                <w:szCs w:val="18"/>
                <w:lang w:eastAsia="en-AU"/>
              </w:rPr>
              <w:t>GAP</w:t>
            </w:r>
          </w:p>
        </w:tc>
        <w:tc>
          <w:tcPr>
            <w:tcW w:w="1374" w:type="dxa"/>
            <w:tcBorders>
              <w:top w:val="nil"/>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color w:val="FF0000"/>
                <w:sz w:val="18"/>
                <w:szCs w:val="18"/>
                <w:lang w:eastAsia="en-AU"/>
              </w:rPr>
            </w:pPr>
            <w:r w:rsidRPr="009351B9">
              <w:rPr>
                <w:rFonts w:eastAsia="Times New Roman" w:cs="Calibri"/>
                <w:color w:val="FF0000"/>
                <w:sz w:val="18"/>
                <w:szCs w:val="18"/>
                <w:lang w:eastAsia="en-AU"/>
              </w:rPr>
              <w:t>$0</w:t>
            </w:r>
          </w:p>
        </w:tc>
        <w:tc>
          <w:tcPr>
            <w:tcW w:w="2028" w:type="dxa"/>
            <w:tcBorders>
              <w:top w:val="nil"/>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color w:val="FF0000"/>
                <w:sz w:val="18"/>
                <w:szCs w:val="18"/>
                <w:lang w:eastAsia="en-AU"/>
              </w:rPr>
            </w:pPr>
            <w:r>
              <w:rPr>
                <w:rFonts w:cs="Calibri"/>
                <w:color w:val="FF0000"/>
                <w:sz w:val="18"/>
                <w:szCs w:val="18"/>
              </w:rPr>
              <w:t>-$10,013,368</w:t>
            </w:r>
          </w:p>
        </w:tc>
        <w:tc>
          <w:tcPr>
            <w:tcW w:w="1492" w:type="dxa"/>
            <w:tcBorders>
              <w:top w:val="nil"/>
              <w:left w:val="nil"/>
              <w:bottom w:val="nil"/>
              <w:right w:val="nil"/>
            </w:tcBorders>
            <w:shd w:val="clear" w:color="auto" w:fill="DBE5F1" w:themeFill="accent1" w:themeFillTint="33"/>
            <w:noWrap/>
            <w:vAlign w:val="bottom"/>
            <w:hideMark/>
          </w:tcPr>
          <w:p w:rsidR="00FA59B1" w:rsidRPr="009351B9" w:rsidRDefault="00FA59B1" w:rsidP="00FA59B1">
            <w:pPr>
              <w:jc w:val="right"/>
              <w:rPr>
                <w:rFonts w:eastAsia="Times New Roman" w:cs="Calibri"/>
                <w:sz w:val="18"/>
                <w:szCs w:val="18"/>
                <w:lang w:eastAsia="en-AU"/>
              </w:rPr>
            </w:pPr>
            <w:r>
              <w:rPr>
                <w:rFonts w:cs="Calibri"/>
                <w:sz w:val="18"/>
                <w:szCs w:val="18"/>
              </w:rPr>
              <w:t>41.63%</w:t>
            </w:r>
          </w:p>
        </w:tc>
      </w:tr>
      <w:tr w:rsidR="00FA59B1" w:rsidRPr="00975792" w:rsidTr="00503B24">
        <w:trPr>
          <w:trHeight w:val="240"/>
        </w:trPr>
        <w:tc>
          <w:tcPr>
            <w:tcW w:w="2093" w:type="dxa"/>
            <w:tcBorders>
              <w:top w:val="single" w:sz="4" w:space="0" w:color="1F4E78"/>
              <w:left w:val="nil"/>
              <w:bottom w:val="nil"/>
              <w:right w:val="nil"/>
            </w:tcBorders>
            <w:shd w:val="clear" w:color="000000" w:fill="FFFFFF"/>
            <w:noWrap/>
            <w:vAlign w:val="bottom"/>
            <w:hideMark/>
          </w:tcPr>
          <w:p w:rsidR="00FA59B1" w:rsidRPr="00975792" w:rsidRDefault="00FA59B1" w:rsidP="00FA59B1">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 cost savings</w:t>
            </w:r>
          </w:p>
        </w:tc>
        <w:tc>
          <w:tcPr>
            <w:tcW w:w="1374" w:type="dxa"/>
            <w:tcBorders>
              <w:top w:val="single" w:sz="4" w:space="0" w:color="1F4E78"/>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b/>
                <w:bCs/>
                <w:color w:val="FF0000"/>
                <w:sz w:val="18"/>
                <w:szCs w:val="18"/>
                <w:lang w:eastAsia="en-AU"/>
              </w:rPr>
            </w:pPr>
            <w:r w:rsidRPr="009351B9">
              <w:rPr>
                <w:rFonts w:eastAsia="Times New Roman" w:cs="Calibri"/>
                <w:b/>
                <w:bCs/>
                <w:color w:val="FF0000"/>
                <w:sz w:val="18"/>
                <w:szCs w:val="18"/>
                <w:lang w:eastAsia="en-AU"/>
              </w:rPr>
              <w:t>$0</w:t>
            </w:r>
          </w:p>
        </w:tc>
        <w:tc>
          <w:tcPr>
            <w:tcW w:w="2028" w:type="dxa"/>
            <w:tcBorders>
              <w:top w:val="single" w:sz="4" w:space="0" w:color="1F4E78"/>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nil"/>
              <w:right w:val="nil"/>
            </w:tcBorders>
            <w:shd w:val="clear" w:color="000000" w:fill="FFFFFF"/>
            <w:noWrap/>
            <w:vAlign w:val="bottom"/>
            <w:hideMark/>
          </w:tcPr>
          <w:p w:rsidR="00FA59B1" w:rsidRPr="009351B9" w:rsidRDefault="00FA59B1" w:rsidP="00FA59B1">
            <w:pPr>
              <w:jc w:val="right"/>
              <w:rPr>
                <w:rFonts w:eastAsia="Times New Roman" w:cs="Calibri"/>
                <w:b/>
                <w:bCs/>
                <w:color w:val="FF0000"/>
                <w:sz w:val="18"/>
                <w:szCs w:val="18"/>
                <w:lang w:eastAsia="en-AU"/>
              </w:rPr>
            </w:pPr>
            <w:r>
              <w:rPr>
                <w:rFonts w:cs="Calibri"/>
                <w:b/>
                <w:bCs/>
                <w:color w:val="FF0000"/>
                <w:sz w:val="18"/>
                <w:szCs w:val="18"/>
              </w:rPr>
              <w:t>-$24,054,271</w:t>
            </w:r>
          </w:p>
        </w:tc>
        <w:tc>
          <w:tcPr>
            <w:tcW w:w="1492" w:type="dxa"/>
            <w:tcBorders>
              <w:top w:val="single" w:sz="4" w:space="0" w:color="1F4E78"/>
              <w:left w:val="nil"/>
              <w:bottom w:val="nil"/>
              <w:right w:val="nil"/>
            </w:tcBorders>
            <w:shd w:val="clear" w:color="auto" w:fill="DBE5F1" w:themeFill="accent1" w:themeFillTint="33"/>
            <w:noWrap/>
            <w:vAlign w:val="bottom"/>
            <w:hideMark/>
          </w:tcPr>
          <w:p w:rsidR="00FA59B1" w:rsidRPr="00975792" w:rsidRDefault="00FA59B1" w:rsidP="00FA59B1">
            <w:pPr>
              <w:jc w:val="right"/>
              <w:rPr>
                <w:rFonts w:eastAsia="Times New Roman" w:cs="Calibri"/>
                <w:b/>
                <w:bCs/>
                <w:color w:val="53565A"/>
                <w:sz w:val="18"/>
                <w:szCs w:val="18"/>
                <w:lang w:eastAsia="en-AU"/>
              </w:rPr>
            </w:pPr>
            <w:r w:rsidRPr="00975792">
              <w:rPr>
                <w:rFonts w:cs="Calibri"/>
                <w:b/>
                <w:bCs/>
                <w:color w:val="53565A"/>
                <w:sz w:val="18"/>
                <w:szCs w:val="18"/>
              </w:rPr>
              <w:t>100.00%</w:t>
            </w:r>
          </w:p>
        </w:tc>
      </w:tr>
      <w:tr w:rsidR="00FA59B1" w:rsidRPr="009351B9" w:rsidTr="00503B24">
        <w:trPr>
          <w:trHeight w:val="240"/>
        </w:trPr>
        <w:tc>
          <w:tcPr>
            <w:tcW w:w="2093" w:type="dxa"/>
            <w:tcBorders>
              <w:top w:val="single" w:sz="4" w:space="0" w:color="auto"/>
              <w:left w:val="nil"/>
              <w:bottom w:val="single" w:sz="4" w:space="0" w:color="auto"/>
              <w:right w:val="nil"/>
            </w:tcBorders>
            <w:shd w:val="clear" w:color="000000" w:fill="FFFFFF"/>
            <w:noWrap/>
            <w:vAlign w:val="bottom"/>
            <w:hideMark/>
          </w:tcPr>
          <w:p w:rsidR="00FA59B1" w:rsidRPr="009351B9" w:rsidRDefault="00FA59B1" w:rsidP="00FA59B1">
            <w:pPr>
              <w:rPr>
                <w:rFonts w:eastAsia="Times New Roman" w:cs="Calibri"/>
                <w:b/>
                <w:bCs/>
                <w:i/>
                <w:iCs/>
                <w:sz w:val="18"/>
                <w:szCs w:val="18"/>
                <w:lang w:eastAsia="en-AU"/>
              </w:rPr>
            </w:pPr>
            <w:r w:rsidRPr="009351B9">
              <w:rPr>
                <w:rFonts w:eastAsia="Times New Roman" w:cs="Calibri"/>
                <w:b/>
                <w:bCs/>
                <w:i/>
                <w:iCs/>
                <w:sz w:val="18"/>
                <w:szCs w:val="18"/>
                <w:lang w:eastAsia="en-AU"/>
              </w:rPr>
              <w:t>Total net costs</w:t>
            </w:r>
          </w:p>
        </w:tc>
        <w:tc>
          <w:tcPr>
            <w:tcW w:w="1374" w:type="dxa"/>
            <w:tcBorders>
              <w:top w:val="single" w:sz="4" w:space="0" w:color="auto"/>
              <w:left w:val="nil"/>
              <w:bottom w:val="single" w:sz="4" w:space="0" w:color="auto"/>
              <w:right w:val="nil"/>
            </w:tcBorders>
            <w:shd w:val="clear" w:color="000000" w:fill="FFFFFF"/>
            <w:noWrap/>
            <w:vAlign w:val="bottom"/>
            <w:hideMark/>
          </w:tcPr>
          <w:p w:rsidR="00FA59B1" w:rsidRPr="009351B9" w:rsidRDefault="00FA59B1" w:rsidP="00FA59B1">
            <w:pPr>
              <w:jc w:val="right"/>
              <w:rPr>
                <w:rFonts w:eastAsia="Times New Roman" w:cs="Calibri"/>
                <w:b/>
                <w:bCs/>
                <w:i/>
                <w:iCs/>
                <w:sz w:val="18"/>
                <w:szCs w:val="18"/>
                <w:lang w:eastAsia="en-AU"/>
              </w:rPr>
            </w:pPr>
            <w:r w:rsidRPr="009351B9">
              <w:rPr>
                <w:rFonts w:eastAsia="Times New Roman" w:cs="Calibri"/>
                <w:b/>
                <w:bCs/>
                <w:i/>
                <w:iCs/>
                <w:sz w:val="18"/>
                <w:szCs w:val="18"/>
                <w:lang w:eastAsia="en-AU"/>
              </w:rPr>
              <w:t>$1,763,099</w:t>
            </w:r>
          </w:p>
        </w:tc>
        <w:tc>
          <w:tcPr>
            <w:tcW w:w="2028" w:type="dxa"/>
            <w:tcBorders>
              <w:top w:val="single" w:sz="4" w:space="0" w:color="auto"/>
              <w:left w:val="nil"/>
              <w:bottom w:val="single" w:sz="4" w:space="0" w:color="auto"/>
              <w:right w:val="nil"/>
            </w:tcBorders>
            <w:shd w:val="clear" w:color="000000" w:fill="FFFFFF"/>
            <w:noWrap/>
            <w:vAlign w:val="bottom"/>
            <w:hideMark/>
          </w:tcPr>
          <w:p w:rsidR="00FA59B1" w:rsidRPr="009351B9" w:rsidRDefault="00FA59B1" w:rsidP="00FA59B1">
            <w:pPr>
              <w:jc w:val="right"/>
              <w:rPr>
                <w:rFonts w:eastAsia="Times New Roman" w:cs="Calibri"/>
                <w:b/>
                <w:bCs/>
                <w:i/>
                <w:iCs/>
                <w:sz w:val="18"/>
                <w:szCs w:val="18"/>
                <w:lang w:eastAsia="en-AU"/>
              </w:rPr>
            </w:pPr>
            <w:r>
              <w:rPr>
                <w:rFonts w:cs="Calibri"/>
                <w:b/>
                <w:bCs/>
                <w:i/>
                <w:iCs/>
                <w:color w:val="FF0000"/>
                <w:sz w:val="18"/>
                <w:szCs w:val="18"/>
              </w:rPr>
              <w:t>-$1,125,959</w:t>
            </w:r>
          </w:p>
        </w:tc>
        <w:tc>
          <w:tcPr>
            <w:tcW w:w="1380" w:type="dxa"/>
            <w:tcBorders>
              <w:top w:val="single" w:sz="4" w:space="0" w:color="auto"/>
              <w:left w:val="nil"/>
              <w:bottom w:val="single" w:sz="4" w:space="0" w:color="auto"/>
              <w:right w:val="nil"/>
            </w:tcBorders>
            <w:shd w:val="clear" w:color="000000" w:fill="FFFFFF"/>
            <w:noWrap/>
            <w:vAlign w:val="bottom"/>
            <w:hideMark/>
          </w:tcPr>
          <w:p w:rsidR="00FA59B1" w:rsidRPr="009351B9" w:rsidRDefault="00FA59B1" w:rsidP="00FA59B1">
            <w:pPr>
              <w:jc w:val="right"/>
              <w:rPr>
                <w:rFonts w:eastAsia="Times New Roman" w:cs="Calibri"/>
                <w:b/>
                <w:bCs/>
                <w:i/>
                <w:iCs/>
                <w:sz w:val="18"/>
                <w:szCs w:val="18"/>
                <w:lang w:eastAsia="en-AU"/>
              </w:rPr>
            </w:pPr>
            <w:r>
              <w:rPr>
                <w:rFonts w:cs="Calibri"/>
                <w:b/>
                <w:bCs/>
                <w:i/>
                <w:iCs/>
                <w:color w:val="FF0000"/>
                <w:sz w:val="18"/>
                <w:szCs w:val="18"/>
              </w:rPr>
              <w:t>-$7,734,742</w:t>
            </w:r>
          </w:p>
        </w:tc>
        <w:tc>
          <w:tcPr>
            <w:tcW w:w="1492" w:type="dxa"/>
            <w:tcBorders>
              <w:top w:val="single" w:sz="4" w:space="0" w:color="auto"/>
              <w:left w:val="nil"/>
              <w:bottom w:val="single" w:sz="4" w:space="0" w:color="auto"/>
              <w:right w:val="nil"/>
            </w:tcBorders>
            <w:shd w:val="clear" w:color="auto" w:fill="DBE5F1" w:themeFill="accent1" w:themeFillTint="33"/>
            <w:noWrap/>
            <w:vAlign w:val="bottom"/>
            <w:hideMark/>
          </w:tcPr>
          <w:p w:rsidR="00FA59B1" w:rsidRPr="009351B9" w:rsidRDefault="00FA59B1" w:rsidP="00FA59B1">
            <w:pPr>
              <w:rPr>
                <w:rFonts w:eastAsia="Times New Roman" w:cs="Calibri"/>
                <w:b/>
                <w:bCs/>
                <w:i/>
                <w:iCs/>
                <w:sz w:val="18"/>
                <w:szCs w:val="18"/>
                <w:lang w:eastAsia="en-AU"/>
              </w:rPr>
            </w:pPr>
            <w:r>
              <w:rPr>
                <w:rFonts w:cs="Calibri"/>
                <w:b/>
                <w:bCs/>
                <w:i/>
                <w:iCs/>
                <w:sz w:val="18"/>
                <w:szCs w:val="18"/>
              </w:rPr>
              <w:t> </w:t>
            </w:r>
          </w:p>
        </w:tc>
      </w:tr>
    </w:tbl>
    <w:p w:rsidR="009351B9" w:rsidRDefault="009351B9" w:rsidP="00867414">
      <w:pPr>
        <w:jc w:val="both"/>
      </w:pPr>
    </w:p>
    <w:p w:rsidR="008904B1" w:rsidRDefault="008904B1" w:rsidP="00867414">
      <w:pPr>
        <w:jc w:val="both"/>
      </w:pPr>
    </w:p>
    <w:p w:rsidR="00AA425C" w:rsidRDefault="00AA425C">
      <w:pPr>
        <w:rPr>
          <w:i/>
          <w:color w:val="53565A"/>
          <w:sz w:val="24"/>
          <w:szCs w:val="24"/>
        </w:rPr>
      </w:pPr>
      <w:bookmarkStart w:id="273" w:name="_Toc469529235"/>
      <w:r>
        <w:br w:type="page"/>
      </w:r>
    </w:p>
    <w:p w:rsidR="008904B1" w:rsidRDefault="00EA26DD" w:rsidP="005E307C">
      <w:pPr>
        <w:pStyle w:val="Heading3"/>
      </w:pPr>
      <w:bookmarkStart w:id="274" w:name="_Toc477190259"/>
      <w:r>
        <w:lastRenderedPageBreak/>
        <w:t>A4.17</w:t>
      </w:r>
      <w:r w:rsidR="008904B1">
        <w:t>.3 Summary of total incremental costs of Option 2</w:t>
      </w:r>
      <w:bookmarkEnd w:id="273"/>
      <w:bookmarkEnd w:id="274"/>
    </w:p>
    <w:p w:rsidR="00A03AA8" w:rsidRDefault="00A03AA8" w:rsidP="00A03AA8">
      <w:pPr>
        <w:jc w:val="both"/>
      </w:pPr>
      <w:r>
        <w:t>A total summary of net incremental cost under Option 2 based on all estim</w:t>
      </w:r>
      <w:r w:rsidR="008E01B1">
        <w:t>ations in Sections A4.2 to A4.13</w:t>
      </w:r>
      <w:r>
        <w:t xml:space="preserve"> of Appendix </w:t>
      </w:r>
      <w:r w:rsidR="007D7A02">
        <w:t>4</w:t>
      </w:r>
      <w:r>
        <w:t xml:space="preserve"> is provided for in Table A4.27. The total additional cost of Option 2, as comp</w:t>
      </w:r>
      <w:r w:rsidR="00DA61B0">
        <w:t>ared to the base case, is $35.</w:t>
      </w:r>
      <w:r w:rsidR="00593B27">
        <w:t>79</w:t>
      </w:r>
      <w:r>
        <w:t xml:space="preserve">m over 10 years in present value dollars with one-off costs </w:t>
      </w:r>
      <w:r w:rsidR="00B578CE">
        <w:t>of $5.21m and annual cost</w:t>
      </w:r>
      <w:r w:rsidR="00DA61B0">
        <w:t>s of $3.6</w:t>
      </w:r>
      <w:r w:rsidR="00593B27">
        <w:t>1</w:t>
      </w:r>
      <w:r>
        <w:t>m.</w:t>
      </w:r>
    </w:p>
    <w:p w:rsidR="00A03AA8" w:rsidRDefault="00A03AA8" w:rsidP="00A03AA8">
      <w:pPr>
        <w:jc w:val="center"/>
        <w:rPr>
          <w:b/>
          <w:sz w:val="20"/>
        </w:rPr>
      </w:pPr>
    </w:p>
    <w:p w:rsidR="00975792" w:rsidRDefault="00975792">
      <w:pPr>
        <w:rPr>
          <w:b/>
          <w:sz w:val="20"/>
        </w:rPr>
      </w:pPr>
    </w:p>
    <w:p w:rsidR="00A03AA8" w:rsidRPr="000D1D99" w:rsidRDefault="00A03AA8" w:rsidP="00A03AA8">
      <w:pPr>
        <w:jc w:val="center"/>
        <w:rPr>
          <w:b/>
          <w:sz w:val="20"/>
        </w:rPr>
      </w:pPr>
      <w:r>
        <w:rPr>
          <w:b/>
          <w:sz w:val="20"/>
        </w:rPr>
        <w:t>Table A4.27</w:t>
      </w:r>
      <w:r w:rsidRPr="000D1D99">
        <w:rPr>
          <w:b/>
          <w:sz w:val="20"/>
        </w:rPr>
        <w:t xml:space="preserve">: </w:t>
      </w:r>
      <w:r>
        <w:rPr>
          <w:b/>
          <w:sz w:val="20"/>
        </w:rPr>
        <w:t xml:space="preserve">Summary of net incremental </w:t>
      </w:r>
      <w:r w:rsidRPr="000D1D99">
        <w:rPr>
          <w:b/>
          <w:sz w:val="20"/>
        </w:rPr>
        <w:t>cost</w:t>
      </w:r>
      <w:r>
        <w:rPr>
          <w:b/>
          <w:sz w:val="20"/>
        </w:rPr>
        <w:t>s of Option 2</w:t>
      </w:r>
    </w:p>
    <w:p w:rsidR="00C100E9" w:rsidRPr="00B92E8D" w:rsidRDefault="00C100E9" w:rsidP="00C100E9">
      <w:pPr>
        <w:jc w:val="both"/>
      </w:pPr>
    </w:p>
    <w:tbl>
      <w:tblPr>
        <w:tblW w:w="9783" w:type="dxa"/>
        <w:jc w:val="center"/>
        <w:tblLayout w:type="fixed"/>
        <w:tblLook w:val="04A0" w:firstRow="1" w:lastRow="0" w:firstColumn="1" w:lastColumn="0" w:noHBand="0" w:noVBand="1"/>
      </w:tblPr>
      <w:tblGrid>
        <w:gridCol w:w="678"/>
        <w:gridCol w:w="1639"/>
        <w:gridCol w:w="1369"/>
        <w:gridCol w:w="1207"/>
        <w:gridCol w:w="1061"/>
        <w:gridCol w:w="1039"/>
        <w:gridCol w:w="1587"/>
        <w:gridCol w:w="1203"/>
      </w:tblGrid>
      <w:tr w:rsidR="00A03AA8" w:rsidRPr="00975792" w:rsidTr="00503B24">
        <w:trPr>
          <w:trHeight w:val="840"/>
          <w:tblHeader/>
          <w:jc w:val="center"/>
        </w:trPr>
        <w:tc>
          <w:tcPr>
            <w:tcW w:w="678"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Std.</w:t>
            </w:r>
          </w:p>
        </w:tc>
        <w:tc>
          <w:tcPr>
            <w:tcW w:w="1639"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description</w:t>
            </w:r>
          </w:p>
        </w:tc>
        <w:tc>
          <w:tcPr>
            <w:tcW w:w="1369"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incurred by</w:t>
            </w:r>
          </w:p>
        </w:tc>
        <w:tc>
          <w:tcPr>
            <w:tcW w:w="1207"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participants</w:t>
            </w:r>
          </w:p>
        </w:tc>
        <w:tc>
          <w:tcPr>
            <w:tcW w:w="1061"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animals affected</w:t>
            </w:r>
          </w:p>
        </w:tc>
        <w:tc>
          <w:tcPr>
            <w:tcW w:w="1039"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1587" w:type="dxa"/>
            <w:tcBorders>
              <w:top w:val="single" w:sz="4" w:space="0" w:color="1F4E78"/>
              <w:left w:val="nil"/>
              <w:bottom w:val="double" w:sz="6" w:space="0" w:color="1F4E78"/>
              <w:right w:val="nil"/>
            </w:tcBorders>
            <w:shd w:val="clear" w:color="000000" w:fill="FFFFFF"/>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203" w:type="dxa"/>
            <w:tcBorders>
              <w:top w:val="single" w:sz="4" w:space="0" w:color="1F4E78"/>
              <w:left w:val="nil"/>
              <w:bottom w:val="double" w:sz="6" w:space="0" w:color="1F4E78"/>
              <w:right w:val="nil"/>
            </w:tcBorders>
            <w:shd w:val="clear" w:color="auto" w:fill="DBE5F1" w:themeFill="accent1" w:themeFillTint="33"/>
            <w:vAlign w:val="bottom"/>
            <w:hideMark/>
          </w:tcPr>
          <w:p w:rsidR="00A03AA8" w:rsidRPr="00975792" w:rsidRDefault="00A03AA8" w:rsidP="00A03AA8">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r>
      <w:tr w:rsidR="00A03AA8" w:rsidRPr="00A03AA8" w:rsidTr="00503B24">
        <w:trPr>
          <w:trHeight w:val="31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3.1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Staff Ratio 1:25</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$245,894</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$2,074,196</w:t>
            </w:r>
          </w:p>
        </w:tc>
      </w:tr>
      <w:tr w:rsidR="00A03AA8" w:rsidRPr="00975792" w:rsidTr="00503B24">
        <w:trPr>
          <w:trHeight w:val="27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3.1</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Staff Ratio 1:25</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92</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$245,894</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$2,074,196</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3.6</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Independent VET</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Owners who are VETs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$133</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$1,119</w:t>
            </w:r>
          </w:p>
        </w:tc>
      </w:tr>
      <w:tr w:rsidR="00A03AA8"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3.6</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Independent VET</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$133</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$1,119</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$1,026</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$582</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$5,935</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$25,319</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$27,806</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$259,875</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$3,470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$2,562</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$25,082</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2,046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$59,974</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$69,722</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$648,106</w:t>
            </w:r>
          </w:p>
        </w:tc>
      </w:tr>
      <w:tr w:rsidR="00A03AA8"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4.1</w:t>
            </w:r>
          </w:p>
        </w:tc>
        <w:tc>
          <w:tcPr>
            <w:tcW w:w="1639" w:type="dxa"/>
            <w:tcBorders>
              <w:top w:val="nil"/>
              <w:left w:val="nil"/>
              <w:bottom w:val="single" w:sz="4"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management plans</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839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$89,788</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$100,673</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$938,998</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$405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$3,418</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$8,121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$68,503</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$905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$7,633</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2,046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$11,614</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$97,971</w:t>
            </w:r>
          </w:p>
        </w:tc>
      </w:tr>
      <w:tr w:rsidR="00A03AA8"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w:t>
            </w:r>
          </w:p>
        </w:tc>
        <w:tc>
          <w:tcPr>
            <w:tcW w:w="1639" w:type="dxa"/>
            <w:tcBorders>
              <w:top w:val="nil"/>
              <w:left w:val="nil"/>
              <w:bottom w:val="single" w:sz="4"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 keeping</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839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$21,046</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$177,526</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$648</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$5,469</w:t>
            </w:r>
          </w:p>
        </w:tc>
      </w:tr>
      <w:tr w:rsidR="00A03AA8" w:rsidRPr="00A03AA8" w:rsidTr="00503B24">
        <w:trPr>
          <w:trHeight w:val="255"/>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$12,994</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$109,605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$1,448</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$12,213</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2,046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$18,583</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$156,754</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5.2.1</w:t>
            </w:r>
          </w:p>
        </w:tc>
        <w:tc>
          <w:tcPr>
            <w:tcW w:w="1639" w:type="dxa"/>
            <w:tcBorders>
              <w:top w:val="nil"/>
              <w:left w:val="nil"/>
              <w:bottom w:val="single" w:sz="4"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Records of health &amp; transfer</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839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$33,673</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$284,042</w:t>
            </w:r>
          </w:p>
        </w:tc>
      </w:tr>
      <w:tr w:rsidR="00A03AA8" w:rsidRPr="00A03AA8" w:rsidTr="00503B24">
        <w:trPr>
          <w:trHeight w:val="27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$714</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$938</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$8,626</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$14,303</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$18,798</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$172,867</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receptacle and hygiene</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237</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1,502</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$15,017</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$19,736</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$181,493</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0.42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$1,672</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$1,672</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0.42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$1,672</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$1,672</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storage</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84</w:t>
            </w:r>
          </w:p>
        </w:tc>
        <w:tc>
          <w:tcPr>
            <w:tcW w:w="1039" w:type="dxa"/>
            <w:tcBorders>
              <w:top w:val="nil"/>
              <w:left w:val="nil"/>
              <w:bottom w:val="single" w:sz="4" w:space="0" w:color="1F4E78"/>
              <w:right w:val="nil"/>
            </w:tcBorders>
            <w:shd w:val="clear" w:color="000000" w:fill="FFFFFF"/>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$3,345</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$3,345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$2,015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$16,996</w:t>
            </w:r>
          </w:p>
        </w:tc>
      </w:tr>
      <w:tr w:rsidR="00A03AA8" w:rsidRPr="00A03AA8" w:rsidTr="00503B24">
        <w:trPr>
          <w:trHeight w:val="21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 xml:space="preserve">Health checks </w:t>
            </w:r>
            <w:r w:rsidRPr="00A03AA8">
              <w:rPr>
                <w:rFonts w:eastAsia="Times New Roman" w:cs="Calibri"/>
                <w:sz w:val="18"/>
                <w:szCs w:val="18"/>
                <w:lang w:eastAsia="en-AU"/>
              </w:rPr>
              <w:lastRenderedPageBreak/>
              <w:t>(breeding females)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lastRenderedPageBreak/>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112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$40,377</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$340,591</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lastRenderedPageBreak/>
              <w:t>6.2.3</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(breeding females)</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118</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$42,392</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$357,587</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$8,565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$72,249</w:t>
            </w:r>
          </w:p>
        </w:tc>
      </w:tr>
      <w:tr w:rsidR="00A03AA8" w:rsidRPr="00A03AA8" w:rsidTr="00503B24">
        <w:trPr>
          <w:trHeight w:val="21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$171,641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$1,447,846</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$19,125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$161,329</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2,046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$245,476</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$2,070,672</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(all greyhounds)</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839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$444,807</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$3,752,097</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$280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$2,362</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48</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701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$5,611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$47,327</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(8 to 16 weeks)</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50</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736</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$5,890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$49,688</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$13,272</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$111,955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48</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701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$455,325</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$3,840,817</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$19,781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$166,863</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84</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629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$664,821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$5,607,987</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(16 weeks to 18 months)</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1,414</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$1,153,200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$9,727,622</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21</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-$12,114</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-$102,182</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825</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-$472,383</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-$3,984,707</w:t>
            </w:r>
          </w:p>
        </w:tc>
      </w:tr>
      <w:tr w:rsidR="00DA61B0" w:rsidRPr="00A03AA8"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 (cost savings)</w:t>
            </w:r>
          </w:p>
        </w:tc>
        <w:tc>
          <w:tcPr>
            <w:tcW w:w="136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0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587" w:type="dxa"/>
            <w:tcBorders>
              <w:top w:val="nil"/>
              <w:left w:val="nil"/>
              <w:bottom w:val="single" w:sz="4" w:space="0" w:color="1F4E78"/>
              <w:right w:val="nil"/>
            </w:tcBorders>
            <w:shd w:val="clear" w:color="000000" w:fill="FFFFFF"/>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-$484,497</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-$4,086,889</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74</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-$8,838</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-$74,550</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2,872</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-$344,642</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-$2,907,171</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159</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-$19,120</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-$161,284</w:t>
            </w:r>
          </w:p>
        </w:tc>
      </w:tr>
      <w:tr w:rsidR="00DA61B0" w:rsidRPr="00A03AA8"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Euthanasia (cost savings)</w:t>
            </w:r>
          </w:p>
        </w:tc>
        <w:tc>
          <w:tcPr>
            <w:tcW w:w="136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61"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3,105</w:t>
            </w:r>
          </w:p>
        </w:tc>
        <w:tc>
          <w:tcPr>
            <w:tcW w:w="10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587" w:type="dxa"/>
            <w:tcBorders>
              <w:top w:val="nil"/>
              <w:left w:val="nil"/>
              <w:bottom w:val="single" w:sz="4" w:space="0" w:color="1F4E78"/>
              <w:right w:val="nil"/>
            </w:tcBorders>
            <w:shd w:val="clear" w:color="000000" w:fill="FFFFFF"/>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-$372,600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-$3,143,005</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39</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-$20,666</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-$174,324</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1,523</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-$805,892</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-$6,797,970</w:t>
            </w:r>
          </w:p>
        </w:tc>
      </w:tr>
      <w:tr w:rsidR="00593B27"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593B27" w:rsidRPr="00A03AA8" w:rsidRDefault="00593B27" w:rsidP="00593B27">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593B27" w:rsidRPr="00A03AA8" w:rsidRDefault="00593B27" w:rsidP="00593B27">
            <w:pPr>
              <w:rPr>
                <w:rFonts w:eastAsia="Times New Roman" w:cs="Calibri"/>
                <w:sz w:val="18"/>
                <w:szCs w:val="18"/>
                <w:lang w:eastAsia="en-AU"/>
              </w:rPr>
            </w:pPr>
            <w:r w:rsidRPr="00A03AA8">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593B27" w:rsidRPr="00A03AA8" w:rsidRDefault="00593B27" w:rsidP="00593B27">
            <w:pPr>
              <w:rPr>
                <w:rFonts w:eastAsia="Times New Roman" w:cs="Calibri"/>
                <w:sz w:val="18"/>
                <w:szCs w:val="18"/>
                <w:lang w:eastAsia="en-AU"/>
              </w:rPr>
            </w:pPr>
            <w:r w:rsidRPr="00A03AA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593B27" w:rsidRPr="00A03AA8" w:rsidRDefault="00593B27" w:rsidP="00593B27">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593B27" w:rsidRPr="00A03AA8" w:rsidRDefault="00593B27" w:rsidP="00593B27">
            <w:pPr>
              <w:jc w:val="right"/>
              <w:rPr>
                <w:rFonts w:eastAsia="Times New Roman" w:cs="Calibri"/>
                <w:sz w:val="18"/>
                <w:szCs w:val="18"/>
                <w:lang w:eastAsia="en-AU"/>
              </w:rPr>
            </w:pPr>
            <w:r>
              <w:rPr>
                <w:rFonts w:cs="Calibri"/>
                <w:sz w:val="18"/>
                <w:szCs w:val="18"/>
              </w:rPr>
              <w:t>686</w:t>
            </w:r>
          </w:p>
        </w:tc>
        <w:tc>
          <w:tcPr>
            <w:tcW w:w="1039" w:type="dxa"/>
            <w:tcBorders>
              <w:top w:val="nil"/>
              <w:left w:val="nil"/>
              <w:bottom w:val="nil"/>
              <w:right w:val="nil"/>
            </w:tcBorders>
            <w:shd w:val="clear" w:color="000000" w:fill="FFFFFF"/>
            <w:noWrap/>
            <w:vAlign w:val="bottom"/>
            <w:hideMark/>
          </w:tcPr>
          <w:p w:rsidR="00593B27" w:rsidRPr="00A03AA8" w:rsidRDefault="00593B27" w:rsidP="00593B27">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593B27" w:rsidRPr="00A03AA8" w:rsidRDefault="00593B27" w:rsidP="00593B27">
            <w:pPr>
              <w:jc w:val="right"/>
              <w:rPr>
                <w:rFonts w:eastAsia="Times New Roman" w:cs="Calibri"/>
                <w:color w:val="FF0000"/>
                <w:sz w:val="18"/>
                <w:szCs w:val="18"/>
                <w:lang w:eastAsia="en-AU"/>
              </w:rPr>
            </w:pPr>
            <w:r>
              <w:rPr>
                <w:rFonts w:cs="Calibri"/>
                <w:color w:val="FF0000"/>
                <w:sz w:val="18"/>
                <w:szCs w:val="18"/>
              </w:rPr>
              <w:t>-$426,099</w:t>
            </w:r>
          </w:p>
        </w:tc>
        <w:tc>
          <w:tcPr>
            <w:tcW w:w="1203" w:type="dxa"/>
            <w:tcBorders>
              <w:top w:val="nil"/>
              <w:left w:val="nil"/>
              <w:bottom w:val="nil"/>
              <w:right w:val="nil"/>
            </w:tcBorders>
            <w:shd w:val="clear" w:color="auto" w:fill="DBE5F1" w:themeFill="accent1" w:themeFillTint="33"/>
            <w:noWrap/>
            <w:vAlign w:val="bottom"/>
            <w:hideMark/>
          </w:tcPr>
          <w:p w:rsidR="00593B27" w:rsidRPr="00A03AA8" w:rsidRDefault="00593B27" w:rsidP="00593B27">
            <w:pPr>
              <w:jc w:val="right"/>
              <w:rPr>
                <w:rFonts w:eastAsia="Times New Roman" w:cs="Calibri"/>
                <w:color w:val="FF0000"/>
                <w:sz w:val="18"/>
                <w:szCs w:val="18"/>
                <w:lang w:eastAsia="en-AU"/>
              </w:rPr>
            </w:pPr>
            <w:r>
              <w:rPr>
                <w:rFonts w:cs="Calibri"/>
                <w:color w:val="FF0000"/>
                <w:sz w:val="18"/>
                <w:szCs w:val="18"/>
              </w:rPr>
              <w:t>-$3,594,283</w:t>
            </w:r>
          </w:p>
        </w:tc>
      </w:tr>
      <w:tr w:rsidR="00593B27" w:rsidRPr="00A03AA8"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 (cost savings)</w:t>
            </w:r>
          </w:p>
        </w:tc>
        <w:tc>
          <w:tcPr>
            <w:tcW w:w="136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61"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1,562</w:t>
            </w:r>
          </w:p>
        </w:tc>
        <w:tc>
          <w:tcPr>
            <w:tcW w:w="1039"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587" w:type="dxa"/>
            <w:tcBorders>
              <w:top w:val="nil"/>
              <w:left w:val="nil"/>
              <w:bottom w:val="single" w:sz="4" w:space="0" w:color="1F4E78"/>
              <w:right w:val="nil"/>
            </w:tcBorders>
            <w:shd w:val="clear" w:color="000000" w:fill="FFFFFF"/>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-$1,252,657</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593B27" w:rsidRPr="00A03AA8" w:rsidRDefault="00593B27" w:rsidP="00593B27">
            <w:pPr>
              <w:jc w:val="right"/>
              <w:rPr>
                <w:rFonts w:eastAsia="Times New Roman" w:cs="Calibri"/>
                <w:b/>
                <w:bCs/>
                <w:color w:val="FF0000"/>
                <w:sz w:val="18"/>
                <w:szCs w:val="18"/>
                <w:lang w:eastAsia="en-AU"/>
              </w:rPr>
            </w:pPr>
            <w:r>
              <w:rPr>
                <w:rFonts w:cs="Calibri"/>
                <w:b/>
                <w:bCs/>
                <w:color w:val="FF0000"/>
                <w:sz w:val="18"/>
                <w:szCs w:val="18"/>
              </w:rPr>
              <w:t>-$10,566,577</w:t>
            </w:r>
          </w:p>
        </w:tc>
      </w:tr>
      <w:tr w:rsidR="00DA61B0"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DA61B0" w:rsidRPr="00A03AA8" w:rsidRDefault="00DA61B0" w:rsidP="00DA61B0">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Rehabilitation (cost savings)</w:t>
            </w:r>
          </w:p>
        </w:tc>
        <w:tc>
          <w:tcPr>
            <w:tcW w:w="1369" w:type="dxa"/>
            <w:tcBorders>
              <w:top w:val="nil"/>
              <w:left w:val="nil"/>
              <w:bottom w:val="nil"/>
              <w:right w:val="nil"/>
            </w:tcBorders>
            <w:shd w:val="clear" w:color="000000" w:fill="FFFFFF"/>
            <w:noWrap/>
            <w:vAlign w:val="bottom"/>
            <w:hideMark/>
          </w:tcPr>
          <w:p w:rsidR="00DA61B0" w:rsidRPr="00A03AA8" w:rsidRDefault="00DA61B0" w:rsidP="00DA61B0">
            <w:pPr>
              <w:rPr>
                <w:rFonts w:eastAsia="Times New Roman" w:cs="Calibri"/>
                <w:sz w:val="18"/>
                <w:szCs w:val="18"/>
                <w:lang w:eastAsia="en-AU"/>
              </w:rPr>
            </w:pPr>
            <w:r w:rsidRPr="00A03AA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846</w:t>
            </w:r>
          </w:p>
        </w:tc>
        <w:tc>
          <w:tcPr>
            <w:tcW w:w="1039"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sz w:val="18"/>
                <w:szCs w:val="18"/>
                <w:lang w:eastAsia="en-AU"/>
              </w:rPr>
            </w:pPr>
            <w:r>
              <w:rPr>
                <w:rFonts w:cs="Calibri"/>
                <w:sz w:val="18"/>
                <w:szCs w:val="18"/>
              </w:rPr>
              <w:t>$0</w:t>
            </w:r>
          </w:p>
        </w:tc>
        <w:tc>
          <w:tcPr>
            <w:tcW w:w="1587" w:type="dxa"/>
            <w:tcBorders>
              <w:top w:val="nil"/>
              <w:left w:val="nil"/>
              <w:bottom w:val="nil"/>
              <w:right w:val="nil"/>
            </w:tcBorders>
            <w:shd w:val="clear" w:color="000000" w:fill="FFFFFF"/>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-$741,856</w:t>
            </w:r>
          </w:p>
        </w:tc>
        <w:tc>
          <w:tcPr>
            <w:tcW w:w="1203" w:type="dxa"/>
            <w:tcBorders>
              <w:top w:val="nil"/>
              <w:left w:val="nil"/>
              <w:bottom w:val="nil"/>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color w:val="FF0000"/>
                <w:sz w:val="18"/>
                <w:szCs w:val="18"/>
                <w:lang w:eastAsia="en-AU"/>
              </w:rPr>
            </w:pPr>
            <w:r>
              <w:rPr>
                <w:rFonts w:cs="Calibri"/>
                <w:color w:val="FF0000"/>
                <w:sz w:val="18"/>
                <w:szCs w:val="18"/>
              </w:rPr>
              <w:t>-$6,257,801</w:t>
            </w:r>
          </w:p>
        </w:tc>
      </w:tr>
      <w:tr w:rsidR="00DA61B0" w:rsidRPr="00A03AA8"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 (cost savings)</w:t>
            </w:r>
          </w:p>
        </w:tc>
        <w:tc>
          <w:tcPr>
            <w:tcW w:w="136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039" w:type="dxa"/>
            <w:tcBorders>
              <w:top w:val="nil"/>
              <w:left w:val="nil"/>
              <w:bottom w:val="single" w:sz="4" w:space="0" w:color="1F4E78"/>
              <w:right w:val="nil"/>
            </w:tcBorders>
            <w:shd w:val="clear" w:color="000000" w:fill="FFFFFF"/>
            <w:noWrap/>
            <w:vAlign w:val="bottom"/>
            <w:hideMark/>
          </w:tcPr>
          <w:p w:rsidR="00DA61B0" w:rsidRPr="00975792" w:rsidRDefault="00DA61B0" w:rsidP="00DA61B0">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587" w:type="dxa"/>
            <w:tcBorders>
              <w:top w:val="nil"/>
              <w:left w:val="nil"/>
              <w:bottom w:val="single" w:sz="4" w:space="0" w:color="1F4E78"/>
              <w:right w:val="nil"/>
            </w:tcBorders>
            <w:shd w:val="clear" w:color="000000" w:fill="FFFFFF"/>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-$741,856</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b/>
                <w:bCs/>
                <w:color w:val="FF0000"/>
                <w:sz w:val="18"/>
                <w:szCs w:val="18"/>
                <w:lang w:eastAsia="en-AU"/>
              </w:rPr>
            </w:pPr>
            <w:r>
              <w:rPr>
                <w:rFonts w:cs="Calibri"/>
                <w:b/>
                <w:bCs/>
                <w:color w:val="FF0000"/>
                <w:sz w:val="18"/>
                <w:szCs w:val="18"/>
              </w:rPr>
              <w:t>-$6,257,801</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lastRenderedPageBreak/>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48</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$26,594</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$224,332</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1,864</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$1,037,076</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$8,748,083</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1,912</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$1,063,671</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$8,972,414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48</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$14,339</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$120,953</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1,864</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$559,161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$4,716,705</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1,912</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$573,499</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$4,837,658</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75</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$9,041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$76,264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2,938</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$352,567</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$2,974,021</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Euthanasia</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3,013</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$361,608</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$3,050,285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Food and shelter</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1,912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$102,221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$862,268</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$2,294</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$19,351</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shelter/euthanasia</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1,931</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$104,515</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$881,618</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$69,569</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$69,569</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232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1,430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$693,142</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$693,142</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159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$279,394</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$279,394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581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2,046</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$1,878,898</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$1,878,898</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6.6.4 </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Perimeter fencing</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839</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$2,921,004</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$2,921,004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17</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$49,870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$49,870</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24</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$999,373</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$999,373</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$69,846</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$69,846</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315</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$896,485</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$896,485</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6.6.5 </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Outdoor housing</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70</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707</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$2,015,574</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$2,015,574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12</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$304</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$304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116</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870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$22,146</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$22,146</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6.6.6</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Indoor housing</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118</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882</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$22,450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$22,450</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18</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$177</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25</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370</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$420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$3,542</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41</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$47</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$395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71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529</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$601</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$5,066</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958</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$416</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$3,505</w:t>
            </w:r>
          </w:p>
        </w:tc>
      </w:tr>
      <w:tr w:rsidR="00A03AA8"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7.1</w:t>
            </w:r>
          </w:p>
        </w:tc>
        <w:tc>
          <w:tcPr>
            <w:tcW w:w="16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Sale and transfer out of industry</w:t>
            </w:r>
          </w:p>
        </w:tc>
        <w:tc>
          <w:tcPr>
            <w:tcW w:w="136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104</w:t>
            </w:r>
          </w:p>
        </w:tc>
        <w:tc>
          <w:tcPr>
            <w:tcW w:w="1061"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958</w:t>
            </w:r>
          </w:p>
        </w:tc>
        <w:tc>
          <w:tcPr>
            <w:tcW w:w="1039"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587" w:type="dxa"/>
            <w:tcBorders>
              <w:top w:val="nil"/>
              <w:left w:val="nil"/>
              <w:bottom w:val="single" w:sz="4" w:space="0" w:color="1F4E78"/>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$1,504</w:t>
            </w:r>
          </w:p>
        </w:tc>
        <w:tc>
          <w:tcPr>
            <w:tcW w:w="1203" w:type="dxa"/>
            <w:tcBorders>
              <w:top w:val="nil"/>
              <w:left w:val="nil"/>
              <w:bottom w:val="single" w:sz="4" w:space="0" w:color="1F4E78"/>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$12,684</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Enforcement (staffing)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24 staff</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3,707</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$2,289,050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$19,437,135</w:t>
            </w:r>
          </w:p>
        </w:tc>
      </w:tr>
      <w:tr w:rsidR="00A03AA8" w:rsidRPr="00A03AA8"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A03AA8" w:rsidRDefault="00A03AA8" w:rsidP="00A03AA8">
            <w:pPr>
              <w:jc w:val="center"/>
              <w:rPr>
                <w:rFonts w:eastAsia="Times New Roman" w:cs="Calibri"/>
                <w:sz w:val="18"/>
                <w:szCs w:val="18"/>
                <w:lang w:eastAsia="en-AU"/>
              </w:rPr>
            </w:pPr>
            <w:r w:rsidRPr="00A03AA8">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Enforcement (training)</w:t>
            </w:r>
          </w:p>
        </w:tc>
        <w:tc>
          <w:tcPr>
            <w:tcW w:w="1369" w:type="dxa"/>
            <w:tcBorders>
              <w:top w:val="nil"/>
              <w:left w:val="nil"/>
              <w:bottom w:val="nil"/>
              <w:right w:val="nil"/>
            </w:tcBorders>
            <w:shd w:val="clear" w:color="000000" w:fill="FFFFFF"/>
            <w:noWrap/>
            <w:vAlign w:val="bottom"/>
            <w:hideMark/>
          </w:tcPr>
          <w:p w:rsidR="00A03AA8" w:rsidRPr="00A03AA8" w:rsidRDefault="00A03AA8" w:rsidP="00A03AA8">
            <w:pPr>
              <w:rPr>
                <w:rFonts w:eastAsia="Times New Roman" w:cs="Calibri"/>
                <w:sz w:val="18"/>
                <w:szCs w:val="18"/>
                <w:lang w:eastAsia="en-AU"/>
              </w:rPr>
            </w:pPr>
            <w:r w:rsidRPr="00A03AA8">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24 staff</w:t>
            </w:r>
          </w:p>
        </w:tc>
        <w:tc>
          <w:tcPr>
            <w:tcW w:w="1061"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3,707</w:t>
            </w:r>
          </w:p>
        </w:tc>
        <w:tc>
          <w:tcPr>
            <w:tcW w:w="1039"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$146,407</w:t>
            </w:r>
          </w:p>
        </w:tc>
        <w:tc>
          <w:tcPr>
            <w:tcW w:w="1587" w:type="dxa"/>
            <w:tcBorders>
              <w:top w:val="nil"/>
              <w:left w:val="nil"/>
              <w:bottom w:val="nil"/>
              <w:right w:val="nil"/>
            </w:tcBorders>
            <w:shd w:val="clear" w:color="000000" w:fill="FFFFFF"/>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$0</w:t>
            </w:r>
          </w:p>
        </w:tc>
        <w:tc>
          <w:tcPr>
            <w:tcW w:w="1203" w:type="dxa"/>
            <w:tcBorders>
              <w:top w:val="nil"/>
              <w:left w:val="nil"/>
              <w:bottom w:val="nil"/>
              <w:right w:val="nil"/>
            </w:tcBorders>
            <w:shd w:val="clear" w:color="auto" w:fill="DBE5F1" w:themeFill="accent1" w:themeFillTint="33"/>
            <w:noWrap/>
            <w:vAlign w:val="bottom"/>
            <w:hideMark/>
          </w:tcPr>
          <w:p w:rsidR="00A03AA8" w:rsidRPr="00A03AA8" w:rsidRDefault="00A03AA8" w:rsidP="00A03AA8">
            <w:pPr>
              <w:jc w:val="right"/>
              <w:rPr>
                <w:rFonts w:eastAsia="Times New Roman" w:cs="Calibri"/>
                <w:sz w:val="18"/>
                <w:szCs w:val="18"/>
                <w:lang w:eastAsia="en-AU"/>
              </w:rPr>
            </w:pPr>
            <w:r w:rsidRPr="00A03AA8">
              <w:rPr>
                <w:rFonts w:eastAsia="Times New Roman" w:cs="Calibri"/>
                <w:sz w:val="18"/>
                <w:szCs w:val="18"/>
                <w:lang w:eastAsia="en-AU"/>
              </w:rPr>
              <w:t>$146,407</w:t>
            </w:r>
          </w:p>
        </w:tc>
      </w:tr>
      <w:tr w:rsidR="00A03AA8" w:rsidRPr="00975792" w:rsidTr="00503B24">
        <w:trPr>
          <w:trHeight w:val="240"/>
          <w:jc w:val="center"/>
        </w:trPr>
        <w:tc>
          <w:tcPr>
            <w:tcW w:w="678" w:type="dxa"/>
            <w:tcBorders>
              <w:top w:val="nil"/>
              <w:left w:val="nil"/>
              <w:bottom w:val="nil"/>
              <w:right w:val="nil"/>
            </w:tcBorders>
            <w:shd w:val="clear" w:color="000000" w:fill="FFFFFF"/>
            <w:noWrap/>
            <w:vAlign w:val="bottom"/>
            <w:hideMark/>
          </w:tcPr>
          <w:p w:rsidR="00A03AA8" w:rsidRPr="00975792" w:rsidRDefault="00A03AA8" w:rsidP="00A03AA8">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w:t>
            </w:r>
          </w:p>
        </w:tc>
        <w:tc>
          <w:tcPr>
            <w:tcW w:w="1639" w:type="dxa"/>
            <w:tcBorders>
              <w:top w:val="nil"/>
              <w:left w:val="nil"/>
              <w:bottom w:val="nil"/>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Enforcement (staffing and training)</w:t>
            </w:r>
          </w:p>
        </w:tc>
        <w:tc>
          <w:tcPr>
            <w:tcW w:w="1369" w:type="dxa"/>
            <w:tcBorders>
              <w:top w:val="nil"/>
              <w:left w:val="nil"/>
              <w:bottom w:val="nil"/>
              <w:right w:val="nil"/>
            </w:tcBorders>
            <w:shd w:val="clear" w:color="000000" w:fill="FFFFFF"/>
            <w:noWrap/>
            <w:vAlign w:val="bottom"/>
            <w:hideMark/>
          </w:tcPr>
          <w:p w:rsidR="00A03AA8" w:rsidRPr="00975792" w:rsidRDefault="00A03AA8" w:rsidP="00A03AA8">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nil"/>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24 staff</w:t>
            </w:r>
          </w:p>
        </w:tc>
        <w:tc>
          <w:tcPr>
            <w:tcW w:w="1061" w:type="dxa"/>
            <w:tcBorders>
              <w:top w:val="nil"/>
              <w:left w:val="nil"/>
              <w:bottom w:val="nil"/>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3,707</w:t>
            </w:r>
          </w:p>
        </w:tc>
        <w:tc>
          <w:tcPr>
            <w:tcW w:w="1039" w:type="dxa"/>
            <w:tcBorders>
              <w:top w:val="nil"/>
              <w:left w:val="nil"/>
              <w:bottom w:val="nil"/>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$146,407</w:t>
            </w:r>
          </w:p>
        </w:tc>
        <w:tc>
          <w:tcPr>
            <w:tcW w:w="1587" w:type="dxa"/>
            <w:tcBorders>
              <w:top w:val="nil"/>
              <w:left w:val="nil"/>
              <w:bottom w:val="nil"/>
              <w:right w:val="nil"/>
            </w:tcBorders>
            <w:shd w:val="clear" w:color="000000" w:fill="FFFFFF"/>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$2,289,050</w:t>
            </w:r>
          </w:p>
        </w:tc>
        <w:tc>
          <w:tcPr>
            <w:tcW w:w="1203" w:type="dxa"/>
            <w:tcBorders>
              <w:top w:val="nil"/>
              <w:left w:val="nil"/>
              <w:bottom w:val="nil"/>
              <w:right w:val="nil"/>
            </w:tcBorders>
            <w:shd w:val="clear" w:color="auto" w:fill="DBE5F1" w:themeFill="accent1" w:themeFillTint="33"/>
            <w:noWrap/>
            <w:vAlign w:val="bottom"/>
            <w:hideMark/>
          </w:tcPr>
          <w:p w:rsidR="00A03AA8" w:rsidRPr="00975792" w:rsidRDefault="00A03AA8" w:rsidP="00A03AA8">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$19,583,542</w:t>
            </w:r>
          </w:p>
        </w:tc>
      </w:tr>
      <w:tr w:rsidR="00DA61B0" w:rsidRPr="00A03AA8" w:rsidTr="00503B24">
        <w:trPr>
          <w:trHeight w:val="240"/>
          <w:jc w:val="center"/>
        </w:trPr>
        <w:tc>
          <w:tcPr>
            <w:tcW w:w="678"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rPr>
                <w:rFonts w:eastAsia="Times New Roman" w:cs="Calibri"/>
                <w:b/>
                <w:bCs/>
                <w:i/>
                <w:iCs/>
                <w:sz w:val="18"/>
                <w:szCs w:val="18"/>
                <w:lang w:eastAsia="en-AU"/>
              </w:rPr>
            </w:pPr>
            <w:r w:rsidRPr="00A03AA8">
              <w:rPr>
                <w:rFonts w:eastAsia="Times New Roman" w:cs="Calibri"/>
                <w:b/>
                <w:bCs/>
                <w:i/>
                <w:iCs/>
                <w:sz w:val="18"/>
                <w:szCs w:val="18"/>
                <w:lang w:eastAsia="en-AU"/>
              </w:rPr>
              <w:t>Total</w:t>
            </w:r>
          </w:p>
        </w:tc>
        <w:tc>
          <w:tcPr>
            <w:tcW w:w="1639"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rPr>
                <w:rFonts w:eastAsia="Times New Roman" w:cs="Calibri"/>
                <w:b/>
                <w:bCs/>
                <w:i/>
                <w:iCs/>
                <w:sz w:val="18"/>
                <w:szCs w:val="18"/>
                <w:lang w:eastAsia="en-AU"/>
              </w:rPr>
            </w:pPr>
            <w:r w:rsidRPr="00A03AA8">
              <w:rPr>
                <w:rFonts w:eastAsia="Times New Roman" w:cs="Calibri"/>
                <w:b/>
                <w:bCs/>
                <w:i/>
                <w:iCs/>
                <w:sz w:val="18"/>
                <w:szCs w:val="18"/>
                <w:lang w:eastAsia="en-AU"/>
              </w:rPr>
              <w:t> </w:t>
            </w:r>
          </w:p>
        </w:tc>
        <w:tc>
          <w:tcPr>
            <w:tcW w:w="1369"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rPr>
                <w:rFonts w:eastAsia="Times New Roman" w:cs="Calibri"/>
                <w:b/>
                <w:bCs/>
                <w:i/>
                <w:iCs/>
                <w:sz w:val="18"/>
                <w:szCs w:val="18"/>
                <w:lang w:eastAsia="en-AU"/>
              </w:rPr>
            </w:pPr>
            <w:r w:rsidRPr="00A03AA8">
              <w:rPr>
                <w:rFonts w:eastAsia="Times New Roman" w:cs="Calibri"/>
                <w:b/>
                <w:bCs/>
                <w:i/>
                <w:iCs/>
                <w:sz w:val="18"/>
                <w:szCs w:val="18"/>
                <w:lang w:eastAsia="en-AU"/>
              </w:rPr>
              <w:t> </w:t>
            </w:r>
          </w:p>
        </w:tc>
        <w:tc>
          <w:tcPr>
            <w:tcW w:w="1207"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rPr>
                <w:rFonts w:eastAsia="Times New Roman" w:cs="Calibri"/>
                <w:b/>
                <w:bCs/>
                <w:i/>
                <w:iCs/>
                <w:sz w:val="18"/>
                <w:szCs w:val="18"/>
                <w:lang w:eastAsia="en-AU"/>
              </w:rPr>
            </w:pPr>
            <w:r w:rsidRPr="00A03AA8">
              <w:rPr>
                <w:rFonts w:eastAsia="Times New Roman" w:cs="Calibri"/>
                <w:b/>
                <w:bCs/>
                <w:i/>
                <w:iCs/>
                <w:sz w:val="18"/>
                <w:szCs w:val="18"/>
                <w:lang w:eastAsia="en-AU"/>
              </w:rPr>
              <w:t> </w:t>
            </w:r>
          </w:p>
        </w:tc>
        <w:tc>
          <w:tcPr>
            <w:tcW w:w="1061"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rPr>
                <w:rFonts w:eastAsia="Times New Roman" w:cs="Calibri"/>
                <w:b/>
                <w:bCs/>
                <w:i/>
                <w:iCs/>
                <w:sz w:val="18"/>
                <w:szCs w:val="18"/>
                <w:lang w:eastAsia="en-AU"/>
              </w:rPr>
            </w:pPr>
            <w:r w:rsidRPr="00A03AA8">
              <w:rPr>
                <w:rFonts w:eastAsia="Times New Roman" w:cs="Calibri"/>
                <w:b/>
                <w:bCs/>
                <w:i/>
                <w:iCs/>
                <w:sz w:val="18"/>
                <w:szCs w:val="18"/>
                <w:lang w:eastAsia="en-AU"/>
              </w:rPr>
              <w:t> </w:t>
            </w:r>
          </w:p>
        </w:tc>
        <w:tc>
          <w:tcPr>
            <w:tcW w:w="1039"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jc w:val="right"/>
              <w:rPr>
                <w:rFonts w:eastAsia="Times New Roman" w:cs="Calibri"/>
                <w:b/>
                <w:bCs/>
                <w:i/>
                <w:iCs/>
                <w:sz w:val="18"/>
                <w:szCs w:val="18"/>
                <w:lang w:eastAsia="en-AU"/>
              </w:rPr>
            </w:pPr>
            <w:r w:rsidRPr="00A03AA8">
              <w:rPr>
                <w:rFonts w:eastAsia="Times New Roman" w:cs="Calibri"/>
                <w:b/>
                <w:bCs/>
                <w:i/>
                <w:iCs/>
                <w:sz w:val="18"/>
                <w:szCs w:val="18"/>
                <w:lang w:eastAsia="en-AU"/>
              </w:rPr>
              <w:t>$5,213,586</w:t>
            </w:r>
          </w:p>
        </w:tc>
        <w:tc>
          <w:tcPr>
            <w:tcW w:w="1587" w:type="dxa"/>
            <w:tcBorders>
              <w:top w:val="single" w:sz="4" w:space="0" w:color="1F4E78"/>
              <w:left w:val="nil"/>
              <w:bottom w:val="single" w:sz="4" w:space="0" w:color="1F4E78"/>
              <w:right w:val="nil"/>
            </w:tcBorders>
            <w:shd w:val="clear" w:color="000000" w:fill="FFFFFF"/>
            <w:noWrap/>
            <w:vAlign w:val="bottom"/>
            <w:hideMark/>
          </w:tcPr>
          <w:p w:rsidR="00DA61B0" w:rsidRPr="00A03AA8" w:rsidRDefault="00DA61B0" w:rsidP="00DA61B0">
            <w:pPr>
              <w:jc w:val="right"/>
              <w:rPr>
                <w:rFonts w:eastAsia="Times New Roman" w:cs="Calibri"/>
                <w:b/>
                <w:bCs/>
                <w:i/>
                <w:iCs/>
                <w:sz w:val="18"/>
                <w:szCs w:val="18"/>
                <w:lang w:eastAsia="en-AU"/>
              </w:rPr>
            </w:pPr>
            <w:r>
              <w:rPr>
                <w:rFonts w:cs="Calibri"/>
                <w:b/>
                <w:bCs/>
                <w:i/>
                <w:iCs/>
                <w:sz w:val="18"/>
                <w:szCs w:val="18"/>
              </w:rPr>
              <w:t>$3,</w:t>
            </w:r>
            <w:r w:rsidR="00593B27">
              <w:rPr>
                <w:rFonts w:cs="Calibri"/>
                <w:b/>
                <w:bCs/>
                <w:i/>
                <w:iCs/>
                <w:sz w:val="18"/>
                <w:szCs w:val="18"/>
              </w:rPr>
              <w:t>609</w:t>
            </w:r>
            <w:r>
              <w:rPr>
                <w:rFonts w:cs="Calibri"/>
                <w:b/>
                <w:bCs/>
                <w:i/>
                <w:iCs/>
                <w:sz w:val="18"/>
                <w:szCs w:val="18"/>
              </w:rPr>
              <w:t>,</w:t>
            </w:r>
            <w:r w:rsidR="00593B27">
              <w:rPr>
                <w:rFonts w:cs="Calibri"/>
                <w:b/>
                <w:bCs/>
                <w:i/>
                <w:iCs/>
                <w:sz w:val="18"/>
                <w:szCs w:val="18"/>
              </w:rPr>
              <w:t>680</w:t>
            </w:r>
          </w:p>
        </w:tc>
        <w:tc>
          <w:tcPr>
            <w:tcW w:w="1203" w:type="dxa"/>
            <w:tcBorders>
              <w:top w:val="single" w:sz="4" w:space="0" w:color="1F4E78"/>
              <w:left w:val="nil"/>
              <w:bottom w:val="single" w:sz="4" w:space="0" w:color="1F4E78"/>
              <w:right w:val="nil"/>
            </w:tcBorders>
            <w:shd w:val="clear" w:color="auto" w:fill="DBE5F1" w:themeFill="accent1" w:themeFillTint="33"/>
            <w:noWrap/>
            <w:vAlign w:val="bottom"/>
            <w:hideMark/>
          </w:tcPr>
          <w:p w:rsidR="00DA61B0" w:rsidRPr="00A03AA8" w:rsidRDefault="00DA61B0" w:rsidP="00DA61B0">
            <w:pPr>
              <w:jc w:val="right"/>
              <w:rPr>
                <w:rFonts w:eastAsia="Times New Roman" w:cs="Calibri"/>
                <w:b/>
                <w:bCs/>
                <w:i/>
                <w:iCs/>
                <w:sz w:val="18"/>
                <w:szCs w:val="18"/>
                <w:lang w:eastAsia="en-AU"/>
              </w:rPr>
            </w:pPr>
            <w:r>
              <w:rPr>
                <w:rFonts w:cs="Calibri"/>
                <w:b/>
                <w:bCs/>
                <w:i/>
                <w:iCs/>
                <w:sz w:val="18"/>
                <w:szCs w:val="18"/>
              </w:rPr>
              <w:t>$35</w:t>
            </w:r>
            <w:r w:rsidR="00593B27">
              <w:rPr>
                <w:rFonts w:cs="Calibri"/>
                <w:b/>
                <w:bCs/>
                <w:i/>
                <w:iCs/>
                <w:sz w:val="18"/>
                <w:szCs w:val="18"/>
              </w:rPr>
              <w:t>,790</w:t>
            </w:r>
            <w:r>
              <w:rPr>
                <w:rFonts w:cs="Calibri"/>
                <w:b/>
                <w:bCs/>
                <w:i/>
                <w:iCs/>
                <w:sz w:val="18"/>
                <w:szCs w:val="18"/>
              </w:rPr>
              <w:t>,6</w:t>
            </w:r>
            <w:r w:rsidR="00593B27">
              <w:rPr>
                <w:rFonts w:cs="Calibri"/>
                <w:b/>
                <w:bCs/>
                <w:i/>
                <w:iCs/>
                <w:sz w:val="18"/>
                <w:szCs w:val="18"/>
              </w:rPr>
              <w:t>72</w:t>
            </w:r>
          </w:p>
        </w:tc>
      </w:tr>
    </w:tbl>
    <w:p w:rsidR="000A087D" w:rsidRDefault="000A087D" w:rsidP="000A087D"/>
    <w:p w:rsidR="00AA425C" w:rsidRDefault="00AA425C">
      <w:pPr>
        <w:rPr>
          <w:i/>
          <w:color w:val="53565A"/>
          <w:sz w:val="24"/>
          <w:szCs w:val="24"/>
        </w:rPr>
      </w:pPr>
      <w:bookmarkStart w:id="275" w:name="_Toc469529236"/>
      <w:r>
        <w:br w:type="page"/>
      </w:r>
    </w:p>
    <w:p w:rsidR="000A087D" w:rsidRDefault="00EA26DD" w:rsidP="005E307C">
      <w:pPr>
        <w:pStyle w:val="Heading3"/>
      </w:pPr>
      <w:bookmarkStart w:id="276" w:name="_Toc477190260"/>
      <w:r>
        <w:lastRenderedPageBreak/>
        <w:t>A4.17</w:t>
      </w:r>
      <w:r w:rsidR="000A087D">
        <w:t>.4 Distribution of total incremental costs of Option 2</w:t>
      </w:r>
      <w:bookmarkEnd w:id="275"/>
      <w:bookmarkEnd w:id="276"/>
    </w:p>
    <w:p w:rsidR="000A087D" w:rsidRDefault="000A087D" w:rsidP="000A087D">
      <w:pPr>
        <w:jc w:val="both"/>
      </w:pPr>
      <w:r>
        <w:t>A total summary of the distribution of costs under Option 2 based on all estimates in Table A4.27 is provided for in Table A4.28.</w:t>
      </w:r>
      <w:r w:rsidR="007B521C">
        <w:t xml:space="preserve"> </w:t>
      </w:r>
      <w:r>
        <w:t xml:space="preserve">The largest share of 10-year present value cost is incurred by </w:t>
      </w:r>
      <w:r w:rsidR="00222708">
        <w:t>GRV (32.73%) followed by small owners (27.47</w:t>
      </w:r>
      <w:r>
        <w:t xml:space="preserve">%) </w:t>
      </w:r>
      <w:r w:rsidR="00222708">
        <w:t>small trainers (19.02%) and small breeders (13.34</w:t>
      </w:r>
      <w:r>
        <w:t>%).</w:t>
      </w:r>
      <w:r w:rsidR="007B521C">
        <w:t xml:space="preserve"> </w:t>
      </w:r>
      <w:r>
        <w:t>Small owners are also likely t</w:t>
      </w:r>
      <w:r w:rsidR="00D34397">
        <w:t>o obtain the highest share of 56.</w:t>
      </w:r>
      <w:r w:rsidR="00593B27">
        <w:t>91</w:t>
      </w:r>
      <w:r>
        <w:t>% of all 10-year present value cost savings, followe</w:t>
      </w:r>
      <w:r w:rsidR="00D34397">
        <w:t>d by GAP (4</w:t>
      </w:r>
      <w:r w:rsidR="00593B27">
        <w:t>1</w:t>
      </w:r>
      <w:r w:rsidR="00D34397">
        <w:t>.</w:t>
      </w:r>
      <w:r w:rsidR="00593B27">
        <w:t>63</w:t>
      </w:r>
      <w:r w:rsidR="00222708">
        <w:t>%) under Option 2</w:t>
      </w:r>
      <w:r>
        <w:t>.</w:t>
      </w:r>
    </w:p>
    <w:p w:rsidR="000A087D" w:rsidRDefault="000A087D" w:rsidP="000A087D">
      <w:pPr>
        <w:jc w:val="both"/>
      </w:pPr>
    </w:p>
    <w:p w:rsidR="000A087D" w:rsidRDefault="000A087D" w:rsidP="000A087D">
      <w:pPr>
        <w:jc w:val="center"/>
        <w:rPr>
          <w:b/>
          <w:sz w:val="20"/>
        </w:rPr>
      </w:pPr>
      <w:r w:rsidRPr="000A087D">
        <w:rPr>
          <w:b/>
          <w:sz w:val="20"/>
        </w:rPr>
        <w:t>Table A</w:t>
      </w:r>
      <w:r>
        <w:rPr>
          <w:b/>
          <w:sz w:val="20"/>
        </w:rPr>
        <w:t>4.28</w:t>
      </w:r>
      <w:r w:rsidRPr="000A087D">
        <w:rPr>
          <w:b/>
          <w:sz w:val="20"/>
        </w:rPr>
        <w:t xml:space="preserve">: Distribution of 10-year additional cost of </w:t>
      </w:r>
      <w:r>
        <w:rPr>
          <w:b/>
          <w:sz w:val="20"/>
        </w:rPr>
        <w:t>Option 2</w:t>
      </w:r>
    </w:p>
    <w:p w:rsidR="000A087D" w:rsidRPr="000A087D" w:rsidRDefault="000A087D" w:rsidP="000A087D">
      <w:pPr>
        <w:jc w:val="center"/>
        <w:rPr>
          <w:b/>
          <w:sz w:val="20"/>
        </w:rPr>
      </w:pPr>
    </w:p>
    <w:tbl>
      <w:tblPr>
        <w:tblW w:w="8361" w:type="dxa"/>
        <w:tblLook w:val="04A0" w:firstRow="1" w:lastRow="0" w:firstColumn="1" w:lastColumn="0" w:noHBand="0" w:noVBand="1"/>
      </w:tblPr>
      <w:tblGrid>
        <w:gridCol w:w="1480"/>
        <w:gridCol w:w="1781"/>
        <w:gridCol w:w="2380"/>
        <w:gridCol w:w="1380"/>
        <w:gridCol w:w="1340"/>
      </w:tblGrid>
      <w:tr w:rsidR="000A087D" w:rsidRPr="00975792" w:rsidTr="00B13AD8">
        <w:trPr>
          <w:trHeight w:val="70"/>
          <w:tblHeader/>
        </w:trPr>
        <w:tc>
          <w:tcPr>
            <w:tcW w:w="1480" w:type="dxa"/>
            <w:tcBorders>
              <w:top w:val="single" w:sz="4" w:space="0" w:color="1F4E78"/>
              <w:left w:val="nil"/>
              <w:bottom w:val="double" w:sz="6" w:space="0" w:color="1F4E78"/>
              <w:right w:val="nil"/>
            </w:tcBorders>
            <w:shd w:val="clear" w:color="000000" w:fill="FFFFFF"/>
            <w:vAlign w:val="bottom"/>
            <w:hideMark/>
          </w:tcPr>
          <w:p w:rsidR="000A087D" w:rsidRPr="00975792" w:rsidRDefault="000A087D" w:rsidP="000A087D">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Category of participant</w:t>
            </w:r>
          </w:p>
        </w:tc>
        <w:tc>
          <w:tcPr>
            <w:tcW w:w="1781" w:type="dxa"/>
            <w:tcBorders>
              <w:top w:val="single" w:sz="4" w:space="0" w:color="1F4E78"/>
              <w:left w:val="nil"/>
              <w:bottom w:val="double" w:sz="6" w:space="0" w:color="1F4E78"/>
              <w:right w:val="nil"/>
            </w:tcBorders>
            <w:shd w:val="clear" w:color="000000" w:fill="FFFFFF"/>
            <w:vAlign w:val="bottom"/>
            <w:hideMark/>
          </w:tcPr>
          <w:p w:rsidR="000A087D" w:rsidRPr="00975792" w:rsidRDefault="000A087D" w:rsidP="000A087D">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2380" w:type="dxa"/>
            <w:tcBorders>
              <w:top w:val="single" w:sz="4" w:space="0" w:color="1F4E78"/>
              <w:left w:val="nil"/>
              <w:bottom w:val="double" w:sz="6" w:space="0" w:color="1F4E78"/>
              <w:right w:val="nil"/>
            </w:tcBorders>
            <w:shd w:val="clear" w:color="000000" w:fill="FFFFFF"/>
            <w:vAlign w:val="bottom"/>
            <w:hideMark/>
          </w:tcPr>
          <w:p w:rsidR="000A087D" w:rsidRPr="00975792" w:rsidRDefault="000A087D" w:rsidP="000A087D">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bottom"/>
            <w:hideMark/>
          </w:tcPr>
          <w:p w:rsidR="000A087D" w:rsidRPr="00975792" w:rsidRDefault="000A087D" w:rsidP="000A087D">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bottom"/>
            <w:hideMark/>
          </w:tcPr>
          <w:p w:rsidR="000A087D" w:rsidRPr="00975792" w:rsidRDefault="000A087D" w:rsidP="000A087D">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 of 10-year PV cost</w:t>
            </w:r>
          </w:p>
        </w:tc>
      </w:tr>
      <w:tr w:rsidR="000A087D" w:rsidRPr="000A087D" w:rsidTr="00B13AD8">
        <w:trPr>
          <w:trHeight w:val="255"/>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Large breeder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$122,851</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$272,620</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$2,422,495</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4.05%</w:t>
            </w:r>
          </w:p>
        </w:tc>
      </w:tr>
      <w:tr w:rsidR="000A087D" w:rsidRPr="000A087D" w:rsidTr="00B13AD8">
        <w:trPr>
          <w:trHeight w:val="240"/>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Small breeder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$1,732,138</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$741,091</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$7,983,488</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13.34%</w:t>
            </w:r>
          </w:p>
        </w:tc>
      </w:tr>
      <w:tr w:rsidR="000A087D" w:rsidRPr="000A087D" w:rsidTr="00B13AD8">
        <w:trPr>
          <w:trHeight w:val="240"/>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Large trainer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$354,686</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$43,868</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$724,731</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1.21%</w:t>
            </w:r>
          </w:p>
        </w:tc>
      </w:tr>
      <w:tr w:rsidR="000A087D" w:rsidRPr="000A087D" w:rsidTr="00B13AD8">
        <w:trPr>
          <w:trHeight w:val="240"/>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Small trainer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$2,857,503</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$1,010,818</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$11,384,086</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19.02%</w:t>
            </w:r>
          </w:p>
        </w:tc>
      </w:tr>
      <w:tr w:rsidR="000A087D" w:rsidRPr="000A087D" w:rsidTr="00B13AD8">
        <w:trPr>
          <w:trHeight w:val="240"/>
        </w:trPr>
        <w:tc>
          <w:tcPr>
            <w:tcW w:w="1480" w:type="dxa"/>
            <w:tcBorders>
              <w:top w:val="nil"/>
              <w:left w:val="nil"/>
              <w:bottom w:val="nil"/>
              <w:right w:val="nil"/>
            </w:tcBorders>
            <w:shd w:val="clear" w:color="000000" w:fill="FFFFFF"/>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Large owner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$0</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$49,974</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$421,549</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0.70%</w:t>
            </w:r>
          </w:p>
        </w:tc>
      </w:tr>
      <w:tr w:rsidR="000A087D" w:rsidRPr="000A087D" w:rsidTr="00B13AD8">
        <w:trPr>
          <w:trHeight w:val="240"/>
        </w:trPr>
        <w:tc>
          <w:tcPr>
            <w:tcW w:w="1480" w:type="dxa"/>
            <w:tcBorders>
              <w:top w:val="nil"/>
              <w:left w:val="nil"/>
              <w:bottom w:val="nil"/>
              <w:right w:val="nil"/>
            </w:tcBorders>
            <w:shd w:val="clear" w:color="000000" w:fill="FFFFFF"/>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Small owner</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$0</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$1,948,937</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$16,439,928</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27.47%</w:t>
            </w:r>
          </w:p>
        </w:tc>
      </w:tr>
      <w:tr w:rsidR="000A087D" w:rsidRPr="000A087D" w:rsidTr="00B13AD8">
        <w:trPr>
          <w:trHeight w:val="240"/>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GAP</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$0</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$104,515</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$881,618</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1.47%</w:t>
            </w:r>
          </w:p>
        </w:tc>
      </w:tr>
      <w:tr w:rsidR="000A087D" w:rsidRPr="000A087D" w:rsidTr="00B13AD8">
        <w:trPr>
          <w:trHeight w:val="240"/>
        </w:trPr>
        <w:tc>
          <w:tcPr>
            <w:tcW w:w="1480" w:type="dxa"/>
            <w:tcBorders>
              <w:top w:val="nil"/>
              <w:left w:val="nil"/>
              <w:bottom w:val="nil"/>
              <w:right w:val="nil"/>
            </w:tcBorders>
            <w:shd w:val="clear" w:color="000000" w:fill="FFFFFF"/>
            <w:noWrap/>
            <w:vAlign w:val="bottom"/>
            <w:hideMark/>
          </w:tcPr>
          <w:p w:rsidR="000A087D" w:rsidRPr="000A087D" w:rsidRDefault="000A087D" w:rsidP="000A087D">
            <w:pPr>
              <w:rPr>
                <w:rFonts w:eastAsia="Times New Roman" w:cs="Calibri"/>
                <w:sz w:val="18"/>
                <w:szCs w:val="18"/>
                <w:lang w:eastAsia="en-AU"/>
              </w:rPr>
            </w:pPr>
            <w:r w:rsidRPr="000A087D">
              <w:rPr>
                <w:rFonts w:eastAsia="Times New Roman" w:cs="Calibri"/>
                <w:sz w:val="18"/>
                <w:szCs w:val="18"/>
                <w:lang w:eastAsia="en-AU"/>
              </w:rPr>
              <w:t>GRV</w:t>
            </w:r>
          </w:p>
        </w:tc>
        <w:tc>
          <w:tcPr>
            <w:tcW w:w="1781"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$146,407</w:t>
            </w:r>
          </w:p>
        </w:tc>
        <w:tc>
          <w:tcPr>
            <w:tcW w:w="2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$2,289,466</w:t>
            </w:r>
          </w:p>
        </w:tc>
        <w:tc>
          <w:tcPr>
            <w:tcW w:w="1380" w:type="dxa"/>
            <w:tcBorders>
              <w:top w:val="nil"/>
              <w:left w:val="nil"/>
              <w:bottom w:val="nil"/>
              <w:right w:val="nil"/>
            </w:tcBorders>
            <w:shd w:val="clear" w:color="000000" w:fill="FFFFFF"/>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$19,587,047</w:t>
            </w:r>
          </w:p>
        </w:tc>
        <w:tc>
          <w:tcPr>
            <w:tcW w:w="1340" w:type="dxa"/>
            <w:tcBorders>
              <w:top w:val="nil"/>
              <w:left w:val="nil"/>
              <w:bottom w:val="nil"/>
              <w:right w:val="nil"/>
            </w:tcBorders>
            <w:shd w:val="clear" w:color="auto" w:fill="DBE5F1" w:themeFill="accent1" w:themeFillTint="33"/>
            <w:noWrap/>
            <w:vAlign w:val="bottom"/>
            <w:hideMark/>
          </w:tcPr>
          <w:p w:rsidR="000A087D" w:rsidRPr="000A087D" w:rsidRDefault="000A087D" w:rsidP="000A087D">
            <w:pPr>
              <w:jc w:val="right"/>
              <w:rPr>
                <w:rFonts w:eastAsia="Times New Roman" w:cs="Calibri"/>
                <w:sz w:val="18"/>
                <w:szCs w:val="18"/>
                <w:lang w:eastAsia="en-AU"/>
              </w:rPr>
            </w:pPr>
            <w:r w:rsidRPr="000A087D">
              <w:rPr>
                <w:rFonts w:eastAsia="Times New Roman" w:cs="Calibri"/>
                <w:sz w:val="18"/>
                <w:szCs w:val="18"/>
                <w:lang w:eastAsia="en-AU"/>
              </w:rPr>
              <w:t>32.73%</w:t>
            </w:r>
          </w:p>
        </w:tc>
      </w:tr>
      <w:tr w:rsidR="000A087D" w:rsidRPr="00975792" w:rsidTr="00B13AD8">
        <w:trPr>
          <w:trHeight w:val="240"/>
        </w:trPr>
        <w:tc>
          <w:tcPr>
            <w:tcW w:w="1480" w:type="dxa"/>
            <w:tcBorders>
              <w:top w:val="single" w:sz="4" w:space="0" w:color="1F4E78"/>
              <w:left w:val="nil"/>
              <w:bottom w:val="single" w:sz="4" w:space="0" w:color="1F4E78"/>
              <w:right w:val="nil"/>
            </w:tcBorders>
            <w:shd w:val="clear" w:color="000000" w:fill="FFFFFF"/>
            <w:noWrap/>
            <w:vAlign w:val="bottom"/>
            <w:hideMark/>
          </w:tcPr>
          <w:p w:rsidR="000A087D" w:rsidRPr="00975792" w:rsidRDefault="000A087D" w:rsidP="000A087D">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 costs</w:t>
            </w:r>
          </w:p>
        </w:tc>
        <w:tc>
          <w:tcPr>
            <w:tcW w:w="1781" w:type="dxa"/>
            <w:tcBorders>
              <w:top w:val="single" w:sz="4" w:space="0" w:color="1F4E78"/>
              <w:left w:val="nil"/>
              <w:bottom w:val="single" w:sz="4" w:space="0" w:color="1F4E78"/>
              <w:right w:val="nil"/>
            </w:tcBorders>
            <w:shd w:val="clear" w:color="000000" w:fill="FFFFFF"/>
            <w:noWrap/>
            <w:vAlign w:val="bottom"/>
            <w:hideMark/>
          </w:tcPr>
          <w:p w:rsidR="000A087D" w:rsidRPr="00975792" w:rsidRDefault="000A087D" w:rsidP="000A087D">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$5,213,586</w:t>
            </w:r>
          </w:p>
        </w:tc>
        <w:tc>
          <w:tcPr>
            <w:tcW w:w="2380" w:type="dxa"/>
            <w:tcBorders>
              <w:top w:val="single" w:sz="4" w:space="0" w:color="1F4E78"/>
              <w:left w:val="nil"/>
              <w:bottom w:val="single" w:sz="4" w:space="0" w:color="1F4E78"/>
              <w:right w:val="nil"/>
            </w:tcBorders>
            <w:shd w:val="clear" w:color="000000" w:fill="FFFFFF"/>
            <w:noWrap/>
            <w:vAlign w:val="bottom"/>
            <w:hideMark/>
          </w:tcPr>
          <w:p w:rsidR="000A087D" w:rsidRPr="00975792" w:rsidRDefault="000A087D" w:rsidP="000A087D">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$6,461,290</w:t>
            </w:r>
          </w:p>
        </w:tc>
        <w:tc>
          <w:tcPr>
            <w:tcW w:w="1380" w:type="dxa"/>
            <w:tcBorders>
              <w:top w:val="single" w:sz="4" w:space="0" w:color="1F4E78"/>
              <w:left w:val="nil"/>
              <w:bottom w:val="single" w:sz="4" w:space="0" w:color="1F4E78"/>
              <w:right w:val="nil"/>
            </w:tcBorders>
            <w:shd w:val="clear" w:color="000000" w:fill="FFFFFF"/>
            <w:noWrap/>
            <w:vAlign w:val="bottom"/>
            <w:hideMark/>
          </w:tcPr>
          <w:p w:rsidR="000A087D" w:rsidRPr="00975792" w:rsidRDefault="000A087D" w:rsidP="000A087D">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$59,844,943</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0A087D" w:rsidRPr="00975792" w:rsidRDefault="000A087D" w:rsidP="000A087D">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100.00%</w:t>
            </w:r>
          </w:p>
        </w:tc>
      </w:tr>
      <w:tr w:rsidR="00D34397" w:rsidRPr="000A087D" w:rsidTr="00B13AD8">
        <w:trPr>
          <w:trHeight w:val="240"/>
        </w:trPr>
        <w:tc>
          <w:tcPr>
            <w:tcW w:w="1480" w:type="dxa"/>
            <w:tcBorders>
              <w:top w:val="nil"/>
              <w:left w:val="nil"/>
              <w:bottom w:val="nil"/>
              <w:right w:val="nil"/>
            </w:tcBorders>
            <w:shd w:val="clear" w:color="000000" w:fill="FFFFFF"/>
            <w:noWrap/>
            <w:vAlign w:val="bottom"/>
            <w:hideMark/>
          </w:tcPr>
          <w:p w:rsidR="00D34397" w:rsidRPr="000A087D" w:rsidRDefault="00D34397" w:rsidP="00D34397">
            <w:pPr>
              <w:rPr>
                <w:rFonts w:eastAsia="Times New Roman" w:cs="Calibri"/>
                <w:sz w:val="18"/>
                <w:szCs w:val="18"/>
                <w:lang w:eastAsia="en-AU"/>
              </w:rPr>
            </w:pPr>
            <w:r w:rsidRPr="000A087D">
              <w:rPr>
                <w:rFonts w:eastAsia="Times New Roman" w:cs="Calibri"/>
                <w:sz w:val="18"/>
                <w:szCs w:val="18"/>
                <w:lang w:eastAsia="en-AU"/>
              </w:rPr>
              <w:t>Large owner</w:t>
            </w:r>
          </w:p>
        </w:tc>
        <w:tc>
          <w:tcPr>
            <w:tcW w:w="1781"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2380"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D34397" w:rsidRPr="000A087D" w:rsidRDefault="00D34397" w:rsidP="00D34397">
            <w:pPr>
              <w:jc w:val="right"/>
              <w:rPr>
                <w:rFonts w:eastAsia="Times New Roman" w:cs="Calibri"/>
                <w:sz w:val="18"/>
                <w:szCs w:val="18"/>
                <w:lang w:eastAsia="en-AU"/>
              </w:rPr>
            </w:pPr>
            <w:r>
              <w:rPr>
                <w:rFonts w:cs="Calibri"/>
                <w:sz w:val="18"/>
                <w:szCs w:val="18"/>
              </w:rPr>
              <w:t>1.4</w:t>
            </w:r>
            <w:r w:rsidR="00593B27">
              <w:rPr>
                <w:rFonts w:cs="Calibri"/>
                <w:sz w:val="18"/>
                <w:szCs w:val="18"/>
              </w:rPr>
              <w:t>6</w:t>
            </w:r>
            <w:r>
              <w:rPr>
                <w:rFonts w:cs="Calibri"/>
                <w:sz w:val="18"/>
                <w:szCs w:val="18"/>
              </w:rPr>
              <w:t>%</w:t>
            </w:r>
          </w:p>
        </w:tc>
      </w:tr>
      <w:tr w:rsidR="00D34397" w:rsidRPr="000A087D" w:rsidTr="00B13AD8">
        <w:trPr>
          <w:trHeight w:val="240"/>
        </w:trPr>
        <w:tc>
          <w:tcPr>
            <w:tcW w:w="1480" w:type="dxa"/>
            <w:tcBorders>
              <w:top w:val="nil"/>
              <w:left w:val="nil"/>
              <w:bottom w:val="nil"/>
              <w:right w:val="nil"/>
            </w:tcBorders>
            <w:shd w:val="clear" w:color="000000" w:fill="FFFFFF"/>
            <w:noWrap/>
            <w:vAlign w:val="bottom"/>
            <w:hideMark/>
          </w:tcPr>
          <w:p w:rsidR="00D34397" w:rsidRPr="000A087D" w:rsidRDefault="00D34397" w:rsidP="00D34397">
            <w:pPr>
              <w:rPr>
                <w:rFonts w:eastAsia="Times New Roman" w:cs="Calibri"/>
                <w:sz w:val="18"/>
                <w:szCs w:val="18"/>
                <w:lang w:eastAsia="en-AU"/>
              </w:rPr>
            </w:pPr>
            <w:r w:rsidRPr="000A087D">
              <w:rPr>
                <w:rFonts w:eastAsia="Times New Roman" w:cs="Calibri"/>
                <w:sz w:val="18"/>
                <w:szCs w:val="18"/>
                <w:lang w:eastAsia="en-AU"/>
              </w:rPr>
              <w:t>Small owner</w:t>
            </w:r>
          </w:p>
        </w:tc>
        <w:tc>
          <w:tcPr>
            <w:tcW w:w="1781"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2380"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D34397" w:rsidRPr="000A087D" w:rsidRDefault="00D34397" w:rsidP="00D34397">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D34397" w:rsidRPr="000A087D" w:rsidRDefault="00D34397" w:rsidP="00D34397">
            <w:pPr>
              <w:jc w:val="right"/>
              <w:rPr>
                <w:rFonts w:eastAsia="Times New Roman" w:cs="Calibri"/>
                <w:sz w:val="18"/>
                <w:szCs w:val="18"/>
                <w:lang w:eastAsia="en-AU"/>
              </w:rPr>
            </w:pPr>
            <w:r>
              <w:rPr>
                <w:rFonts w:cs="Calibri"/>
                <w:sz w:val="18"/>
                <w:szCs w:val="18"/>
              </w:rPr>
              <w:t>56.</w:t>
            </w:r>
            <w:r w:rsidR="00593B27">
              <w:rPr>
                <w:rFonts w:cs="Calibri"/>
                <w:sz w:val="18"/>
                <w:szCs w:val="18"/>
              </w:rPr>
              <w:t>91</w:t>
            </w:r>
            <w:r>
              <w:rPr>
                <w:rFonts w:cs="Calibri"/>
                <w:sz w:val="18"/>
                <w:szCs w:val="18"/>
              </w:rPr>
              <w:t>%</w:t>
            </w:r>
          </w:p>
        </w:tc>
      </w:tr>
      <w:tr w:rsidR="00593B27" w:rsidRPr="000A087D" w:rsidTr="00B13AD8">
        <w:trPr>
          <w:trHeight w:val="240"/>
        </w:trPr>
        <w:tc>
          <w:tcPr>
            <w:tcW w:w="1480" w:type="dxa"/>
            <w:tcBorders>
              <w:top w:val="nil"/>
              <w:left w:val="nil"/>
              <w:bottom w:val="nil"/>
              <w:right w:val="nil"/>
            </w:tcBorders>
            <w:shd w:val="clear" w:color="000000" w:fill="FFFFFF"/>
            <w:noWrap/>
            <w:vAlign w:val="bottom"/>
            <w:hideMark/>
          </w:tcPr>
          <w:p w:rsidR="00593B27" w:rsidRPr="000A087D" w:rsidRDefault="00593B27" w:rsidP="00593B27">
            <w:pPr>
              <w:rPr>
                <w:rFonts w:eastAsia="Times New Roman" w:cs="Calibri"/>
                <w:sz w:val="18"/>
                <w:szCs w:val="18"/>
                <w:lang w:eastAsia="en-AU"/>
              </w:rPr>
            </w:pPr>
            <w:r w:rsidRPr="000A087D">
              <w:rPr>
                <w:rFonts w:eastAsia="Times New Roman" w:cs="Calibri"/>
                <w:sz w:val="18"/>
                <w:szCs w:val="18"/>
                <w:lang w:eastAsia="en-AU"/>
              </w:rPr>
              <w:t>GAP</w:t>
            </w:r>
          </w:p>
        </w:tc>
        <w:tc>
          <w:tcPr>
            <w:tcW w:w="1781" w:type="dxa"/>
            <w:tcBorders>
              <w:top w:val="nil"/>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color w:val="FF0000"/>
                <w:sz w:val="18"/>
                <w:szCs w:val="18"/>
                <w:lang w:eastAsia="en-AU"/>
              </w:rPr>
            </w:pPr>
            <w:r w:rsidRPr="000A087D">
              <w:rPr>
                <w:rFonts w:eastAsia="Times New Roman" w:cs="Calibri"/>
                <w:color w:val="FF0000"/>
                <w:sz w:val="18"/>
                <w:szCs w:val="18"/>
                <w:lang w:eastAsia="en-AU"/>
              </w:rPr>
              <w:t>$0</w:t>
            </w:r>
          </w:p>
        </w:tc>
        <w:tc>
          <w:tcPr>
            <w:tcW w:w="2380" w:type="dxa"/>
            <w:tcBorders>
              <w:top w:val="nil"/>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593B27" w:rsidRPr="000A087D" w:rsidRDefault="00593B27" w:rsidP="00593B27">
            <w:pPr>
              <w:jc w:val="right"/>
              <w:rPr>
                <w:rFonts w:eastAsia="Times New Roman" w:cs="Calibri"/>
                <w:sz w:val="18"/>
                <w:szCs w:val="18"/>
                <w:lang w:eastAsia="en-AU"/>
              </w:rPr>
            </w:pPr>
            <w:r>
              <w:rPr>
                <w:rFonts w:cs="Calibri"/>
                <w:sz w:val="18"/>
                <w:szCs w:val="18"/>
              </w:rPr>
              <w:t>41.63%</w:t>
            </w:r>
          </w:p>
        </w:tc>
      </w:tr>
      <w:tr w:rsidR="00593B27" w:rsidRPr="00975792" w:rsidTr="00B13AD8">
        <w:trPr>
          <w:trHeight w:val="240"/>
        </w:trPr>
        <w:tc>
          <w:tcPr>
            <w:tcW w:w="1480" w:type="dxa"/>
            <w:tcBorders>
              <w:top w:val="single" w:sz="4" w:space="0" w:color="1F4E78"/>
              <w:left w:val="nil"/>
              <w:bottom w:val="nil"/>
              <w:right w:val="nil"/>
            </w:tcBorders>
            <w:shd w:val="clear" w:color="000000" w:fill="FFFFFF"/>
            <w:noWrap/>
            <w:vAlign w:val="bottom"/>
            <w:hideMark/>
          </w:tcPr>
          <w:p w:rsidR="00593B27" w:rsidRPr="000A087D" w:rsidRDefault="00593B27" w:rsidP="00593B27">
            <w:pPr>
              <w:rPr>
                <w:rFonts w:eastAsia="Times New Roman" w:cs="Calibri"/>
                <w:b/>
                <w:bCs/>
                <w:color w:val="1F4E78"/>
                <w:sz w:val="18"/>
                <w:szCs w:val="18"/>
                <w:lang w:eastAsia="en-AU"/>
              </w:rPr>
            </w:pPr>
            <w:r w:rsidRPr="00975792">
              <w:rPr>
                <w:rFonts w:eastAsia="Times New Roman" w:cs="Calibri"/>
                <w:b/>
                <w:bCs/>
                <w:color w:val="53565A"/>
                <w:sz w:val="18"/>
                <w:szCs w:val="18"/>
                <w:lang w:eastAsia="en-AU"/>
              </w:rPr>
              <w:t>Total cost savings</w:t>
            </w:r>
          </w:p>
        </w:tc>
        <w:tc>
          <w:tcPr>
            <w:tcW w:w="1781" w:type="dxa"/>
            <w:tcBorders>
              <w:top w:val="single" w:sz="4" w:space="0" w:color="1F4E78"/>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b/>
                <w:bCs/>
                <w:color w:val="FF0000"/>
                <w:sz w:val="18"/>
                <w:szCs w:val="18"/>
                <w:lang w:eastAsia="en-AU"/>
              </w:rPr>
            </w:pPr>
            <w:r w:rsidRPr="000A087D">
              <w:rPr>
                <w:rFonts w:eastAsia="Times New Roman" w:cs="Calibri"/>
                <w:b/>
                <w:bCs/>
                <w:color w:val="FF0000"/>
                <w:sz w:val="18"/>
                <w:szCs w:val="18"/>
                <w:lang w:eastAsia="en-AU"/>
              </w:rPr>
              <w:t>$0</w:t>
            </w:r>
          </w:p>
        </w:tc>
        <w:tc>
          <w:tcPr>
            <w:tcW w:w="2380" w:type="dxa"/>
            <w:tcBorders>
              <w:top w:val="single" w:sz="4" w:space="0" w:color="1F4E78"/>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nil"/>
              <w:right w:val="nil"/>
            </w:tcBorders>
            <w:shd w:val="clear" w:color="000000" w:fill="FFFFFF"/>
            <w:noWrap/>
            <w:vAlign w:val="bottom"/>
            <w:hideMark/>
          </w:tcPr>
          <w:p w:rsidR="00593B27" w:rsidRPr="000A087D" w:rsidRDefault="00593B27" w:rsidP="00593B27">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nil"/>
              <w:right w:val="nil"/>
            </w:tcBorders>
            <w:shd w:val="clear" w:color="auto" w:fill="DBE5F1" w:themeFill="accent1" w:themeFillTint="33"/>
            <w:noWrap/>
            <w:vAlign w:val="bottom"/>
            <w:hideMark/>
          </w:tcPr>
          <w:p w:rsidR="00593B27" w:rsidRPr="00975792" w:rsidRDefault="00593B27" w:rsidP="00593B27">
            <w:pPr>
              <w:jc w:val="right"/>
              <w:rPr>
                <w:rFonts w:eastAsia="Times New Roman" w:cs="Calibri"/>
                <w:b/>
                <w:bCs/>
                <w:color w:val="53565A"/>
                <w:sz w:val="18"/>
                <w:szCs w:val="18"/>
                <w:lang w:eastAsia="en-AU"/>
              </w:rPr>
            </w:pPr>
            <w:r w:rsidRPr="00975792">
              <w:rPr>
                <w:rFonts w:cs="Calibri"/>
                <w:b/>
                <w:bCs/>
                <w:color w:val="53565A"/>
                <w:sz w:val="18"/>
                <w:szCs w:val="18"/>
              </w:rPr>
              <w:t>100.00%</w:t>
            </w:r>
          </w:p>
        </w:tc>
      </w:tr>
      <w:tr w:rsidR="00593B27" w:rsidRPr="000A087D" w:rsidTr="00B13AD8">
        <w:trPr>
          <w:trHeight w:val="240"/>
        </w:trPr>
        <w:tc>
          <w:tcPr>
            <w:tcW w:w="1480" w:type="dxa"/>
            <w:tcBorders>
              <w:top w:val="single" w:sz="4" w:space="0" w:color="auto"/>
              <w:left w:val="nil"/>
              <w:bottom w:val="single" w:sz="4" w:space="0" w:color="auto"/>
              <w:right w:val="nil"/>
            </w:tcBorders>
            <w:shd w:val="clear" w:color="000000" w:fill="FFFFFF"/>
            <w:noWrap/>
            <w:vAlign w:val="bottom"/>
            <w:hideMark/>
          </w:tcPr>
          <w:p w:rsidR="00593B27" w:rsidRPr="000A087D" w:rsidRDefault="00593B27" w:rsidP="00593B27">
            <w:pPr>
              <w:rPr>
                <w:rFonts w:eastAsia="Times New Roman" w:cs="Calibri"/>
                <w:b/>
                <w:bCs/>
                <w:i/>
                <w:iCs/>
                <w:sz w:val="18"/>
                <w:szCs w:val="18"/>
                <w:lang w:eastAsia="en-AU"/>
              </w:rPr>
            </w:pPr>
            <w:r w:rsidRPr="000A087D">
              <w:rPr>
                <w:rFonts w:eastAsia="Times New Roman" w:cs="Calibri"/>
                <w:b/>
                <w:bCs/>
                <w:i/>
                <w:iCs/>
                <w:sz w:val="18"/>
                <w:szCs w:val="18"/>
                <w:lang w:eastAsia="en-AU"/>
              </w:rPr>
              <w:t>Total net costs</w:t>
            </w:r>
          </w:p>
        </w:tc>
        <w:tc>
          <w:tcPr>
            <w:tcW w:w="1781" w:type="dxa"/>
            <w:tcBorders>
              <w:top w:val="single" w:sz="4" w:space="0" w:color="auto"/>
              <w:left w:val="nil"/>
              <w:bottom w:val="single" w:sz="4" w:space="0" w:color="auto"/>
              <w:right w:val="nil"/>
            </w:tcBorders>
            <w:shd w:val="clear" w:color="000000" w:fill="FFFFFF"/>
            <w:noWrap/>
            <w:vAlign w:val="bottom"/>
            <w:hideMark/>
          </w:tcPr>
          <w:p w:rsidR="00593B27" w:rsidRPr="000A087D" w:rsidRDefault="00593B27" w:rsidP="00593B27">
            <w:pPr>
              <w:jc w:val="right"/>
              <w:rPr>
                <w:rFonts w:eastAsia="Times New Roman" w:cs="Calibri"/>
                <w:b/>
                <w:bCs/>
                <w:i/>
                <w:iCs/>
                <w:sz w:val="18"/>
                <w:szCs w:val="18"/>
                <w:lang w:eastAsia="en-AU"/>
              </w:rPr>
            </w:pPr>
            <w:r w:rsidRPr="000A087D">
              <w:rPr>
                <w:rFonts w:eastAsia="Times New Roman" w:cs="Calibri"/>
                <w:b/>
                <w:bCs/>
                <w:i/>
                <w:iCs/>
                <w:sz w:val="18"/>
                <w:szCs w:val="18"/>
                <w:lang w:eastAsia="en-AU"/>
              </w:rPr>
              <w:t>$5,213,586</w:t>
            </w:r>
          </w:p>
        </w:tc>
        <w:tc>
          <w:tcPr>
            <w:tcW w:w="2380" w:type="dxa"/>
            <w:tcBorders>
              <w:top w:val="single" w:sz="4" w:space="0" w:color="auto"/>
              <w:left w:val="nil"/>
              <w:bottom w:val="single" w:sz="4" w:space="0" w:color="auto"/>
              <w:right w:val="nil"/>
            </w:tcBorders>
            <w:shd w:val="clear" w:color="000000" w:fill="FFFFFF"/>
            <w:noWrap/>
            <w:vAlign w:val="bottom"/>
            <w:hideMark/>
          </w:tcPr>
          <w:p w:rsidR="00593B27" w:rsidRPr="000A087D" w:rsidRDefault="00593B27" w:rsidP="00593B27">
            <w:pPr>
              <w:jc w:val="right"/>
              <w:rPr>
                <w:rFonts w:eastAsia="Times New Roman" w:cs="Calibri"/>
                <w:b/>
                <w:bCs/>
                <w:i/>
                <w:iCs/>
                <w:sz w:val="18"/>
                <w:szCs w:val="18"/>
                <w:lang w:eastAsia="en-AU"/>
              </w:rPr>
            </w:pPr>
            <w:r>
              <w:rPr>
                <w:rFonts w:cs="Calibri"/>
                <w:b/>
                <w:bCs/>
                <w:i/>
                <w:iCs/>
                <w:sz w:val="18"/>
                <w:szCs w:val="18"/>
              </w:rPr>
              <w:t>$3,609,680</w:t>
            </w:r>
          </w:p>
        </w:tc>
        <w:tc>
          <w:tcPr>
            <w:tcW w:w="1380" w:type="dxa"/>
            <w:tcBorders>
              <w:top w:val="single" w:sz="4" w:space="0" w:color="auto"/>
              <w:left w:val="nil"/>
              <w:bottom w:val="single" w:sz="4" w:space="0" w:color="auto"/>
              <w:right w:val="nil"/>
            </w:tcBorders>
            <w:shd w:val="clear" w:color="000000" w:fill="FFFFFF"/>
            <w:noWrap/>
            <w:vAlign w:val="bottom"/>
            <w:hideMark/>
          </w:tcPr>
          <w:p w:rsidR="00593B27" w:rsidRPr="000A087D" w:rsidRDefault="00593B27" w:rsidP="00593B27">
            <w:pPr>
              <w:jc w:val="right"/>
              <w:rPr>
                <w:rFonts w:eastAsia="Times New Roman" w:cs="Calibri"/>
                <w:b/>
                <w:bCs/>
                <w:i/>
                <w:iCs/>
                <w:sz w:val="18"/>
                <w:szCs w:val="18"/>
                <w:lang w:eastAsia="en-AU"/>
              </w:rPr>
            </w:pPr>
            <w:r>
              <w:rPr>
                <w:rFonts w:cs="Calibri"/>
                <w:b/>
                <w:bCs/>
                <w:i/>
                <w:iCs/>
                <w:sz w:val="18"/>
                <w:szCs w:val="18"/>
              </w:rPr>
              <w:t>$35,790,672</w:t>
            </w:r>
          </w:p>
        </w:tc>
        <w:tc>
          <w:tcPr>
            <w:tcW w:w="1340" w:type="dxa"/>
            <w:tcBorders>
              <w:top w:val="single" w:sz="4" w:space="0" w:color="auto"/>
              <w:left w:val="nil"/>
              <w:bottom w:val="single" w:sz="4" w:space="0" w:color="auto"/>
              <w:right w:val="nil"/>
            </w:tcBorders>
            <w:shd w:val="clear" w:color="auto" w:fill="DBE5F1" w:themeFill="accent1" w:themeFillTint="33"/>
            <w:noWrap/>
            <w:vAlign w:val="bottom"/>
            <w:hideMark/>
          </w:tcPr>
          <w:p w:rsidR="00593B27" w:rsidRPr="000A087D" w:rsidRDefault="00593B27" w:rsidP="00593B27">
            <w:pPr>
              <w:rPr>
                <w:rFonts w:eastAsia="Times New Roman" w:cs="Calibri"/>
                <w:b/>
                <w:bCs/>
                <w:i/>
                <w:iCs/>
                <w:sz w:val="18"/>
                <w:szCs w:val="18"/>
                <w:lang w:eastAsia="en-AU"/>
              </w:rPr>
            </w:pPr>
            <w:r>
              <w:rPr>
                <w:rFonts w:cs="Calibri"/>
                <w:b/>
                <w:bCs/>
                <w:i/>
                <w:iCs/>
                <w:sz w:val="18"/>
                <w:szCs w:val="18"/>
              </w:rPr>
              <w:t> </w:t>
            </w:r>
          </w:p>
        </w:tc>
      </w:tr>
    </w:tbl>
    <w:p w:rsidR="000A087D" w:rsidRDefault="000A087D" w:rsidP="00AA425C"/>
    <w:p w:rsidR="00AA425C" w:rsidRDefault="00AA425C">
      <w:pPr>
        <w:rPr>
          <w:i/>
          <w:color w:val="53565A"/>
          <w:sz w:val="24"/>
          <w:szCs w:val="24"/>
        </w:rPr>
      </w:pPr>
      <w:bookmarkStart w:id="277" w:name="_Toc469529237"/>
      <w:r>
        <w:br w:type="page"/>
      </w:r>
    </w:p>
    <w:p w:rsidR="00A05891" w:rsidRDefault="00EA26DD" w:rsidP="005E307C">
      <w:pPr>
        <w:pStyle w:val="Heading3"/>
      </w:pPr>
      <w:bookmarkStart w:id="278" w:name="_Toc477190261"/>
      <w:r>
        <w:lastRenderedPageBreak/>
        <w:t>A4.17</w:t>
      </w:r>
      <w:r w:rsidR="00A05891">
        <w:t>.5 Summary of total incremental costs of Option 3</w:t>
      </w:r>
      <w:bookmarkEnd w:id="277"/>
      <w:bookmarkEnd w:id="278"/>
    </w:p>
    <w:p w:rsidR="00A05891" w:rsidRDefault="00A05891" w:rsidP="00A05891">
      <w:pPr>
        <w:jc w:val="both"/>
      </w:pPr>
      <w:r>
        <w:t>A total summary of net</w:t>
      </w:r>
      <w:r w:rsidR="002454AF">
        <w:t xml:space="preserve"> incremental cost under Option 3</w:t>
      </w:r>
      <w:r>
        <w:t xml:space="preserve"> based on all estim</w:t>
      </w:r>
      <w:r w:rsidR="008E01B1">
        <w:t>ations in Sections A4.2 to A4.13</w:t>
      </w:r>
      <w:r>
        <w:t xml:space="preserve"> of Appendix </w:t>
      </w:r>
      <w:r w:rsidR="007D7A02">
        <w:t>4</w:t>
      </w:r>
      <w:r>
        <w:t xml:space="preserve"> is provided for in Table A4.29. The total additiona</w:t>
      </w:r>
      <w:r w:rsidR="002454AF">
        <w:t>l cost of Option 3</w:t>
      </w:r>
      <w:r>
        <w:t>, as c</w:t>
      </w:r>
      <w:r w:rsidR="002454AF">
        <w:t>ompared to the base case, is $117</w:t>
      </w:r>
      <w:r w:rsidR="008B7C8C">
        <w:t>.</w:t>
      </w:r>
      <w:r w:rsidR="00AD2026">
        <w:t>79</w:t>
      </w:r>
      <w:r>
        <w:t xml:space="preserve">m over 10 years in present value </w:t>
      </w:r>
      <w:r w:rsidR="002454AF">
        <w:t>dollars with one-off costs of $1</w:t>
      </w:r>
      <w:r w:rsidR="008B7C8C">
        <w:t>9.34m and annual costs of $11.6</w:t>
      </w:r>
      <w:r w:rsidR="00AD2026">
        <w:t>6</w:t>
      </w:r>
      <w:r>
        <w:t>m.</w:t>
      </w:r>
    </w:p>
    <w:p w:rsidR="002454AF" w:rsidRDefault="002454AF" w:rsidP="00A05891">
      <w:pPr>
        <w:jc w:val="center"/>
        <w:rPr>
          <w:b/>
          <w:sz w:val="20"/>
        </w:rPr>
      </w:pPr>
    </w:p>
    <w:p w:rsidR="00A05891" w:rsidRPr="000D1D99" w:rsidRDefault="00A05891" w:rsidP="00A05891">
      <w:pPr>
        <w:jc w:val="center"/>
        <w:rPr>
          <w:b/>
          <w:sz w:val="20"/>
        </w:rPr>
      </w:pPr>
      <w:r>
        <w:rPr>
          <w:b/>
          <w:sz w:val="20"/>
        </w:rPr>
        <w:t>Table A4.29</w:t>
      </w:r>
      <w:r w:rsidRPr="000D1D99">
        <w:rPr>
          <w:b/>
          <w:sz w:val="20"/>
        </w:rPr>
        <w:t xml:space="preserve">: </w:t>
      </w:r>
      <w:r>
        <w:rPr>
          <w:b/>
          <w:sz w:val="20"/>
        </w:rPr>
        <w:t xml:space="preserve">Summary of net incremental </w:t>
      </w:r>
      <w:r w:rsidRPr="000D1D99">
        <w:rPr>
          <w:b/>
          <w:sz w:val="20"/>
        </w:rPr>
        <w:t>cost</w:t>
      </w:r>
      <w:r>
        <w:rPr>
          <w:b/>
          <w:sz w:val="20"/>
        </w:rPr>
        <w:t>s of Option 3</w:t>
      </w:r>
    </w:p>
    <w:p w:rsidR="00A05891" w:rsidRDefault="00A05891" w:rsidP="00975792"/>
    <w:tbl>
      <w:tblPr>
        <w:tblW w:w="9436" w:type="dxa"/>
        <w:jc w:val="center"/>
        <w:tblLayout w:type="fixed"/>
        <w:tblLook w:val="04A0" w:firstRow="1" w:lastRow="0" w:firstColumn="1" w:lastColumn="0" w:noHBand="0" w:noVBand="1"/>
      </w:tblPr>
      <w:tblGrid>
        <w:gridCol w:w="678"/>
        <w:gridCol w:w="1639"/>
        <w:gridCol w:w="1369"/>
        <w:gridCol w:w="1207"/>
        <w:gridCol w:w="1061"/>
        <w:gridCol w:w="1130"/>
        <w:gridCol w:w="1130"/>
        <w:gridCol w:w="1222"/>
      </w:tblGrid>
      <w:tr w:rsidR="001B16E2" w:rsidRPr="00975792" w:rsidTr="00503B24">
        <w:trPr>
          <w:trHeight w:val="840"/>
          <w:tblHeader/>
          <w:jc w:val="center"/>
        </w:trPr>
        <w:tc>
          <w:tcPr>
            <w:tcW w:w="678" w:type="dxa"/>
            <w:tcBorders>
              <w:top w:val="single" w:sz="4" w:space="0" w:color="1F4E78"/>
              <w:left w:val="nil"/>
              <w:bottom w:val="double" w:sz="6" w:space="0" w:color="1F4E78"/>
              <w:right w:val="nil"/>
            </w:tcBorders>
            <w:shd w:val="clear" w:color="000000" w:fill="FFFFFF"/>
            <w:vAlign w:val="bottom"/>
            <w:hideMark/>
          </w:tcPr>
          <w:p w:rsidR="001B16E2" w:rsidRPr="00975792" w:rsidRDefault="00D5101E" w:rsidP="001B16E2">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St</w:t>
            </w:r>
            <w:r w:rsidR="001B16E2" w:rsidRPr="00975792">
              <w:rPr>
                <w:rFonts w:eastAsia="Times New Roman" w:cs="Calibri"/>
                <w:b/>
                <w:bCs/>
                <w:color w:val="53565A"/>
                <w:sz w:val="20"/>
                <w:szCs w:val="20"/>
                <w:lang w:eastAsia="en-AU"/>
              </w:rPr>
              <w:t>d</w:t>
            </w:r>
            <w:r w:rsidRPr="00975792">
              <w:rPr>
                <w:rFonts w:eastAsia="Times New Roman" w:cs="Calibri"/>
                <w:b/>
                <w:bCs/>
                <w:color w:val="53565A"/>
                <w:sz w:val="20"/>
                <w:szCs w:val="20"/>
                <w:lang w:eastAsia="en-AU"/>
              </w:rPr>
              <w:t>.</w:t>
            </w:r>
          </w:p>
        </w:tc>
        <w:tc>
          <w:tcPr>
            <w:tcW w:w="1639"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1B16E2">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description</w:t>
            </w:r>
          </w:p>
        </w:tc>
        <w:tc>
          <w:tcPr>
            <w:tcW w:w="1369"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D5101E">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incurred by</w:t>
            </w:r>
          </w:p>
        </w:tc>
        <w:tc>
          <w:tcPr>
            <w:tcW w:w="1207"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1B16E2">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participants</w:t>
            </w:r>
          </w:p>
        </w:tc>
        <w:tc>
          <w:tcPr>
            <w:tcW w:w="1061"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1B16E2">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animals affected</w:t>
            </w:r>
          </w:p>
        </w:tc>
        <w:tc>
          <w:tcPr>
            <w:tcW w:w="1130"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1B16E2">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1130" w:type="dxa"/>
            <w:tcBorders>
              <w:top w:val="single" w:sz="4" w:space="0" w:color="1F4E78"/>
              <w:left w:val="nil"/>
              <w:bottom w:val="double" w:sz="6" w:space="0" w:color="1F4E78"/>
              <w:right w:val="nil"/>
            </w:tcBorders>
            <w:shd w:val="clear" w:color="000000" w:fill="FFFFFF"/>
            <w:vAlign w:val="bottom"/>
            <w:hideMark/>
          </w:tcPr>
          <w:p w:rsidR="001B16E2" w:rsidRPr="00975792" w:rsidRDefault="001B16E2" w:rsidP="001B16E2">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222" w:type="dxa"/>
            <w:tcBorders>
              <w:top w:val="single" w:sz="4" w:space="0" w:color="1F4E78"/>
              <w:left w:val="nil"/>
              <w:bottom w:val="double" w:sz="6" w:space="0" w:color="1F4E78"/>
              <w:right w:val="nil"/>
            </w:tcBorders>
            <w:shd w:val="clear" w:color="auto" w:fill="DBE5F1" w:themeFill="accent1" w:themeFillTint="33"/>
            <w:vAlign w:val="bottom"/>
            <w:hideMark/>
          </w:tcPr>
          <w:p w:rsidR="001B16E2" w:rsidRPr="00975792" w:rsidRDefault="001B16E2" w:rsidP="001B16E2">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r>
      <w:tr w:rsidR="001B16E2" w:rsidRPr="001B16E2" w:rsidTr="00503B24">
        <w:trPr>
          <w:trHeight w:val="31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3.1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Staff Ratio 1:25</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353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$940,995</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$7,937,607</w:t>
            </w:r>
          </w:p>
        </w:tc>
      </w:tr>
      <w:tr w:rsidR="001B16E2" w:rsidRPr="00975792" w:rsidTr="00503B24">
        <w:trPr>
          <w:trHeight w:val="27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3.1</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Staff Ratio 1:25</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353</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$940,995</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$7,937,607</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3.6</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Independent VET</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Owners who are VETs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$508</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$4,282</w:t>
            </w:r>
          </w:p>
        </w:tc>
      </w:tr>
      <w:tr w:rsidR="001B16E2"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3.6</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Independent VET</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23</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$508</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$4,282</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$3,926</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$2,227</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$22,713</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$37,422</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$49,319</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$453,445</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$13,277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$9,805</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$95,984</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1,153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$95,744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$138,402</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$1,263,213</w:t>
            </w:r>
          </w:p>
        </w:tc>
      </w:tr>
      <w:tr w:rsidR="001B16E2"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4.1</w:t>
            </w:r>
          </w:p>
        </w:tc>
        <w:tc>
          <w:tcPr>
            <w:tcW w:w="1639" w:type="dxa"/>
            <w:tcBorders>
              <w:top w:val="nil"/>
              <w:left w:val="nil"/>
              <w:bottom w:val="single" w:sz="4" w:space="0" w:color="1F4E78"/>
              <w:right w:val="nil"/>
            </w:tcBorders>
            <w:shd w:val="clear" w:color="000000" w:fill="FFFFFF"/>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management plans</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1,665</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$150,370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$199,753</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$1,835,355</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$1,551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$13,082</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$31,078</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$262,150</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$3,463</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$29,211</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1,153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$44,446</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$374,921</w:t>
            </w:r>
          </w:p>
        </w:tc>
      </w:tr>
      <w:tr w:rsidR="001B16E2"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w:t>
            </w:r>
          </w:p>
        </w:tc>
        <w:tc>
          <w:tcPr>
            <w:tcW w:w="1639" w:type="dxa"/>
            <w:tcBorders>
              <w:top w:val="nil"/>
              <w:left w:val="nil"/>
              <w:bottom w:val="single" w:sz="4" w:space="0" w:color="1F4E78"/>
              <w:right w:val="nil"/>
            </w:tcBorders>
            <w:shd w:val="clear" w:color="000000" w:fill="FFFFFF"/>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 keeping</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1,665</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$80,538</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$679,363</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$2,481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$20,931</w:t>
            </w:r>
          </w:p>
        </w:tc>
      </w:tr>
      <w:tr w:rsidR="001B16E2" w:rsidRPr="001B16E2" w:rsidTr="00503B24">
        <w:trPr>
          <w:trHeight w:val="255"/>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$49,724</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$419,440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$5,541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$46,737</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1,153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$71,114</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$599,873</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5.2.1</w:t>
            </w:r>
          </w:p>
        </w:tc>
        <w:tc>
          <w:tcPr>
            <w:tcW w:w="1639" w:type="dxa"/>
            <w:tcBorders>
              <w:top w:val="nil"/>
              <w:left w:val="nil"/>
              <w:bottom w:val="single" w:sz="4" w:space="0" w:color="1F4E78"/>
              <w:right w:val="nil"/>
            </w:tcBorders>
            <w:shd w:val="clear" w:color="000000" w:fill="FFFFFF"/>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Records of health &amp; transfer</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1,665</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$128,860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$1,086,981</w:t>
            </w:r>
          </w:p>
        </w:tc>
      </w:tr>
      <w:tr w:rsidR="001B16E2" w:rsidRPr="001B16E2" w:rsidTr="00503B24">
        <w:trPr>
          <w:trHeight w:val="27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$2,731</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$3,590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$33,011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$54,737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$71,935</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$661,532</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receptacle and hygiene</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430</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5,747</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$57,468</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$75,525</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$694,544</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$6,400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$6,400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$6,400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$6,400</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storage</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3.2</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320</w:t>
            </w:r>
          </w:p>
        </w:tc>
        <w:tc>
          <w:tcPr>
            <w:tcW w:w="1130" w:type="dxa"/>
            <w:tcBorders>
              <w:top w:val="nil"/>
              <w:left w:val="nil"/>
              <w:bottom w:val="single" w:sz="4" w:space="0" w:color="1F4E78"/>
              <w:right w:val="nil"/>
            </w:tcBorders>
            <w:shd w:val="clear" w:color="000000" w:fill="FFFFFF"/>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$12,800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$12,800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21</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$7,710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$65,041</w:t>
            </w:r>
          </w:p>
        </w:tc>
      </w:tr>
      <w:tr w:rsidR="001B16E2" w:rsidRPr="001B16E2" w:rsidTr="00503B24">
        <w:trPr>
          <w:trHeight w:val="21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429</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$154,515</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$1,303,387</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lastRenderedPageBreak/>
              <w:t>6.2.3</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(breeding females)</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451</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$162,226</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$1,368,428</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$32,777</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$276,486</w:t>
            </w:r>
          </w:p>
        </w:tc>
      </w:tr>
      <w:tr w:rsidR="001B16E2" w:rsidRPr="001B16E2" w:rsidTr="00503B24">
        <w:trPr>
          <w:trHeight w:val="21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$656,841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$5,540,669</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$73,190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$617,380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1,153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$939,397</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$7,924,122</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checks (all greyhounds)</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1,665</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$1,702,204</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$14,358,657</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$1,071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$9,038</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2,684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$21,471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$181,111</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(8 to 16 weeks)</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191</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2,818</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$22,542</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$190,149</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$50,790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$428,432</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1B16E2" w:rsidRPr="001B16E2" w:rsidRDefault="00960800" w:rsidP="001B16E2">
            <w:pPr>
              <w:rPr>
                <w:rFonts w:eastAsia="Times New Roman" w:cs="Calibri"/>
                <w:sz w:val="18"/>
                <w:szCs w:val="18"/>
                <w:lang w:eastAsia="en-AU"/>
              </w:rPr>
            </w:pPr>
            <w:r>
              <w:rPr>
                <w:rFonts w:eastAsia="Times New Roman" w:cs="Calibri"/>
                <w:sz w:val="18"/>
                <w:szCs w:val="18"/>
                <w:lang w:eastAsia="en-AU"/>
              </w:rPr>
              <w:t>Rearing (16 weeks to 18 months</w:t>
            </w:r>
            <w:r w:rsidR="001B16E2" w:rsidRPr="001B16E2">
              <w:rPr>
                <w:rFonts w:eastAsia="Times New Roman" w:cs="Calibri"/>
                <w:sz w:val="18"/>
                <w:szCs w:val="18"/>
                <w:lang w:eastAsia="en-AU"/>
              </w:rPr>
              <w:t>)</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2,684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$1,742,454</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$14,698,177</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25</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188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$75,700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$638,558</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323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2,408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$2,544,161</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$21,460,845</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Rearing (16 weeks to 18 months)</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539</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5,413</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$4,413,106</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$37,226,012</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21</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-$12,114</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-$102,182</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825</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-$472,383</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-$3,984,707</w:t>
            </w:r>
          </w:p>
        </w:tc>
      </w:tr>
      <w:tr w:rsidR="001870A5" w:rsidRPr="001B16E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 (cost savings)</w:t>
            </w:r>
          </w:p>
        </w:tc>
        <w:tc>
          <w:tcPr>
            <w:tcW w:w="136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130"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130" w:type="dxa"/>
            <w:tcBorders>
              <w:top w:val="nil"/>
              <w:left w:val="nil"/>
              <w:bottom w:val="single" w:sz="4" w:space="0" w:color="1F4E78"/>
              <w:right w:val="nil"/>
            </w:tcBorders>
            <w:shd w:val="clear" w:color="000000" w:fill="FFFFFF"/>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-$484,497</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-$4,086,889</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74</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-$8,838</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-$74,550</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2,872</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-$344,642</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-$2,907,171</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159</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-$19,120</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-$161,284</w:t>
            </w:r>
          </w:p>
        </w:tc>
      </w:tr>
      <w:tr w:rsidR="001870A5" w:rsidRPr="001B16E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Euthanasia (cost savings)</w:t>
            </w:r>
          </w:p>
        </w:tc>
        <w:tc>
          <w:tcPr>
            <w:tcW w:w="136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61"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3,105</w:t>
            </w:r>
          </w:p>
        </w:tc>
        <w:tc>
          <w:tcPr>
            <w:tcW w:w="1130"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130" w:type="dxa"/>
            <w:tcBorders>
              <w:top w:val="nil"/>
              <w:left w:val="nil"/>
              <w:bottom w:val="single" w:sz="4" w:space="0" w:color="1F4E78"/>
              <w:right w:val="nil"/>
            </w:tcBorders>
            <w:shd w:val="clear" w:color="000000" w:fill="FFFFFF"/>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-$372,600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-$3,143,005</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39</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-$20,666</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-$174,324</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1,523</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-$805,892</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-$6,797,970</w:t>
            </w:r>
          </w:p>
        </w:tc>
      </w:tr>
      <w:tr w:rsidR="00AD2026"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AD2026" w:rsidRPr="001B16E2" w:rsidRDefault="00AD2026" w:rsidP="00AD2026">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AD2026" w:rsidRPr="001B16E2" w:rsidRDefault="00AD2026" w:rsidP="00AD2026">
            <w:pPr>
              <w:rPr>
                <w:rFonts w:eastAsia="Times New Roman" w:cs="Calibri"/>
                <w:sz w:val="18"/>
                <w:szCs w:val="18"/>
                <w:lang w:eastAsia="en-AU"/>
              </w:rPr>
            </w:pPr>
            <w:r w:rsidRPr="001B16E2">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AD2026" w:rsidRPr="001B16E2" w:rsidRDefault="00AD2026" w:rsidP="00AD2026">
            <w:pPr>
              <w:rPr>
                <w:rFonts w:eastAsia="Times New Roman" w:cs="Calibri"/>
                <w:sz w:val="18"/>
                <w:szCs w:val="18"/>
                <w:lang w:eastAsia="en-AU"/>
              </w:rPr>
            </w:pPr>
            <w:r w:rsidRPr="001B16E2">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AD2026" w:rsidRPr="001B16E2" w:rsidRDefault="00AD2026" w:rsidP="00AD2026">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AD2026" w:rsidRPr="001B16E2" w:rsidRDefault="00AD2026" w:rsidP="00AD2026">
            <w:pPr>
              <w:jc w:val="right"/>
              <w:rPr>
                <w:rFonts w:eastAsia="Times New Roman" w:cs="Calibri"/>
                <w:sz w:val="18"/>
                <w:szCs w:val="18"/>
                <w:lang w:eastAsia="en-AU"/>
              </w:rPr>
            </w:pPr>
            <w:r>
              <w:rPr>
                <w:rFonts w:cs="Calibri"/>
                <w:sz w:val="18"/>
                <w:szCs w:val="18"/>
              </w:rPr>
              <w:t>686</w:t>
            </w:r>
          </w:p>
        </w:tc>
        <w:tc>
          <w:tcPr>
            <w:tcW w:w="1130" w:type="dxa"/>
            <w:tcBorders>
              <w:top w:val="nil"/>
              <w:left w:val="nil"/>
              <w:bottom w:val="nil"/>
              <w:right w:val="nil"/>
            </w:tcBorders>
            <w:shd w:val="clear" w:color="000000" w:fill="FFFFFF"/>
            <w:noWrap/>
            <w:vAlign w:val="bottom"/>
            <w:hideMark/>
          </w:tcPr>
          <w:p w:rsidR="00AD2026" w:rsidRPr="001B16E2" w:rsidRDefault="00AD2026" w:rsidP="00AD2026">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AD2026" w:rsidRPr="001B16E2" w:rsidRDefault="00AD2026" w:rsidP="00AD2026">
            <w:pPr>
              <w:jc w:val="right"/>
              <w:rPr>
                <w:rFonts w:eastAsia="Times New Roman" w:cs="Calibri"/>
                <w:color w:val="FF0000"/>
                <w:sz w:val="18"/>
                <w:szCs w:val="18"/>
                <w:lang w:eastAsia="en-AU"/>
              </w:rPr>
            </w:pPr>
            <w:r>
              <w:rPr>
                <w:rFonts w:cs="Calibri"/>
                <w:color w:val="FF0000"/>
                <w:sz w:val="18"/>
                <w:szCs w:val="18"/>
              </w:rPr>
              <w:t>-$426,099</w:t>
            </w:r>
          </w:p>
        </w:tc>
        <w:tc>
          <w:tcPr>
            <w:tcW w:w="1222" w:type="dxa"/>
            <w:tcBorders>
              <w:top w:val="nil"/>
              <w:left w:val="nil"/>
              <w:bottom w:val="nil"/>
              <w:right w:val="nil"/>
            </w:tcBorders>
            <w:shd w:val="clear" w:color="auto" w:fill="DBE5F1" w:themeFill="accent1" w:themeFillTint="33"/>
            <w:noWrap/>
            <w:vAlign w:val="bottom"/>
            <w:hideMark/>
          </w:tcPr>
          <w:p w:rsidR="00AD2026" w:rsidRPr="001B16E2" w:rsidRDefault="00AD2026" w:rsidP="00AD2026">
            <w:pPr>
              <w:jc w:val="right"/>
              <w:rPr>
                <w:rFonts w:eastAsia="Times New Roman" w:cs="Calibri"/>
                <w:color w:val="FF0000"/>
                <w:sz w:val="18"/>
                <w:szCs w:val="18"/>
                <w:lang w:eastAsia="en-AU"/>
              </w:rPr>
            </w:pPr>
            <w:r>
              <w:rPr>
                <w:rFonts w:cs="Calibri"/>
                <w:color w:val="FF0000"/>
                <w:sz w:val="18"/>
                <w:szCs w:val="18"/>
              </w:rPr>
              <w:t>-$3,594,283</w:t>
            </w:r>
          </w:p>
        </w:tc>
      </w:tr>
      <w:tr w:rsidR="00AD2026" w:rsidRPr="001B16E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 (cost savings)</w:t>
            </w:r>
          </w:p>
        </w:tc>
        <w:tc>
          <w:tcPr>
            <w:tcW w:w="1369"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3494</w:t>
            </w:r>
          </w:p>
        </w:tc>
        <w:tc>
          <w:tcPr>
            <w:tcW w:w="1061"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jc w:val="right"/>
              <w:rPr>
                <w:rFonts w:eastAsia="Times New Roman" w:cs="Calibri"/>
                <w:b/>
                <w:bCs/>
                <w:color w:val="53565A"/>
                <w:sz w:val="18"/>
                <w:szCs w:val="18"/>
                <w:lang w:eastAsia="en-AU"/>
              </w:rPr>
            </w:pPr>
            <w:r w:rsidRPr="00975792">
              <w:rPr>
                <w:rFonts w:cs="Calibri"/>
                <w:b/>
                <w:bCs/>
                <w:color w:val="53565A"/>
                <w:sz w:val="18"/>
                <w:szCs w:val="18"/>
              </w:rPr>
              <w:t>1,562</w:t>
            </w:r>
          </w:p>
        </w:tc>
        <w:tc>
          <w:tcPr>
            <w:tcW w:w="1130" w:type="dxa"/>
            <w:tcBorders>
              <w:top w:val="nil"/>
              <w:left w:val="nil"/>
              <w:bottom w:val="single" w:sz="4" w:space="0" w:color="1F4E78"/>
              <w:right w:val="nil"/>
            </w:tcBorders>
            <w:shd w:val="clear" w:color="000000" w:fill="FFFFFF"/>
            <w:noWrap/>
            <w:vAlign w:val="bottom"/>
            <w:hideMark/>
          </w:tcPr>
          <w:p w:rsidR="00AD2026" w:rsidRPr="00975792" w:rsidRDefault="00AD2026" w:rsidP="00AD2026">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130" w:type="dxa"/>
            <w:tcBorders>
              <w:top w:val="nil"/>
              <w:left w:val="nil"/>
              <w:bottom w:val="single" w:sz="4" w:space="0" w:color="1F4E78"/>
              <w:right w:val="nil"/>
            </w:tcBorders>
            <w:shd w:val="clear" w:color="000000" w:fill="FFFFFF"/>
            <w:noWrap/>
            <w:vAlign w:val="bottom"/>
            <w:hideMark/>
          </w:tcPr>
          <w:p w:rsidR="00AD2026" w:rsidRPr="001B16E2" w:rsidRDefault="00AD2026" w:rsidP="00AD2026">
            <w:pPr>
              <w:jc w:val="right"/>
              <w:rPr>
                <w:rFonts w:eastAsia="Times New Roman" w:cs="Calibri"/>
                <w:b/>
                <w:bCs/>
                <w:color w:val="FF0000"/>
                <w:sz w:val="18"/>
                <w:szCs w:val="18"/>
                <w:lang w:eastAsia="en-AU"/>
              </w:rPr>
            </w:pPr>
            <w:r>
              <w:rPr>
                <w:rFonts w:cs="Calibri"/>
                <w:b/>
                <w:bCs/>
                <w:color w:val="FF0000"/>
                <w:sz w:val="18"/>
                <w:szCs w:val="18"/>
              </w:rPr>
              <w:t>-$1,252,657</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AD2026" w:rsidRPr="001B16E2" w:rsidRDefault="00AD2026" w:rsidP="00AD2026">
            <w:pPr>
              <w:jc w:val="right"/>
              <w:rPr>
                <w:rFonts w:eastAsia="Times New Roman" w:cs="Calibri"/>
                <w:b/>
                <w:bCs/>
                <w:color w:val="FF0000"/>
                <w:sz w:val="18"/>
                <w:szCs w:val="18"/>
                <w:lang w:eastAsia="en-AU"/>
              </w:rPr>
            </w:pPr>
            <w:r>
              <w:rPr>
                <w:rFonts w:cs="Calibri"/>
                <w:b/>
                <w:bCs/>
                <w:color w:val="FF0000"/>
                <w:sz w:val="18"/>
                <w:szCs w:val="18"/>
              </w:rPr>
              <w:t>-$10,566,577</w:t>
            </w:r>
          </w:p>
        </w:tc>
      </w:tr>
      <w:tr w:rsidR="001870A5"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870A5" w:rsidRPr="001B16E2" w:rsidRDefault="001870A5" w:rsidP="001870A5">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Rehabilitation (cost savings)</w:t>
            </w:r>
          </w:p>
        </w:tc>
        <w:tc>
          <w:tcPr>
            <w:tcW w:w="1369" w:type="dxa"/>
            <w:tcBorders>
              <w:top w:val="nil"/>
              <w:left w:val="nil"/>
              <w:bottom w:val="nil"/>
              <w:right w:val="nil"/>
            </w:tcBorders>
            <w:shd w:val="clear" w:color="000000" w:fill="FFFFFF"/>
            <w:noWrap/>
            <w:vAlign w:val="bottom"/>
            <w:hideMark/>
          </w:tcPr>
          <w:p w:rsidR="001870A5" w:rsidRPr="001B16E2" w:rsidRDefault="001870A5" w:rsidP="001870A5">
            <w:pPr>
              <w:rPr>
                <w:rFonts w:eastAsia="Times New Roman" w:cs="Calibri"/>
                <w:sz w:val="18"/>
                <w:szCs w:val="18"/>
                <w:lang w:eastAsia="en-AU"/>
              </w:rPr>
            </w:pPr>
            <w:r w:rsidRPr="001B16E2">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846</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sz w:val="18"/>
                <w:szCs w:val="18"/>
                <w:lang w:eastAsia="en-AU"/>
              </w:rPr>
            </w:pPr>
            <w:r>
              <w:rPr>
                <w:rFonts w:cs="Calibri"/>
                <w:sz w:val="18"/>
                <w:szCs w:val="18"/>
              </w:rPr>
              <w:t>$0</w:t>
            </w:r>
          </w:p>
        </w:tc>
        <w:tc>
          <w:tcPr>
            <w:tcW w:w="1130" w:type="dxa"/>
            <w:tcBorders>
              <w:top w:val="nil"/>
              <w:left w:val="nil"/>
              <w:bottom w:val="nil"/>
              <w:right w:val="nil"/>
            </w:tcBorders>
            <w:shd w:val="clear" w:color="000000" w:fill="FFFFFF"/>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-$741,856</w:t>
            </w:r>
          </w:p>
        </w:tc>
        <w:tc>
          <w:tcPr>
            <w:tcW w:w="1222" w:type="dxa"/>
            <w:tcBorders>
              <w:top w:val="nil"/>
              <w:left w:val="nil"/>
              <w:bottom w:val="nil"/>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color w:val="FF0000"/>
                <w:sz w:val="18"/>
                <w:szCs w:val="18"/>
                <w:lang w:eastAsia="en-AU"/>
              </w:rPr>
            </w:pPr>
            <w:r>
              <w:rPr>
                <w:rFonts w:cs="Calibri"/>
                <w:color w:val="FF0000"/>
                <w:sz w:val="18"/>
                <w:szCs w:val="18"/>
              </w:rPr>
              <w:t>-$6,257,801</w:t>
            </w:r>
          </w:p>
        </w:tc>
      </w:tr>
      <w:tr w:rsidR="001870A5" w:rsidRPr="001B16E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 (cost savings)</w:t>
            </w:r>
          </w:p>
        </w:tc>
        <w:tc>
          <w:tcPr>
            <w:tcW w:w="1369"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846</w:t>
            </w:r>
          </w:p>
        </w:tc>
        <w:tc>
          <w:tcPr>
            <w:tcW w:w="1130" w:type="dxa"/>
            <w:tcBorders>
              <w:top w:val="nil"/>
              <w:left w:val="nil"/>
              <w:bottom w:val="single" w:sz="4" w:space="0" w:color="1F4E78"/>
              <w:right w:val="nil"/>
            </w:tcBorders>
            <w:shd w:val="clear" w:color="000000" w:fill="FFFFFF"/>
            <w:noWrap/>
            <w:vAlign w:val="bottom"/>
            <w:hideMark/>
          </w:tcPr>
          <w:p w:rsidR="001870A5" w:rsidRPr="00975792" w:rsidRDefault="001870A5" w:rsidP="001870A5">
            <w:pPr>
              <w:jc w:val="right"/>
              <w:rPr>
                <w:rFonts w:eastAsia="Times New Roman" w:cs="Calibri"/>
                <w:b/>
                <w:bCs/>
                <w:color w:val="53565A"/>
                <w:sz w:val="18"/>
                <w:szCs w:val="18"/>
                <w:lang w:eastAsia="en-AU"/>
              </w:rPr>
            </w:pPr>
            <w:r w:rsidRPr="00975792">
              <w:rPr>
                <w:rFonts w:cs="Calibri"/>
                <w:b/>
                <w:bCs/>
                <w:color w:val="53565A"/>
                <w:sz w:val="18"/>
                <w:szCs w:val="18"/>
              </w:rPr>
              <w:t>$0</w:t>
            </w:r>
          </w:p>
        </w:tc>
        <w:tc>
          <w:tcPr>
            <w:tcW w:w="1130" w:type="dxa"/>
            <w:tcBorders>
              <w:top w:val="nil"/>
              <w:left w:val="nil"/>
              <w:bottom w:val="single" w:sz="4" w:space="0" w:color="1F4E78"/>
              <w:right w:val="nil"/>
            </w:tcBorders>
            <w:shd w:val="clear" w:color="000000" w:fill="FFFFFF"/>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-$741,856</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870A5" w:rsidRPr="001B16E2" w:rsidRDefault="001870A5" w:rsidP="001870A5">
            <w:pPr>
              <w:jc w:val="right"/>
              <w:rPr>
                <w:rFonts w:eastAsia="Times New Roman" w:cs="Calibri"/>
                <w:b/>
                <w:bCs/>
                <w:color w:val="FF0000"/>
                <w:sz w:val="18"/>
                <w:szCs w:val="18"/>
                <w:lang w:eastAsia="en-AU"/>
              </w:rPr>
            </w:pPr>
            <w:r>
              <w:rPr>
                <w:rFonts w:cs="Calibri"/>
                <w:b/>
                <w:bCs/>
                <w:color w:val="FF0000"/>
                <w:sz w:val="18"/>
                <w:szCs w:val="18"/>
              </w:rPr>
              <w:t>-$6,257,801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123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$68,516</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$577,951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lastRenderedPageBreak/>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4,802</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$2,671,844</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$22,537,889</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Rehabilitation</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4,925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$2,740,359</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$23,115,840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87</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123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$36,942</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$311,614</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3406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4,802</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$1,440,578</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$12,151,757</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Rehoming</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3493</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4,925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$1,477,520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$12,463,371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Food and shelter</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4,925</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$263,354</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$2,221,481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49</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$5,910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$49,853</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and shelter/euthanasia</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4,974</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$269,264</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$2,271,334</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$266,230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$266,230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$2,652,542</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$2,652,542</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82</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$1,069,194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$1,069,194</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1153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$7,190,236</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$7,190,236</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6.6.4 </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Perimeter fencing</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1665</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$11,178,202</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$11,178,202</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$190,844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$190,844</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1342</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$3,824,436</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$3,824,436</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$267,291</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$267,291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1204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$3,430,700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$3,430,700</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6.6.5 </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Outdoor housing</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270</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2706</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$7,713,271</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$7,713,271</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46</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$1,163</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$1,163</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446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3,328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$84,750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$84,750</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6.6.6</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Indoor housing</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452</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3,374</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$85,913</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$85,913</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5</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71</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$80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$676</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96</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1,415</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$1,607</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$13,555</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158</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$179</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$1,510</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271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2,024</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$2,298</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$19,386</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3,667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$416</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$3,505</w:t>
            </w:r>
          </w:p>
        </w:tc>
      </w:tr>
      <w:tr w:rsidR="001B16E2"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7.1</w:t>
            </w:r>
          </w:p>
        </w:tc>
        <w:tc>
          <w:tcPr>
            <w:tcW w:w="163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Sale and transfer out of industry</w:t>
            </w:r>
          </w:p>
        </w:tc>
        <w:tc>
          <w:tcPr>
            <w:tcW w:w="1369"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394</w:t>
            </w:r>
          </w:p>
        </w:tc>
        <w:tc>
          <w:tcPr>
            <w:tcW w:w="1061"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3,667</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000000" w:fill="FFFFFF"/>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$4,580</w:t>
            </w:r>
          </w:p>
        </w:tc>
        <w:tc>
          <w:tcPr>
            <w:tcW w:w="1222" w:type="dxa"/>
            <w:tcBorders>
              <w:top w:val="nil"/>
              <w:left w:val="nil"/>
              <w:bottom w:val="single" w:sz="4" w:space="0" w:color="1F4E78"/>
              <w:right w:val="nil"/>
            </w:tcBorders>
            <w:shd w:val="clear" w:color="auto" w:fill="DBE5F1" w:themeFill="accent1" w:themeFillTint="33"/>
            <w:noWrap/>
            <w:vAlign w:val="bottom"/>
            <w:hideMark/>
          </w:tcPr>
          <w:p w:rsidR="001B16E2" w:rsidRPr="00975792" w:rsidRDefault="001B16E2" w:rsidP="001B16E2">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$38,633</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Enforcement (staffing)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24 staff</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14,185</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$2,289,050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$19,437,135</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sz w:val="18"/>
                <w:szCs w:val="18"/>
                <w:lang w:eastAsia="en-AU"/>
              </w:rPr>
            </w:pPr>
            <w:r w:rsidRPr="001B16E2">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Enforcement (training)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sz w:val="18"/>
                <w:szCs w:val="18"/>
                <w:lang w:eastAsia="en-AU"/>
              </w:rPr>
            </w:pPr>
            <w:r w:rsidRPr="001B16E2">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24 staff</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14,185</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$146,407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sz w:val="18"/>
                <w:szCs w:val="18"/>
                <w:lang w:eastAsia="en-AU"/>
              </w:rPr>
            </w:pPr>
            <w:r w:rsidRPr="001B16E2">
              <w:rPr>
                <w:rFonts w:eastAsia="Times New Roman" w:cs="Calibri"/>
                <w:sz w:val="18"/>
                <w:szCs w:val="18"/>
                <w:lang w:eastAsia="en-AU"/>
              </w:rPr>
              <w:t>$146,407</w:t>
            </w:r>
          </w:p>
        </w:tc>
      </w:tr>
      <w:tr w:rsidR="001B16E2" w:rsidRPr="001B16E2" w:rsidTr="00503B24">
        <w:trPr>
          <w:trHeight w:val="240"/>
          <w:jc w:val="center"/>
        </w:trPr>
        <w:tc>
          <w:tcPr>
            <w:tcW w:w="678" w:type="dxa"/>
            <w:tcBorders>
              <w:top w:val="nil"/>
              <w:left w:val="nil"/>
              <w:bottom w:val="nil"/>
              <w:right w:val="nil"/>
            </w:tcBorders>
            <w:shd w:val="clear" w:color="000000" w:fill="FFFFFF"/>
            <w:noWrap/>
            <w:vAlign w:val="bottom"/>
            <w:hideMark/>
          </w:tcPr>
          <w:p w:rsidR="001B16E2" w:rsidRPr="001B16E2" w:rsidRDefault="001B16E2" w:rsidP="001B16E2">
            <w:pPr>
              <w:jc w:val="center"/>
              <w:rPr>
                <w:rFonts w:eastAsia="Times New Roman" w:cs="Calibri"/>
                <w:b/>
                <w:bCs/>
                <w:color w:val="1F4E78"/>
                <w:sz w:val="18"/>
                <w:szCs w:val="18"/>
                <w:lang w:eastAsia="en-AU"/>
              </w:rPr>
            </w:pPr>
            <w:r w:rsidRPr="001B16E2">
              <w:rPr>
                <w:rFonts w:eastAsia="Times New Roman" w:cs="Calibri"/>
                <w:b/>
                <w:bCs/>
                <w:color w:val="1F4E78"/>
                <w:sz w:val="18"/>
                <w:szCs w:val="18"/>
                <w:lang w:eastAsia="en-AU"/>
              </w:rPr>
              <w:t> </w:t>
            </w:r>
          </w:p>
        </w:tc>
        <w:tc>
          <w:tcPr>
            <w:tcW w:w="163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b/>
                <w:bCs/>
                <w:color w:val="1F4E78"/>
                <w:sz w:val="18"/>
                <w:szCs w:val="18"/>
                <w:lang w:eastAsia="en-AU"/>
              </w:rPr>
            </w:pPr>
            <w:r w:rsidRPr="001B16E2">
              <w:rPr>
                <w:rFonts w:eastAsia="Times New Roman" w:cs="Calibri"/>
                <w:b/>
                <w:bCs/>
                <w:color w:val="1F4E78"/>
                <w:sz w:val="18"/>
                <w:szCs w:val="18"/>
                <w:lang w:eastAsia="en-AU"/>
              </w:rPr>
              <w:t>Enforcement (staffing and training)</w:t>
            </w:r>
          </w:p>
        </w:tc>
        <w:tc>
          <w:tcPr>
            <w:tcW w:w="1369" w:type="dxa"/>
            <w:tcBorders>
              <w:top w:val="nil"/>
              <w:left w:val="nil"/>
              <w:bottom w:val="nil"/>
              <w:right w:val="nil"/>
            </w:tcBorders>
            <w:shd w:val="clear" w:color="000000" w:fill="FFFFFF"/>
            <w:noWrap/>
            <w:vAlign w:val="bottom"/>
            <w:hideMark/>
          </w:tcPr>
          <w:p w:rsidR="001B16E2" w:rsidRPr="001B16E2" w:rsidRDefault="001B16E2" w:rsidP="001B16E2">
            <w:pPr>
              <w:rPr>
                <w:rFonts w:eastAsia="Times New Roman" w:cs="Calibri"/>
                <w:b/>
                <w:bCs/>
                <w:color w:val="1F4E78"/>
                <w:sz w:val="18"/>
                <w:szCs w:val="18"/>
                <w:lang w:eastAsia="en-AU"/>
              </w:rPr>
            </w:pPr>
            <w:r w:rsidRPr="001B16E2">
              <w:rPr>
                <w:rFonts w:eastAsia="Times New Roman" w:cs="Calibri"/>
                <w:b/>
                <w:bCs/>
                <w:color w:val="1F4E78"/>
                <w:sz w:val="18"/>
                <w:szCs w:val="18"/>
                <w:lang w:eastAsia="en-AU"/>
              </w:rPr>
              <w:t>Total</w:t>
            </w:r>
          </w:p>
        </w:tc>
        <w:tc>
          <w:tcPr>
            <w:tcW w:w="1207"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b/>
                <w:bCs/>
                <w:color w:val="1F4E78"/>
                <w:sz w:val="18"/>
                <w:szCs w:val="18"/>
                <w:lang w:eastAsia="en-AU"/>
              </w:rPr>
            </w:pPr>
            <w:r w:rsidRPr="001B16E2">
              <w:rPr>
                <w:rFonts w:eastAsia="Times New Roman" w:cs="Calibri"/>
                <w:b/>
                <w:bCs/>
                <w:color w:val="1F4E78"/>
                <w:sz w:val="18"/>
                <w:szCs w:val="18"/>
                <w:lang w:eastAsia="en-AU"/>
              </w:rPr>
              <w:t>24 staff</w:t>
            </w:r>
          </w:p>
        </w:tc>
        <w:tc>
          <w:tcPr>
            <w:tcW w:w="1061"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b/>
                <w:bCs/>
                <w:color w:val="1F4E78"/>
                <w:sz w:val="18"/>
                <w:szCs w:val="18"/>
                <w:lang w:eastAsia="en-AU"/>
              </w:rPr>
            </w:pPr>
            <w:r w:rsidRPr="001B16E2">
              <w:rPr>
                <w:rFonts w:eastAsia="Times New Roman" w:cs="Calibri"/>
                <w:b/>
                <w:bCs/>
                <w:color w:val="1F4E78"/>
                <w:sz w:val="18"/>
                <w:szCs w:val="18"/>
                <w:lang w:eastAsia="en-AU"/>
              </w:rPr>
              <w:t>14,185</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b/>
                <w:bCs/>
                <w:color w:val="1F4E78"/>
                <w:sz w:val="18"/>
                <w:szCs w:val="18"/>
                <w:lang w:eastAsia="en-AU"/>
              </w:rPr>
            </w:pPr>
            <w:r w:rsidRPr="001B16E2">
              <w:rPr>
                <w:rFonts w:eastAsia="Times New Roman" w:cs="Calibri"/>
                <w:b/>
                <w:bCs/>
                <w:color w:val="1F4E78"/>
                <w:sz w:val="18"/>
                <w:szCs w:val="18"/>
                <w:lang w:eastAsia="en-AU"/>
              </w:rPr>
              <w:t>$146,407</w:t>
            </w:r>
          </w:p>
        </w:tc>
        <w:tc>
          <w:tcPr>
            <w:tcW w:w="1130" w:type="dxa"/>
            <w:tcBorders>
              <w:top w:val="nil"/>
              <w:left w:val="nil"/>
              <w:bottom w:val="nil"/>
              <w:right w:val="nil"/>
            </w:tcBorders>
            <w:shd w:val="clear" w:color="000000" w:fill="FFFFFF"/>
            <w:noWrap/>
            <w:vAlign w:val="bottom"/>
            <w:hideMark/>
          </w:tcPr>
          <w:p w:rsidR="001B16E2" w:rsidRPr="001B16E2" w:rsidRDefault="001B16E2" w:rsidP="001B16E2">
            <w:pPr>
              <w:jc w:val="right"/>
              <w:rPr>
                <w:rFonts w:eastAsia="Times New Roman" w:cs="Calibri"/>
                <w:b/>
                <w:bCs/>
                <w:color w:val="1F4E78"/>
                <w:sz w:val="18"/>
                <w:szCs w:val="18"/>
                <w:lang w:eastAsia="en-AU"/>
              </w:rPr>
            </w:pPr>
            <w:r w:rsidRPr="001B16E2">
              <w:rPr>
                <w:rFonts w:eastAsia="Times New Roman" w:cs="Calibri"/>
                <w:b/>
                <w:bCs/>
                <w:color w:val="1F4E78"/>
                <w:sz w:val="18"/>
                <w:szCs w:val="18"/>
                <w:lang w:eastAsia="en-AU"/>
              </w:rPr>
              <w:t>$2,289,050</w:t>
            </w:r>
          </w:p>
        </w:tc>
        <w:tc>
          <w:tcPr>
            <w:tcW w:w="1222" w:type="dxa"/>
            <w:tcBorders>
              <w:top w:val="nil"/>
              <w:left w:val="nil"/>
              <w:bottom w:val="nil"/>
              <w:right w:val="nil"/>
            </w:tcBorders>
            <w:shd w:val="clear" w:color="auto" w:fill="DBE5F1" w:themeFill="accent1" w:themeFillTint="33"/>
            <w:noWrap/>
            <w:vAlign w:val="bottom"/>
            <w:hideMark/>
          </w:tcPr>
          <w:p w:rsidR="001B16E2" w:rsidRPr="001B16E2" w:rsidRDefault="001B16E2" w:rsidP="001B16E2">
            <w:pPr>
              <w:jc w:val="right"/>
              <w:rPr>
                <w:rFonts w:eastAsia="Times New Roman" w:cs="Calibri"/>
                <w:b/>
                <w:bCs/>
                <w:color w:val="1F4E78"/>
                <w:sz w:val="18"/>
                <w:szCs w:val="18"/>
                <w:lang w:eastAsia="en-AU"/>
              </w:rPr>
            </w:pPr>
            <w:r w:rsidRPr="001B16E2">
              <w:rPr>
                <w:rFonts w:eastAsia="Times New Roman" w:cs="Calibri"/>
                <w:b/>
                <w:bCs/>
                <w:color w:val="1F4E78"/>
                <w:sz w:val="18"/>
                <w:szCs w:val="18"/>
                <w:lang w:eastAsia="en-AU"/>
              </w:rPr>
              <w:t>$19,583,542</w:t>
            </w:r>
          </w:p>
        </w:tc>
      </w:tr>
      <w:tr w:rsidR="00AD2026" w:rsidRPr="001B16E2" w:rsidTr="00503B24">
        <w:trPr>
          <w:trHeight w:val="240"/>
          <w:jc w:val="center"/>
        </w:trPr>
        <w:tc>
          <w:tcPr>
            <w:tcW w:w="678"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rPr>
                <w:rFonts w:eastAsia="Times New Roman" w:cs="Calibri"/>
                <w:b/>
                <w:bCs/>
                <w:i/>
                <w:iCs/>
                <w:sz w:val="18"/>
                <w:szCs w:val="18"/>
                <w:lang w:eastAsia="en-AU"/>
              </w:rPr>
            </w:pPr>
            <w:r w:rsidRPr="001B16E2">
              <w:rPr>
                <w:rFonts w:eastAsia="Times New Roman" w:cs="Calibri"/>
                <w:b/>
                <w:bCs/>
                <w:i/>
                <w:iCs/>
                <w:sz w:val="18"/>
                <w:szCs w:val="18"/>
                <w:lang w:eastAsia="en-AU"/>
              </w:rPr>
              <w:t>Total</w:t>
            </w:r>
          </w:p>
        </w:tc>
        <w:tc>
          <w:tcPr>
            <w:tcW w:w="1639"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rPr>
                <w:rFonts w:eastAsia="Times New Roman" w:cs="Calibri"/>
                <w:b/>
                <w:bCs/>
                <w:i/>
                <w:iCs/>
                <w:sz w:val="18"/>
                <w:szCs w:val="18"/>
                <w:lang w:eastAsia="en-AU"/>
              </w:rPr>
            </w:pPr>
            <w:r w:rsidRPr="001B16E2">
              <w:rPr>
                <w:rFonts w:eastAsia="Times New Roman" w:cs="Calibri"/>
                <w:b/>
                <w:bCs/>
                <w:i/>
                <w:iCs/>
                <w:sz w:val="18"/>
                <w:szCs w:val="18"/>
                <w:lang w:eastAsia="en-AU"/>
              </w:rPr>
              <w:t> </w:t>
            </w:r>
          </w:p>
        </w:tc>
        <w:tc>
          <w:tcPr>
            <w:tcW w:w="1369"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rPr>
                <w:rFonts w:eastAsia="Times New Roman" w:cs="Calibri"/>
                <w:b/>
                <w:bCs/>
                <w:i/>
                <w:iCs/>
                <w:sz w:val="18"/>
                <w:szCs w:val="18"/>
                <w:lang w:eastAsia="en-AU"/>
              </w:rPr>
            </w:pPr>
            <w:r w:rsidRPr="001B16E2">
              <w:rPr>
                <w:rFonts w:eastAsia="Times New Roman" w:cs="Calibri"/>
                <w:b/>
                <w:bCs/>
                <w:i/>
                <w:iCs/>
                <w:sz w:val="18"/>
                <w:szCs w:val="18"/>
                <w:lang w:eastAsia="en-AU"/>
              </w:rPr>
              <w:t> </w:t>
            </w:r>
          </w:p>
        </w:tc>
        <w:tc>
          <w:tcPr>
            <w:tcW w:w="1207"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rPr>
                <w:rFonts w:eastAsia="Times New Roman" w:cs="Calibri"/>
                <w:b/>
                <w:bCs/>
                <w:i/>
                <w:iCs/>
                <w:sz w:val="18"/>
                <w:szCs w:val="18"/>
                <w:lang w:eastAsia="en-AU"/>
              </w:rPr>
            </w:pPr>
            <w:r w:rsidRPr="001B16E2">
              <w:rPr>
                <w:rFonts w:eastAsia="Times New Roman" w:cs="Calibri"/>
                <w:b/>
                <w:bCs/>
                <w:i/>
                <w:iCs/>
                <w:sz w:val="18"/>
                <w:szCs w:val="18"/>
                <w:lang w:eastAsia="en-AU"/>
              </w:rPr>
              <w:t> </w:t>
            </w:r>
          </w:p>
        </w:tc>
        <w:tc>
          <w:tcPr>
            <w:tcW w:w="1061"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rPr>
                <w:rFonts w:eastAsia="Times New Roman" w:cs="Calibri"/>
                <w:b/>
                <w:bCs/>
                <w:i/>
                <w:iCs/>
                <w:sz w:val="18"/>
                <w:szCs w:val="18"/>
                <w:lang w:eastAsia="en-AU"/>
              </w:rPr>
            </w:pPr>
            <w:r w:rsidRPr="001B16E2">
              <w:rPr>
                <w:rFonts w:eastAsia="Times New Roman" w:cs="Calibri"/>
                <w:b/>
                <w:bCs/>
                <w:i/>
                <w:iCs/>
                <w:sz w:val="18"/>
                <w:szCs w:val="18"/>
                <w:lang w:eastAsia="en-AU"/>
              </w:rPr>
              <w:t> </w:t>
            </w:r>
          </w:p>
        </w:tc>
        <w:tc>
          <w:tcPr>
            <w:tcW w:w="1130"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jc w:val="right"/>
              <w:rPr>
                <w:rFonts w:eastAsia="Times New Roman" w:cs="Calibri"/>
                <w:b/>
                <w:bCs/>
                <w:i/>
                <w:iCs/>
                <w:sz w:val="18"/>
                <w:szCs w:val="18"/>
                <w:lang w:eastAsia="en-AU"/>
              </w:rPr>
            </w:pPr>
            <w:r w:rsidRPr="001B16E2">
              <w:rPr>
                <w:rFonts w:eastAsia="Times New Roman" w:cs="Calibri"/>
                <w:b/>
                <w:bCs/>
                <w:i/>
                <w:iCs/>
                <w:sz w:val="18"/>
                <w:szCs w:val="18"/>
                <w:lang w:eastAsia="en-AU"/>
              </w:rPr>
              <w:t>$19,344,431</w:t>
            </w:r>
          </w:p>
        </w:tc>
        <w:tc>
          <w:tcPr>
            <w:tcW w:w="1130" w:type="dxa"/>
            <w:tcBorders>
              <w:top w:val="single" w:sz="4" w:space="0" w:color="1F4E78"/>
              <w:left w:val="nil"/>
              <w:bottom w:val="single" w:sz="4" w:space="0" w:color="1F4E78"/>
              <w:right w:val="nil"/>
            </w:tcBorders>
            <w:shd w:val="clear" w:color="000000" w:fill="FFFFFF"/>
            <w:noWrap/>
            <w:vAlign w:val="bottom"/>
            <w:hideMark/>
          </w:tcPr>
          <w:p w:rsidR="00AD2026" w:rsidRPr="001B16E2" w:rsidRDefault="00AD2026" w:rsidP="00AD2026">
            <w:pPr>
              <w:jc w:val="right"/>
              <w:rPr>
                <w:rFonts w:eastAsia="Times New Roman" w:cs="Calibri"/>
                <w:b/>
                <w:bCs/>
                <w:i/>
                <w:iCs/>
                <w:sz w:val="18"/>
                <w:szCs w:val="18"/>
                <w:lang w:eastAsia="en-AU"/>
              </w:rPr>
            </w:pPr>
            <w:r>
              <w:rPr>
                <w:rFonts w:cs="Calibri"/>
                <w:b/>
                <w:bCs/>
                <w:i/>
                <w:iCs/>
                <w:sz w:val="18"/>
                <w:szCs w:val="18"/>
              </w:rPr>
              <w:t>$11,655,421</w:t>
            </w:r>
          </w:p>
        </w:tc>
        <w:tc>
          <w:tcPr>
            <w:tcW w:w="1222" w:type="dxa"/>
            <w:tcBorders>
              <w:top w:val="single" w:sz="4" w:space="0" w:color="1F4E78"/>
              <w:left w:val="nil"/>
              <w:bottom w:val="single" w:sz="4" w:space="0" w:color="1F4E78"/>
              <w:right w:val="nil"/>
            </w:tcBorders>
            <w:shd w:val="clear" w:color="auto" w:fill="DBE5F1" w:themeFill="accent1" w:themeFillTint="33"/>
            <w:noWrap/>
            <w:vAlign w:val="bottom"/>
            <w:hideMark/>
          </w:tcPr>
          <w:p w:rsidR="00AD2026" w:rsidRPr="001B16E2" w:rsidRDefault="00AD2026" w:rsidP="00AD2026">
            <w:pPr>
              <w:jc w:val="right"/>
              <w:rPr>
                <w:rFonts w:eastAsia="Times New Roman" w:cs="Calibri"/>
                <w:b/>
                <w:bCs/>
                <w:i/>
                <w:iCs/>
                <w:sz w:val="18"/>
                <w:szCs w:val="18"/>
                <w:lang w:eastAsia="en-AU"/>
              </w:rPr>
            </w:pPr>
            <w:r>
              <w:rPr>
                <w:rFonts w:cs="Calibri"/>
                <w:b/>
                <w:bCs/>
                <w:i/>
                <w:iCs/>
                <w:sz w:val="18"/>
                <w:szCs w:val="18"/>
              </w:rPr>
              <w:t>$117,790,011</w:t>
            </w:r>
          </w:p>
        </w:tc>
      </w:tr>
    </w:tbl>
    <w:p w:rsidR="00A05891" w:rsidRDefault="00A05891" w:rsidP="00AA425C"/>
    <w:p w:rsidR="00AA425C" w:rsidRDefault="00AA425C">
      <w:pPr>
        <w:rPr>
          <w:i/>
          <w:color w:val="53565A"/>
          <w:sz w:val="24"/>
          <w:szCs w:val="24"/>
        </w:rPr>
      </w:pPr>
      <w:bookmarkStart w:id="279" w:name="_Toc469529238"/>
      <w:r>
        <w:br w:type="page"/>
      </w:r>
    </w:p>
    <w:p w:rsidR="00B578CE" w:rsidRDefault="00EA26DD" w:rsidP="005E307C">
      <w:pPr>
        <w:pStyle w:val="Heading3"/>
      </w:pPr>
      <w:bookmarkStart w:id="280" w:name="_Toc477190262"/>
      <w:r>
        <w:lastRenderedPageBreak/>
        <w:t>A4.17</w:t>
      </w:r>
      <w:r w:rsidR="00B578CE">
        <w:t>.6 Distribution of total incremental costs of Option 3</w:t>
      </w:r>
      <w:bookmarkEnd w:id="279"/>
      <w:bookmarkEnd w:id="280"/>
    </w:p>
    <w:p w:rsidR="00B578CE" w:rsidRDefault="00B578CE" w:rsidP="00B578CE">
      <w:pPr>
        <w:jc w:val="both"/>
      </w:pPr>
    </w:p>
    <w:p w:rsidR="00B578CE" w:rsidRDefault="00B578CE" w:rsidP="00B578CE">
      <w:pPr>
        <w:jc w:val="both"/>
      </w:pPr>
      <w:r>
        <w:t>A total summary of the distribution of costs under Option 3 based on all estimates in Table A4.2</w:t>
      </w:r>
      <w:r w:rsidR="00175494">
        <w:t>9</w:t>
      </w:r>
      <w:r>
        <w:t xml:space="preserve"> is provided for in Table A4.30.</w:t>
      </w:r>
      <w:r w:rsidR="007B521C">
        <w:t xml:space="preserve"> </w:t>
      </w:r>
      <w:r>
        <w:t xml:space="preserve">The largest share of 10-year present value cost is incurred by </w:t>
      </w:r>
      <w:r w:rsidR="00885061">
        <w:t>small trainers (29.86</w:t>
      </w:r>
      <w:r>
        <w:t>%) foll</w:t>
      </w:r>
      <w:r w:rsidR="00885061">
        <w:t>owed by small owners (24.46</w:t>
      </w:r>
      <w:r>
        <w:t xml:space="preserve">%) small </w:t>
      </w:r>
      <w:r w:rsidR="00885061">
        <w:t>breeders (21.16</w:t>
      </w:r>
      <w:r>
        <w:t xml:space="preserve">%) and </w:t>
      </w:r>
      <w:r w:rsidR="00885061">
        <w:t>GRV (13.81</w:t>
      </w:r>
      <w:r>
        <w:t>%).</w:t>
      </w:r>
      <w:r w:rsidR="007B521C">
        <w:t xml:space="preserve"> </w:t>
      </w:r>
      <w:r>
        <w:t>Small owners are also likely t</w:t>
      </w:r>
      <w:r w:rsidR="0067370A">
        <w:t>o obtain the highest share of 56.</w:t>
      </w:r>
      <w:r w:rsidR="00AD2026">
        <w:t>91</w:t>
      </w:r>
      <w:r>
        <w:t>% of all 10-year present value cost savings, followe</w:t>
      </w:r>
      <w:r w:rsidR="0067370A">
        <w:t>d by GAP (4</w:t>
      </w:r>
      <w:r w:rsidR="00AD2026">
        <w:t>1.63</w:t>
      </w:r>
      <w:r w:rsidR="00885061">
        <w:t>%) under Option 3</w:t>
      </w:r>
      <w:r>
        <w:t>.</w:t>
      </w:r>
    </w:p>
    <w:p w:rsidR="00B578CE" w:rsidRDefault="00B578CE" w:rsidP="00B578CE">
      <w:pPr>
        <w:jc w:val="both"/>
      </w:pPr>
    </w:p>
    <w:p w:rsidR="00B578CE" w:rsidRDefault="00B578CE" w:rsidP="00B578CE">
      <w:pPr>
        <w:jc w:val="center"/>
        <w:rPr>
          <w:b/>
          <w:sz w:val="20"/>
        </w:rPr>
      </w:pPr>
      <w:r w:rsidRPr="000A087D">
        <w:rPr>
          <w:b/>
          <w:sz w:val="20"/>
        </w:rPr>
        <w:t>Table A</w:t>
      </w:r>
      <w:r>
        <w:rPr>
          <w:b/>
          <w:sz w:val="20"/>
        </w:rPr>
        <w:t>4.30</w:t>
      </w:r>
      <w:r w:rsidRPr="000A087D">
        <w:rPr>
          <w:b/>
          <w:sz w:val="20"/>
        </w:rPr>
        <w:t xml:space="preserve">: Distribution of 10-year additional cost of </w:t>
      </w:r>
      <w:r>
        <w:rPr>
          <w:b/>
          <w:sz w:val="20"/>
        </w:rPr>
        <w:t>Option 3</w:t>
      </w:r>
    </w:p>
    <w:p w:rsidR="00A05891" w:rsidRDefault="00A05891" w:rsidP="00975792"/>
    <w:tbl>
      <w:tblPr>
        <w:tblW w:w="8404" w:type="dxa"/>
        <w:tblLook w:val="04A0" w:firstRow="1" w:lastRow="0" w:firstColumn="1" w:lastColumn="0" w:noHBand="0" w:noVBand="1"/>
      </w:tblPr>
      <w:tblGrid>
        <w:gridCol w:w="1500"/>
        <w:gridCol w:w="2044"/>
        <w:gridCol w:w="2140"/>
        <w:gridCol w:w="1380"/>
        <w:gridCol w:w="1340"/>
      </w:tblGrid>
      <w:tr w:rsidR="00885061" w:rsidRPr="00975792" w:rsidTr="00B13AD8">
        <w:trPr>
          <w:trHeight w:val="113"/>
          <w:tblHeader/>
        </w:trPr>
        <w:tc>
          <w:tcPr>
            <w:tcW w:w="1500" w:type="dxa"/>
            <w:tcBorders>
              <w:top w:val="single" w:sz="4" w:space="0" w:color="1F4E78"/>
              <w:left w:val="nil"/>
              <w:bottom w:val="double" w:sz="6" w:space="0" w:color="1F4E78"/>
              <w:right w:val="nil"/>
            </w:tcBorders>
            <w:shd w:val="clear" w:color="000000" w:fill="FFFFFF"/>
            <w:vAlign w:val="bottom"/>
            <w:hideMark/>
          </w:tcPr>
          <w:p w:rsidR="00885061" w:rsidRPr="00975792" w:rsidRDefault="00885061" w:rsidP="00885061">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Category of participant</w:t>
            </w:r>
          </w:p>
        </w:tc>
        <w:tc>
          <w:tcPr>
            <w:tcW w:w="2044" w:type="dxa"/>
            <w:tcBorders>
              <w:top w:val="single" w:sz="4" w:space="0" w:color="1F4E78"/>
              <w:left w:val="nil"/>
              <w:bottom w:val="double" w:sz="6" w:space="0" w:color="1F4E78"/>
              <w:right w:val="nil"/>
            </w:tcBorders>
            <w:shd w:val="clear" w:color="000000" w:fill="FFFFFF"/>
            <w:vAlign w:val="bottom"/>
            <w:hideMark/>
          </w:tcPr>
          <w:p w:rsidR="00885061" w:rsidRPr="00975792" w:rsidRDefault="00885061" w:rsidP="00885061">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2140" w:type="dxa"/>
            <w:tcBorders>
              <w:top w:val="single" w:sz="4" w:space="0" w:color="1F4E78"/>
              <w:left w:val="nil"/>
              <w:bottom w:val="double" w:sz="6" w:space="0" w:color="1F4E78"/>
              <w:right w:val="nil"/>
            </w:tcBorders>
            <w:shd w:val="clear" w:color="000000" w:fill="FFFFFF"/>
            <w:vAlign w:val="bottom"/>
            <w:hideMark/>
          </w:tcPr>
          <w:p w:rsidR="00885061" w:rsidRPr="00975792" w:rsidRDefault="00885061" w:rsidP="00885061">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bottom"/>
            <w:hideMark/>
          </w:tcPr>
          <w:p w:rsidR="00885061" w:rsidRPr="00975792" w:rsidRDefault="00885061" w:rsidP="00885061">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bottom"/>
            <w:hideMark/>
          </w:tcPr>
          <w:p w:rsidR="00885061" w:rsidRPr="00975792" w:rsidRDefault="00885061" w:rsidP="00885061">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 of 10-year PV cost</w:t>
            </w:r>
          </w:p>
        </w:tc>
      </w:tr>
      <w:tr w:rsidR="00885061" w:rsidRPr="00885061" w:rsidTr="00B13AD8">
        <w:trPr>
          <w:trHeight w:val="255"/>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Large breeder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$470,131</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$1,043,274</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$9,270,490</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6.54%</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Small breeder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$6,569,136</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$2,778,943</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$30,010,444</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21.16%</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Large trainer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$1,357,326</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$167,877</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$2,773,428</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1.96%</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Small trainer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$10,801,430</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$3,739,819</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$42,348,046</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29.86%</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Large owner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$0</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$105,457</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$889,565</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0.63%</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Small owner</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$0</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$4,112,930</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$34,693,928</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24.46%</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GAP</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$0</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$269,264</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$2,271,334</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1.60%</w:t>
            </w:r>
          </w:p>
        </w:tc>
      </w:tr>
      <w:tr w:rsidR="00885061" w:rsidRPr="00885061" w:rsidTr="00B13AD8">
        <w:trPr>
          <w:trHeight w:val="240"/>
        </w:trPr>
        <w:tc>
          <w:tcPr>
            <w:tcW w:w="1500" w:type="dxa"/>
            <w:tcBorders>
              <w:top w:val="nil"/>
              <w:left w:val="nil"/>
              <w:bottom w:val="nil"/>
              <w:right w:val="nil"/>
            </w:tcBorders>
            <w:shd w:val="clear" w:color="000000" w:fill="FFFFFF"/>
            <w:noWrap/>
            <w:vAlign w:val="bottom"/>
            <w:hideMark/>
          </w:tcPr>
          <w:p w:rsidR="00885061" w:rsidRPr="00885061" w:rsidRDefault="00885061" w:rsidP="00885061">
            <w:pPr>
              <w:rPr>
                <w:rFonts w:eastAsia="Times New Roman" w:cs="Calibri"/>
                <w:sz w:val="18"/>
                <w:szCs w:val="18"/>
                <w:lang w:eastAsia="en-AU"/>
              </w:rPr>
            </w:pPr>
            <w:r w:rsidRPr="00885061">
              <w:rPr>
                <w:rFonts w:eastAsia="Times New Roman" w:cs="Calibri"/>
                <w:sz w:val="18"/>
                <w:szCs w:val="18"/>
                <w:lang w:eastAsia="en-AU"/>
              </w:rPr>
              <w:t>GRV</w:t>
            </w:r>
          </w:p>
        </w:tc>
        <w:tc>
          <w:tcPr>
            <w:tcW w:w="2044"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$146,407</w:t>
            </w:r>
          </w:p>
        </w:tc>
        <w:tc>
          <w:tcPr>
            <w:tcW w:w="214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$2,289,466</w:t>
            </w:r>
          </w:p>
        </w:tc>
        <w:tc>
          <w:tcPr>
            <w:tcW w:w="1380" w:type="dxa"/>
            <w:tcBorders>
              <w:top w:val="nil"/>
              <w:left w:val="nil"/>
              <w:bottom w:val="nil"/>
              <w:right w:val="nil"/>
            </w:tcBorders>
            <w:shd w:val="clear" w:color="000000" w:fill="FFFFFF"/>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$19,587,047</w:t>
            </w:r>
          </w:p>
        </w:tc>
        <w:tc>
          <w:tcPr>
            <w:tcW w:w="1340" w:type="dxa"/>
            <w:tcBorders>
              <w:top w:val="nil"/>
              <w:left w:val="nil"/>
              <w:bottom w:val="nil"/>
              <w:right w:val="nil"/>
            </w:tcBorders>
            <w:shd w:val="clear" w:color="auto" w:fill="DBE5F1" w:themeFill="accent1" w:themeFillTint="33"/>
            <w:noWrap/>
            <w:vAlign w:val="bottom"/>
            <w:hideMark/>
          </w:tcPr>
          <w:p w:rsidR="00885061" w:rsidRPr="00885061" w:rsidRDefault="00885061" w:rsidP="00885061">
            <w:pPr>
              <w:jc w:val="right"/>
              <w:rPr>
                <w:rFonts w:eastAsia="Times New Roman" w:cs="Calibri"/>
                <w:sz w:val="18"/>
                <w:szCs w:val="18"/>
                <w:lang w:eastAsia="en-AU"/>
              </w:rPr>
            </w:pPr>
            <w:r w:rsidRPr="00885061">
              <w:rPr>
                <w:rFonts w:eastAsia="Times New Roman" w:cs="Calibri"/>
                <w:sz w:val="18"/>
                <w:szCs w:val="18"/>
                <w:lang w:eastAsia="en-AU"/>
              </w:rPr>
              <w:t>13.81%</w:t>
            </w:r>
          </w:p>
        </w:tc>
      </w:tr>
      <w:tr w:rsidR="00885061" w:rsidRPr="00975792" w:rsidTr="00B13AD8">
        <w:trPr>
          <w:trHeight w:val="240"/>
        </w:trPr>
        <w:tc>
          <w:tcPr>
            <w:tcW w:w="1500" w:type="dxa"/>
            <w:tcBorders>
              <w:top w:val="single" w:sz="4" w:space="0" w:color="1F4E78"/>
              <w:left w:val="nil"/>
              <w:bottom w:val="single" w:sz="4" w:space="0" w:color="1F4E78"/>
              <w:right w:val="nil"/>
            </w:tcBorders>
            <w:shd w:val="clear" w:color="000000" w:fill="FFFFFF"/>
            <w:noWrap/>
            <w:vAlign w:val="bottom"/>
            <w:hideMark/>
          </w:tcPr>
          <w:p w:rsidR="00885061" w:rsidRPr="00975792" w:rsidRDefault="00885061" w:rsidP="00885061">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 costs</w:t>
            </w:r>
          </w:p>
        </w:tc>
        <w:tc>
          <w:tcPr>
            <w:tcW w:w="2044" w:type="dxa"/>
            <w:tcBorders>
              <w:top w:val="single" w:sz="4" w:space="0" w:color="1F4E78"/>
              <w:left w:val="nil"/>
              <w:bottom w:val="single" w:sz="4" w:space="0" w:color="1F4E78"/>
              <w:right w:val="nil"/>
            </w:tcBorders>
            <w:shd w:val="clear" w:color="000000" w:fill="FFFFFF"/>
            <w:noWrap/>
            <w:vAlign w:val="bottom"/>
            <w:hideMark/>
          </w:tcPr>
          <w:p w:rsidR="00885061" w:rsidRPr="00975792" w:rsidRDefault="00885061" w:rsidP="00885061">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$19,344,431</w:t>
            </w:r>
          </w:p>
        </w:tc>
        <w:tc>
          <w:tcPr>
            <w:tcW w:w="2140" w:type="dxa"/>
            <w:tcBorders>
              <w:top w:val="single" w:sz="4" w:space="0" w:color="1F4E78"/>
              <w:left w:val="nil"/>
              <w:bottom w:val="single" w:sz="4" w:space="0" w:color="1F4E78"/>
              <w:right w:val="nil"/>
            </w:tcBorders>
            <w:shd w:val="clear" w:color="000000" w:fill="FFFFFF"/>
            <w:noWrap/>
            <w:vAlign w:val="bottom"/>
            <w:hideMark/>
          </w:tcPr>
          <w:p w:rsidR="00885061" w:rsidRPr="00975792" w:rsidRDefault="00885061" w:rsidP="00885061">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$14,507,031</w:t>
            </w:r>
          </w:p>
        </w:tc>
        <w:tc>
          <w:tcPr>
            <w:tcW w:w="1380" w:type="dxa"/>
            <w:tcBorders>
              <w:top w:val="single" w:sz="4" w:space="0" w:color="1F4E78"/>
              <w:left w:val="nil"/>
              <w:bottom w:val="single" w:sz="4" w:space="0" w:color="1F4E78"/>
              <w:right w:val="nil"/>
            </w:tcBorders>
            <w:shd w:val="clear" w:color="000000" w:fill="FFFFFF"/>
            <w:noWrap/>
            <w:vAlign w:val="bottom"/>
            <w:hideMark/>
          </w:tcPr>
          <w:p w:rsidR="00885061" w:rsidRPr="00975792" w:rsidRDefault="00885061" w:rsidP="00885061">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$141,844,282</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885061" w:rsidRPr="00975792" w:rsidRDefault="00885061" w:rsidP="00885061">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100.00%</w:t>
            </w:r>
          </w:p>
        </w:tc>
      </w:tr>
      <w:tr w:rsidR="0067370A" w:rsidRPr="00885061" w:rsidTr="00B13AD8">
        <w:trPr>
          <w:trHeight w:val="240"/>
        </w:trPr>
        <w:tc>
          <w:tcPr>
            <w:tcW w:w="1500" w:type="dxa"/>
            <w:tcBorders>
              <w:top w:val="nil"/>
              <w:left w:val="nil"/>
              <w:bottom w:val="nil"/>
              <w:right w:val="nil"/>
            </w:tcBorders>
            <w:shd w:val="clear" w:color="000000" w:fill="FFFFFF"/>
            <w:noWrap/>
            <w:vAlign w:val="bottom"/>
            <w:hideMark/>
          </w:tcPr>
          <w:p w:rsidR="0067370A" w:rsidRPr="00885061" w:rsidRDefault="0067370A" w:rsidP="0067370A">
            <w:pPr>
              <w:rPr>
                <w:rFonts w:eastAsia="Times New Roman" w:cs="Calibri"/>
                <w:sz w:val="18"/>
                <w:szCs w:val="18"/>
                <w:lang w:eastAsia="en-AU"/>
              </w:rPr>
            </w:pPr>
            <w:r w:rsidRPr="00885061">
              <w:rPr>
                <w:rFonts w:eastAsia="Times New Roman" w:cs="Calibri"/>
                <w:sz w:val="18"/>
                <w:szCs w:val="18"/>
                <w:lang w:eastAsia="en-AU"/>
              </w:rPr>
              <w:t>Large owner</w:t>
            </w:r>
          </w:p>
        </w:tc>
        <w:tc>
          <w:tcPr>
            <w:tcW w:w="2044"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2140"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67370A" w:rsidRPr="00885061" w:rsidRDefault="0067370A" w:rsidP="0067370A">
            <w:pPr>
              <w:jc w:val="right"/>
              <w:rPr>
                <w:rFonts w:eastAsia="Times New Roman" w:cs="Calibri"/>
                <w:sz w:val="18"/>
                <w:szCs w:val="18"/>
                <w:lang w:eastAsia="en-AU"/>
              </w:rPr>
            </w:pPr>
            <w:r>
              <w:rPr>
                <w:rFonts w:cs="Calibri"/>
                <w:sz w:val="18"/>
                <w:szCs w:val="18"/>
              </w:rPr>
              <w:t>1.4</w:t>
            </w:r>
            <w:r w:rsidR="00AD2026">
              <w:rPr>
                <w:rFonts w:cs="Calibri"/>
                <w:sz w:val="18"/>
                <w:szCs w:val="18"/>
              </w:rPr>
              <w:t>6</w:t>
            </w:r>
            <w:r>
              <w:rPr>
                <w:rFonts w:cs="Calibri"/>
                <w:sz w:val="18"/>
                <w:szCs w:val="18"/>
              </w:rPr>
              <w:t>%</w:t>
            </w:r>
          </w:p>
        </w:tc>
      </w:tr>
      <w:tr w:rsidR="0067370A" w:rsidRPr="00885061" w:rsidTr="00B13AD8">
        <w:trPr>
          <w:trHeight w:val="240"/>
        </w:trPr>
        <w:tc>
          <w:tcPr>
            <w:tcW w:w="1500" w:type="dxa"/>
            <w:tcBorders>
              <w:top w:val="nil"/>
              <w:left w:val="nil"/>
              <w:bottom w:val="nil"/>
              <w:right w:val="nil"/>
            </w:tcBorders>
            <w:shd w:val="clear" w:color="000000" w:fill="FFFFFF"/>
            <w:noWrap/>
            <w:vAlign w:val="bottom"/>
            <w:hideMark/>
          </w:tcPr>
          <w:p w:rsidR="0067370A" w:rsidRPr="00885061" w:rsidRDefault="0067370A" w:rsidP="0067370A">
            <w:pPr>
              <w:rPr>
                <w:rFonts w:eastAsia="Times New Roman" w:cs="Calibri"/>
                <w:sz w:val="18"/>
                <w:szCs w:val="18"/>
                <w:lang w:eastAsia="en-AU"/>
              </w:rPr>
            </w:pPr>
            <w:r w:rsidRPr="00885061">
              <w:rPr>
                <w:rFonts w:eastAsia="Times New Roman" w:cs="Calibri"/>
                <w:sz w:val="18"/>
                <w:szCs w:val="18"/>
                <w:lang w:eastAsia="en-AU"/>
              </w:rPr>
              <w:t>Small owner</w:t>
            </w:r>
          </w:p>
        </w:tc>
        <w:tc>
          <w:tcPr>
            <w:tcW w:w="2044"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2140"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67370A" w:rsidRPr="00885061" w:rsidRDefault="0067370A" w:rsidP="0067370A">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67370A" w:rsidRPr="00885061" w:rsidRDefault="0067370A" w:rsidP="0067370A">
            <w:pPr>
              <w:jc w:val="right"/>
              <w:rPr>
                <w:rFonts w:eastAsia="Times New Roman" w:cs="Calibri"/>
                <w:sz w:val="18"/>
                <w:szCs w:val="18"/>
                <w:lang w:eastAsia="en-AU"/>
              </w:rPr>
            </w:pPr>
            <w:r>
              <w:rPr>
                <w:rFonts w:cs="Calibri"/>
                <w:sz w:val="18"/>
                <w:szCs w:val="18"/>
              </w:rPr>
              <w:t>56.</w:t>
            </w:r>
            <w:r w:rsidR="00AD2026">
              <w:rPr>
                <w:rFonts w:cs="Calibri"/>
                <w:sz w:val="18"/>
                <w:szCs w:val="18"/>
              </w:rPr>
              <w:t>91</w:t>
            </w:r>
            <w:r>
              <w:rPr>
                <w:rFonts w:cs="Calibri"/>
                <w:sz w:val="18"/>
                <w:szCs w:val="18"/>
              </w:rPr>
              <w:t>%</w:t>
            </w:r>
          </w:p>
        </w:tc>
      </w:tr>
      <w:tr w:rsidR="00AD2026" w:rsidRPr="00885061" w:rsidTr="00B13AD8">
        <w:trPr>
          <w:trHeight w:val="240"/>
        </w:trPr>
        <w:tc>
          <w:tcPr>
            <w:tcW w:w="1500" w:type="dxa"/>
            <w:tcBorders>
              <w:top w:val="nil"/>
              <w:left w:val="nil"/>
              <w:bottom w:val="nil"/>
              <w:right w:val="nil"/>
            </w:tcBorders>
            <w:shd w:val="clear" w:color="000000" w:fill="FFFFFF"/>
            <w:noWrap/>
            <w:vAlign w:val="bottom"/>
            <w:hideMark/>
          </w:tcPr>
          <w:p w:rsidR="00AD2026" w:rsidRPr="00885061" w:rsidRDefault="00AD2026" w:rsidP="00AD2026">
            <w:pPr>
              <w:rPr>
                <w:rFonts w:eastAsia="Times New Roman" w:cs="Calibri"/>
                <w:sz w:val="18"/>
                <w:szCs w:val="18"/>
                <w:lang w:eastAsia="en-AU"/>
              </w:rPr>
            </w:pPr>
            <w:r w:rsidRPr="00885061">
              <w:rPr>
                <w:rFonts w:eastAsia="Times New Roman" w:cs="Calibri"/>
                <w:sz w:val="18"/>
                <w:szCs w:val="18"/>
                <w:lang w:eastAsia="en-AU"/>
              </w:rPr>
              <w:t>GAP</w:t>
            </w:r>
          </w:p>
        </w:tc>
        <w:tc>
          <w:tcPr>
            <w:tcW w:w="2044" w:type="dxa"/>
            <w:tcBorders>
              <w:top w:val="nil"/>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color w:val="FF0000"/>
                <w:sz w:val="18"/>
                <w:szCs w:val="18"/>
                <w:lang w:eastAsia="en-AU"/>
              </w:rPr>
            </w:pPr>
            <w:r w:rsidRPr="00885061">
              <w:rPr>
                <w:rFonts w:eastAsia="Times New Roman" w:cs="Calibri"/>
                <w:color w:val="FF0000"/>
                <w:sz w:val="18"/>
                <w:szCs w:val="18"/>
                <w:lang w:eastAsia="en-AU"/>
              </w:rPr>
              <w:t>$0</w:t>
            </w:r>
          </w:p>
        </w:tc>
        <w:tc>
          <w:tcPr>
            <w:tcW w:w="2140" w:type="dxa"/>
            <w:tcBorders>
              <w:top w:val="nil"/>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AD2026" w:rsidRPr="00885061" w:rsidRDefault="00AD2026" w:rsidP="00AD2026">
            <w:pPr>
              <w:jc w:val="right"/>
              <w:rPr>
                <w:rFonts w:eastAsia="Times New Roman" w:cs="Calibri"/>
                <w:sz w:val="18"/>
                <w:szCs w:val="18"/>
                <w:lang w:eastAsia="en-AU"/>
              </w:rPr>
            </w:pPr>
            <w:r>
              <w:rPr>
                <w:rFonts w:cs="Calibri"/>
                <w:sz w:val="18"/>
                <w:szCs w:val="18"/>
              </w:rPr>
              <w:t>41.63%</w:t>
            </w:r>
          </w:p>
        </w:tc>
      </w:tr>
      <w:tr w:rsidR="00AD2026" w:rsidRPr="00975792" w:rsidTr="00B13AD8">
        <w:trPr>
          <w:trHeight w:val="240"/>
        </w:trPr>
        <w:tc>
          <w:tcPr>
            <w:tcW w:w="1500" w:type="dxa"/>
            <w:tcBorders>
              <w:top w:val="single" w:sz="4" w:space="0" w:color="1F4E78"/>
              <w:left w:val="nil"/>
              <w:bottom w:val="nil"/>
              <w:right w:val="nil"/>
            </w:tcBorders>
            <w:shd w:val="clear" w:color="000000" w:fill="FFFFFF"/>
            <w:noWrap/>
            <w:vAlign w:val="bottom"/>
            <w:hideMark/>
          </w:tcPr>
          <w:p w:rsidR="00AD2026" w:rsidRPr="00885061" w:rsidRDefault="00AD2026" w:rsidP="00AD2026">
            <w:pPr>
              <w:rPr>
                <w:rFonts w:eastAsia="Times New Roman" w:cs="Calibri"/>
                <w:b/>
                <w:bCs/>
                <w:color w:val="1F4E78"/>
                <w:sz w:val="18"/>
                <w:szCs w:val="18"/>
                <w:lang w:eastAsia="en-AU"/>
              </w:rPr>
            </w:pPr>
            <w:r w:rsidRPr="00975792">
              <w:rPr>
                <w:rFonts w:eastAsia="Times New Roman" w:cs="Calibri"/>
                <w:b/>
                <w:bCs/>
                <w:color w:val="53565A"/>
                <w:sz w:val="18"/>
                <w:szCs w:val="18"/>
                <w:lang w:eastAsia="en-AU"/>
              </w:rPr>
              <w:t>Total cost savings</w:t>
            </w:r>
          </w:p>
        </w:tc>
        <w:tc>
          <w:tcPr>
            <w:tcW w:w="2044" w:type="dxa"/>
            <w:tcBorders>
              <w:top w:val="single" w:sz="4" w:space="0" w:color="1F4E78"/>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b/>
                <w:bCs/>
                <w:color w:val="FF0000"/>
                <w:sz w:val="18"/>
                <w:szCs w:val="18"/>
                <w:lang w:eastAsia="en-AU"/>
              </w:rPr>
            </w:pPr>
            <w:r w:rsidRPr="00885061">
              <w:rPr>
                <w:rFonts w:eastAsia="Times New Roman" w:cs="Calibri"/>
                <w:b/>
                <w:bCs/>
                <w:color w:val="FF0000"/>
                <w:sz w:val="18"/>
                <w:szCs w:val="18"/>
                <w:lang w:eastAsia="en-AU"/>
              </w:rPr>
              <w:t>$0</w:t>
            </w:r>
          </w:p>
        </w:tc>
        <w:tc>
          <w:tcPr>
            <w:tcW w:w="2140" w:type="dxa"/>
            <w:tcBorders>
              <w:top w:val="single" w:sz="4" w:space="0" w:color="1F4E78"/>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nil"/>
              <w:right w:val="nil"/>
            </w:tcBorders>
            <w:shd w:val="clear" w:color="000000" w:fill="FFFFFF"/>
            <w:noWrap/>
            <w:vAlign w:val="bottom"/>
            <w:hideMark/>
          </w:tcPr>
          <w:p w:rsidR="00AD2026" w:rsidRPr="00885061" w:rsidRDefault="00AD2026" w:rsidP="00AD2026">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nil"/>
              <w:right w:val="nil"/>
            </w:tcBorders>
            <w:shd w:val="clear" w:color="auto" w:fill="DBE5F1" w:themeFill="accent1" w:themeFillTint="33"/>
            <w:noWrap/>
            <w:vAlign w:val="bottom"/>
            <w:hideMark/>
          </w:tcPr>
          <w:p w:rsidR="00AD2026" w:rsidRPr="00975792" w:rsidRDefault="00AD2026" w:rsidP="00AD2026">
            <w:pPr>
              <w:jc w:val="right"/>
              <w:rPr>
                <w:rFonts w:eastAsia="Times New Roman" w:cs="Calibri"/>
                <w:b/>
                <w:bCs/>
                <w:color w:val="53565A"/>
                <w:sz w:val="18"/>
                <w:szCs w:val="18"/>
                <w:lang w:eastAsia="en-AU"/>
              </w:rPr>
            </w:pPr>
            <w:r w:rsidRPr="00975792">
              <w:rPr>
                <w:rFonts w:cs="Calibri"/>
                <w:b/>
                <w:bCs/>
                <w:color w:val="53565A"/>
                <w:sz w:val="18"/>
                <w:szCs w:val="18"/>
              </w:rPr>
              <w:t>100.00%</w:t>
            </w:r>
          </w:p>
        </w:tc>
      </w:tr>
      <w:tr w:rsidR="00AD2026" w:rsidRPr="00885061" w:rsidTr="00B13AD8">
        <w:trPr>
          <w:trHeight w:val="240"/>
        </w:trPr>
        <w:tc>
          <w:tcPr>
            <w:tcW w:w="1500" w:type="dxa"/>
            <w:tcBorders>
              <w:top w:val="single" w:sz="4" w:space="0" w:color="auto"/>
              <w:left w:val="nil"/>
              <w:bottom w:val="single" w:sz="4" w:space="0" w:color="auto"/>
              <w:right w:val="nil"/>
            </w:tcBorders>
            <w:shd w:val="clear" w:color="000000" w:fill="FFFFFF"/>
            <w:noWrap/>
            <w:vAlign w:val="bottom"/>
            <w:hideMark/>
          </w:tcPr>
          <w:p w:rsidR="00AD2026" w:rsidRPr="00885061" w:rsidRDefault="00AD2026" w:rsidP="00AD2026">
            <w:pPr>
              <w:rPr>
                <w:rFonts w:eastAsia="Times New Roman" w:cs="Calibri"/>
                <w:b/>
                <w:bCs/>
                <w:i/>
                <w:iCs/>
                <w:sz w:val="18"/>
                <w:szCs w:val="18"/>
                <w:lang w:eastAsia="en-AU"/>
              </w:rPr>
            </w:pPr>
            <w:r w:rsidRPr="00885061">
              <w:rPr>
                <w:rFonts w:eastAsia="Times New Roman" w:cs="Calibri"/>
                <w:b/>
                <w:bCs/>
                <w:i/>
                <w:iCs/>
                <w:sz w:val="18"/>
                <w:szCs w:val="18"/>
                <w:lang w:eastAsia="en-AU"/>
              </w:rPr>
              <w:t>Total net costs</w:t>
            </w:r>
          </w:p>
        </w:tc>
        <w:tc>
          <w:tcPr>
            <w:tcW w:w="2044" w:type="dxa"/>
            <w:tcBorders>
              <w:top w:val="single" w:sz="4" w:space="0" w:color="auto"/>
              <w:left w:val="nil"/>
              <w:bottom w:val="single" w:sz="4" w:space="0" w:color="auto"/>
              <w:right w:val="nil"/>
            </w:tcBorders>
            <w:shd w:val="clear" w:color="000000" w:fill="FFFFFF"/>
            <w:noWrap/>
            <w:vAlign w:val="bottom"/>
            <w:hideMark/>
          </w:tcPr>
          <w:p w:rsidR="00AD2026" w:rsidRPr="00885061" w:rsidRDefault="00AD2026" w:rsidP="00AD2026">
            <w:pPr>
              <w:jc w:val="right"/>
              <w:rPr>
                <w:rFonts w:eastAsia="Times New Roman" w:cs="Calibri"/>
                <w:b/>
                <w:bCs/>
                <w:i/>
                <w:iCs/>
                <w:sz w:val="18"/>
                <w:szCs w:val="18"/>
                <w:lang w:eastAsia="en-AU"/>
              </w:rPr>
            </w:pPr>
            <w:r w:rsidRPr="00885061">
              <w:rPr>
                <w:rFonts w:eastAsia="Times New Roman" w:cs="Calibri"/>
                <w:b/>
                <w:bCs/>
                <w:i/>
                <w:iCs/>
                <w:sz w:val="18"/>
                <w:szCs w:val="18"/>
                <w:lang w:eastAsia="en-AU"/>
              </w:rPr>
              <w:t>$19,344,431</w:t>
            </w:r>
          </w:p>
        </w:tc>
        <w:tc>
          <w:tcPr>
            <w:tcW w:w="2140" w:type="dxa"/>
            <w:tcBorders>
              <w:top w:val="single" w:sz="4" w:space="0" w:color="auto"/>
              <w:left w:val="nil"/>
              <w:bottom w:val="single" w:sz="4" w:space="0" w:color="auto"/>
              <w:right w:val="nil"/>
            </w:tcBorders>
            <w:shd w:val="clear" w:color="000000" w:fill="FFFFFF"/>
            <w:noWrap/>
            <w:vAlign w:val="bottom"/>
            <w:hideMark/>
          </w:tcPr>
          <w:p w:rsidR="00AD2026" w:rsidRPr="00885061" w:rsidRDefault="00AD2026" w:rsidP="00AD2026">
            <w:pPr>
              <w:jc w:val="right"/>
              <w:rPr>
                <w:rFonts w:eastAsia="Times New Roman" w:cs="Calibri"/>
                <w:b/>
                <w:bCs/>
                <w:i/>
                <w:iCs/>
                <w:sz w:val="18"/>
                <w:szCs w:val="18"/>
                <w:lang w:eastAsia="en-AU"/>
              </w:rPr>
            </w:pPr>
            <w:r>
              <w:rPr>
                <w:rFonts w:cs="Calibri"/>
                <w:b/>
                <w:bCs/>
                <w:i/>
                <w:iCs/>
                <w:sz w:val="18"/>
                <w:szCs w:val="18"/>
              </w:rPr>
              <w:t>$11,655,421</w:t>
            </w:r>
          </w:p>
        </w:tc>
        <w:tc>
          <w:tcPr>
            <w:tcW w:w="1380" w:type="dxa"/>
            <w:tcBorders>
              <w:top w:val="single" w:sz="4" w:space="0" w:color="auto"/>
              <w:left w:val="nil"/>
              <w:bottom w:val="single" w:sz="4" w:space="0" w:color="auto"/>
              <w:right w:val="nil"/>
            </w:tcBorders>
            <w:shd w:val="clear" w:color="000000" w:fill="FFFFFF"/>
            <w:noWrap/>
            <w:vAlign w:val="bottom"/>
            <w:hideMark/>
          </w:tcPr>
          <w:p w:rsidR="00AD2026" w:rsidRPr="00885061" w:rsidRDefault="00AD2026" w:rsidP="00AD2026">
            <w:pPr>
              <w:jc w:val="right"/>
              <w:rPr>
                <w:rFonts w:eastAsia="Times New Roman" w:cs="Calibri"/>
                <w:b/>
                <w:bCs/>
                <w:i/>
                <w:iCs/>
                <w:sz w:val="18"/>
                <w:szCs w:val="18"/>
                <w:lang w:eastAsia="en-AU"/>
              </w:rPr>
            </w:pPr>
            <w:r>
              <w:rPr>
                <w:rFonts w:cs="Calibri"/>
                <w:b/>
                <w:bCs/>
                <w:i/>
                <w:iCs/>
                <w:sz w:val="18"/>
                <w:szCs w:val="18"/>
              </w:rPr>
              <w:t>$117,790,011</w:t>
            </w:r>
          </w:p>
        </w:tc>
        <w:tc>
          <w:tcPr>
            <w:tcW w:w="1340" w:type="dxa"/>
            <w:tcBorders>
              <w:top w:val="single" w:sz="4" w:space="0" w:color="auto"/>
              <w:left w:val="nil"/>
              <w:bottom w:val="single" w:sz="4" w:space="0" w:color="auto"/>
              <w:right w:val="nil"/>
            </w:tcBorders>
            <w:shd w:val="clear" w:color="auto" w:fill="DBE5F1" w:themeFill="accent1" w:themeFillTint="33"/>
            <w:noWrap/>
            <w:vAlign w:val="bottom"/>
            <w:hideMark/>
          </w:tcPr>
          <w:p w:rsidR="00AD2026" w:rsidRPr="00885061" w:rsidRDefault="00AD2026" w:rsidP="00AD2026">
            <w:pPr>
              <w:rPr>
                <w:rFonts w:eastAsia="Times New Roman" w:cs="Calibri"/>
                <w:b/>
                <w:bCs/>
                <w:i/>
                <w:iCs/>
                <w:sz w:val="18"/>
                <w:szCs w:val="18"/>
                <w:lang w:eastAsia="en-AU"/>
              </w:rPr>
            </w:pPr>
            <w:r>
              <w:rPr>
                <w:rFonts w:cs="Calibri"/>
                <w:b/>
                <w:bCs/>
                <w:i/>
                <w:iCs/>
                <w:sz w:val="18"/>
                <w:szCs w:val="18"/>
              </w:rPr>
              <w:t> </w:t>
            </w:r>
          </w:p>
        </w:tc>
      </w:tr>
    </w:tbl>
    <w:p w:rsidR="00A05891" w:rsidRDefault="00A05891" w:rsidP="00975792"/>
    <w:p w:rsidR="00AA425C" w:rsidRDefault="00AA425C">
      <w:pPr>
        <w:rPr>
          <w:i/>
          <w:color w:val="53565A"/>
          <w:sz w:val="24"/>
          <w:szCs w:val="24"/>
        </w:rPr>
      </w:pPr>
      <w:bookmarkStart w:id="281" w:name="_Toc469529239"/>
      <w:r>
        <w:br w:type="page"/>
      </w:r>
    </w:p>
    <w:p w:rsidR="00775018" w:rsidRDefault="00EA26DD" w:rsidP="005E307C">
      <w:pPr>
        <w:pStyle w:val="Heading3"/>
      </w:pPr>
      <w:bookmarkStart w:id="282" w:name="_Toc477190263"/>
      <w:r>
        <w:lastRenderedPageBreak/>
        <w:t>A4.17</w:t>
      </w:r>
      <w:r w:rsidR="00775018">
        <w:t>.7 Summary of total incremental costs of Option 4</w:t>
      </w:r>
      <w:bookmarkEnd w:id="281"/>
      <w:bookmarkEnd w:id="282"/>
    </w:p>
    <w:p w:rsidR="00775018" w:rsidRDefault="00775018" w:rsidP="00775018">
      <w:pPr>
        <w:jc w:val="both"/>
      </w:pPr>
      <w:r>
        <w:t>A total summary of net incremental cost under Option 4 based on all estim</w:t>
      </w:r>
      <w:r w:rsidR="008E01B1">
        <w:t>ations in Sections A4.2 to A4.13</w:t>
      </w:r>
      <w:r>
        <w:t xml:space="preserve"> of Appendix </w:t>
      </w:r>
      <w:r w:rsidR="007D7A02">
        <w:t>4</w:t>
      </w:r>
      <w:r>
        <w:t xml:space="preserve"> is provided for in Table A4.31. The total additiona</w:t>
      </w:r>
      <w:r w:rsidR="008C55F8">
        <w:t>l cost of Option 4</w:t>
      </w:r>
      <w:r>
        <w:t>, as co</w:t>
      </w:r>
      <w:r w:rsidR="008C55F8">
        <w:t>mp</w:t>
      </w:r>
      <w:r w:rsidR="00B32833">
        <w:t>ared to the base case, is $6</w:t>
      </w:r>
      <w:r w:rsidR="00C25DFC">
        <w:t>2</w:t>
      </w:r>
      <w:r w:rsidR="00B32833">
        <w:t>.</w:t>
      </w:r>
      <w:r w:rsidR="00C25DFC">
        <w:t>18</w:t>
      </w:r>
      <w:r>
        <w:t>m over 10 years in present value d</w:t>
      </w:r>
      <w:r w:rsidR="008C55F8">
        <w:t>ollars with one-off costs of $12.13</w:t>
      </w:r>
      <w:r>
        <w:t xml:space="preserve">m and annual costs </w:t>
      </w:r>
      <w:r w:rsidR="00B32833">
        <w:t>of $5.9</w:t>
      </w:r>
      <w:r w:rsidR="00C25DFC">
        <w:t>3</w:t>
      </w:r>
      <w:r>
        <w:t>m.</w:t>
      </w:r>
    </w:p>
    <w:p w:rsidR="00B32833" w:rsidRDefault="00B32833" w:rsidP="00775018">
      <w:pPr>
        <w:jc w:val="both"/>
      </w:pPr>
    </w:p>
    <w:p w:rsidR="00A05891" w:rsidRDefault="008C55F8" w:rsidP="008C55F8">
      <w:pPr>
        <w:jc w:val="center"/>
        <w:rPr>
          <w:b/>
          <w:sz w:val="20"/>
        </w:rPr>
      </w:pPr>
      <w:r>
        <w:rPr>
          <w:b/>
          <w:sz w:val="20"/>
        </w:rPr>
        <w:t>Table A4.31</w:t>
      </w:r>
      <w:r w:rsidRPr="000D1D99">
        <w:rPr>
          <w:b/>
          <w:sz w:val="20"/>
        </w:rPr>
        <w:t xml:space="preserve">: </w:t>
      </w:r>
      <w:r>
        <w:rPr>
          <w:b/>
          <w:sz w:val="20"/>
        </w:rPr>
        <w:t xml:space="preserve">Summary of net incremental </w:t>
      </w:r>
      <w:r w:rsidRPr="000D1D99">
        <w:rPr>
          <w:b/>
          <w:sz w:val="20"/>
        </w:rPr>
        <w:t>cost</w:t>
      </w:r>
      <w:r>
        <w:rPr>
          <w:b/>
          <w:sz w:val="20"/>
        </w:rPr>
        <w:t>s of Option 4</w:t>
      </w:r>
    </w:p>
    <w:p w:rsidR="008C55F8" w:rsidRDefault="008C55F8" w:rsidP="00975792"/>
    <w:tbl>
      <w:tblPr>
        <w:tblW w:w="9498" w:type="dxa"/>
        <w:jc w:val="center"/>
        <w:tblLayout w:type="fixed"/>
        <w:tblLook w:val="04A0" w:firstRow="1" w:lastRow="0" w:firstColumn="1" w:lastColumn="0" w:noHBand="0" w:noVBand="1"/>
      </w:tblPr>
      <w:tblGrid>
        <w:gridCol w:w="678"/>
        <w:gridCol w:w="1639"/>
        <w:gridCol w:w="1369"/>
        <w:gridCol w:w="1207"/>
        <w:gridCol w:w="1091"/>
        <w:gridCol w:w="1130"/>
        <w:gridCol w:w="1108"/>
        <w:gridCol w:w="1276"/>
      </w:tblGrid>
      <w:tr w:rsidR="00960800" w:rsidRPr="00975792" w:rsidTr="00503B24">
        <w:trPr>
          <w:trHeight w:val="840"/>
          <w:jc w:val="center"/>
        </w:trPr>
        <w:tc>
          <w:tcPr>
            <w:tcW w:w="678"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Std.</w:t>
            </w:r>
          </w:p>
        </w:tc>
        <w:tc>
          <w:tcPr>
            <w:tcW w:w="1639"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description</w:t>
            </w:r>
          </w:p>
        </w:tc>
        <w:tc>
          <w:tcPr>
            <w:tcW w:w="1369"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Cost incurred by</w:t>
            </w:r>
          </w:p>
        </w:tc>
        <w:tc>
          <w:tcPr>
            <w:tcW w:w="1207"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participants</w:t>
            </w:r>
          </w:p>
        </w:tc>
        <w:tc>
          <w:tcPr>
            <w:tcW w:w="1091"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Estimated No. animals affected</w:t>
            </w:r>
          </w:p>
        </w:tc>
        <w:tc>
          <w:tcPr>
            <w:tcW w:w="1130"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One-off cost</w:t>
            </w:r>
          </w:p>
        </w:tc>
        <w:tc>
          <w:tcPr>
            <w:tcW w:w="1108" w:type="dxa"/>
            <w:tcBorders>
              <w:top w:val="single" w:sz="4" w:space="0" w:color="1F4E78"/>
              <w:left w:val="nil"/>
              <w:bottom w:val="double" w:sz="6" w:space="0" w:color="1F4E78"/>
              <w:right w:val="nil"/>
            </w:tcBorders>
            <w:shd w:val="clear" w:color="000000" w:fill="FFFFFF"/>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Annual cost</w:t>
            </w:r>
          </w:p>
        </w:tc>
        <w:tc>
          <w:tcPr>
            <w:tcW w:w="1276" w:type="dxa"/>
            <w:tcBorders>
              <w:top w:val="single" w:sz="4" w:space="0" w:color="1F4E78"/>
              <w:left w:val="nil"/>
              <w:bottom w:val="double" w:sz="6" w:space="0" w:color="1F4E78"/>
              <w:right w:val="nil"/>
            </w:tcBorders>
            <w:shd w:val="clear" w:color="auto" w:fill="DBE5F1" w:themeFill="accent1" w:themeFillTint="33"/>
            <w:vAlign w:val="bottom"/>
            <w:hideMark/>
          </w:tcPr>
          <w:p w:rsidR="00960800" w:rsidRPr="00975792" w:rsidRDefault="00960800" w:rsidP="00960800">
            <w:pPr>
              <w:jc w:val="center"/>
              <w:rPr>
                <w:rFonts w:eastAsia="Times New Roman" w:cs="Calibri"/>
                <w:b/>
                <w:bCs/>
                <w:color w:val="53565A"/>
                <w:sz w:val="20"/>
                <w:szCs w:val="20"/>
                <w:lang w:eastAsia="en-AU"/>
              </w:rPr>
            </w:pPr>
            <w:r w:rsidRPr="00975792">
              <w:rPr>
                <w:rFonts w:eastAsia="Times New Roman" w:cs="Calibri"/>
                <w:b/>
                <w:bCs/>
                <w:color w:val="53565A"/>
                <w:sz w:val="20"/>
                <w:szCs w:val="20"/>
                <w:lang w:eastAsia="en-AU"/>
              </w:rPr>
              <w:t>10-year PV cost</w:t>
            </w:r>
          </w:p>
        </w:tc>
      </w:tr>
      <w:tr w:rsidR="00960800" w:rsidRPr="00960800" w:rsidTr="00503B24">
        <w:trPr>
          <w:trHeight w:val="28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3.1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Staff Ratio 1:25</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223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$593,430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$5,005,777</w:t>
            </w:r>
          </w:p>
        </w:tc>
      </w:tr>
      <w:tr w:rsidR="00960800" w:rsidRPr="00975792" w:rsidTr="00503B24">
        <w:trPr>
          <w:trHeight w:val="270"/>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3.1</w:t>
            </w:r>
          </w:p>
        </w:tc>
        <w:tc>
          <w:tcPr>
            <w:tcW w:w="163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Staff Ratio 1:25</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9</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223</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$593,430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$5,005,777</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3.6</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Independent VET</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Owners who are VETs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$2,701</w:t>
            </w:r>
          </w:p>
        </w:tc>
      </w:tr>
      <w:tr w:rsidR="00960800"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3.6</w:t>
            </w:r>
          </w:p>
        </w:tc>
        <w:tc>
          <w:tcPr>
            <w:tcW w:w="163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Independent VET</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$320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$2,701</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$2,476</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$1,405</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$14,324</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$31,370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$38,562</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$356,656</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$8,373</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$6,183</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$60,531</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4.1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management plans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867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4,937</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$77,858</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$104,061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$955,646</w:t>
            </w:r>
          </w:p>
        </w:tc>
      </w:tr>
      <w:tr w:rsidR="00960800"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4.1</w:t>
            </w:r>
          </w:p>
        </w:tc>
        <w:tc>
          <w:tcPr>
            <w:tcW w:w="1639" w:type="dxa"/>
            <w:tcBorders>
              <w:top w:val="nil"/>
              <w:left w:val="nil"/>
              <w:bottom w:val="single" w:sz="4" w:space="0" w:color="1F4E78"/>
              <w:right w:val="nil"/>
            </w:tcBorders>
            <w:shd w:val="clear" w:color="000000" w:fill="FFFFFF"/>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Health management plans</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1,252</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8,946</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$120,078</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$150,211</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$1,387,157</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$978</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$8,250</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$19,599</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$165,323</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$2,184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$18,421</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 keeping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867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4,937</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$28,030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$236,440</w:t>
            </w:r>
          </w:p>
        </w:tc>
      </w:tr>
      <w:tr w:rsidR="00960800" w:rsidRPr="00975792" w:rsidTr="00503B24">
        <w:trPr>
          <w:trHeight w:val="255"/>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w:t>
            </w:r>
          </w:p>
        </w:tc>
        <w:tc>
          <w:tcPr>
            <w:tcW w:w="1639" w:type="dxa"/>
            <w:tcBorders>
              <w:top w:val="nil"/>
              <w:left w:val="nil"/>
              <w:bottom w:val="single" w:sz="4" w:space="0" w:color="1F4E78"/>
              <w:right w:val="nil"/>
            </w:tcBorders>
            <w:shd w:val="clear" w:color="000000" w:fill="FFFFFF"/>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 keeping</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1,252</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8,946</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$50,790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$428,434</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$1,565</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$13,200</w:t>
            </w:r>
          </w:p>
        </w:tc>
      </w:tr>
      <w:tr w:rsidR="00960800" w:rsidRPr="00960800" w:rsidTr="00503B24">
        <w:trPr>
          <w:trHeight w:val="255"/>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$31,358</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$264,516</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$3,494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$29,474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5.2.1</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Records of health &amp; transfer</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867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4,937</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$44,848</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$378,304</w:t>
            </w:r>
          </w:p>
        </w:tc>
      </w:tr>
      <w:tr w:rsidR="00960800"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5.2.1</w:t>
            </w:r>
          </w:p>
        </w:tc>
        <w:tc>
          <w:tcPr>
            <w:tcW w:w="1639" w:type="dxa"/>
            <w:tcBorders>
              <w:top w:val="nil"/>
              <w:left w:val="nil"/>
              <w:bottom w:val="single" w:sz="4" w:space="0" w:color="1F4E78"/>
              <w:right w:val="nil"/>
            </w:tcBorders>
            <w:shd w:val="clear" w:color="000000" w:fill="FFFFFF"/>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Records of health &amp; transfer</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1,252</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8,946</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$81,265</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$685,494</w:t>
            </w:r>
          </w:p>
        </w:tc>
      </w:tr>
      <w:tr w:rsidR="00960800" w:rsidRPr="00960800" w:rsidTr="00503B24">
        <w:trPr>
          <w:trHeight w:val="27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$1,723</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$2,264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$20,818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Food receptacle and hygiene</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$34,519</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$45,365</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$417,189</w:t>
            </w:r>
          </w:p>
        </w:tc>
      </w:tr>
      <w:tr w:rsidR="00960800" w:rsidRPr="00975792"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center"/>
              <w:rPr>
                <w:rFonts w:eastAsia="Times New Roman" w:cs="Calibri"/>
                <w:b/>
                <w:bCs/>
                <w:color w:val="53565A"/>
                <w:sz w:val="18"/>
                <w:szCs w:val="18"/>
                <w:lang w:eastAsia="en-AU"/>
              </w:rPr>
            </w:pPr>
            <w:r w:rsidRPr="00975792">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Food receptacle and hygiene</w:t>
            </w:r>
          </w:p>
        </w:tc>
        <w:tc>
          <w:tcPr>
            <w:tcW w:w="1369"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rPr>
                <w:rFonts w:eastAsia="Times New Roman" w:cs="Calibri"/>
                <w:b/>
                <w:bCs/>
                <w:color w:val="53565A"/>
                <w:sz w:val="18"/>
                <w:szCs w:val="18"/>
                <w:lang w:eastAsia="en-AU"/>
              </w:rPr>
            </w:pPr>
            <w:r w:rsidRPr="00975792">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333</w:t>
            </w:r>
          </w:p>
        </w:tc>
        <w:tc>
          <w:tcPr>
            <w:tcW w:w="1091"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3,624</w:t>
            </w:r>
          </w:p>
        </w:tc>
        <w:tc>
          <w:tcPr>
            <w:tcW w:w="1130"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$36,242</w:t>
            </w:r>
          </w:p>
        </w:tc>
        <w:tc>
          <w:tcPr>
            <w:tcW w:w="1108" w:type="dxa"/>
            <w:tcBorders>
              <w:top w:val="nil"/>
              <w:left w:val="nil"/>
              <w:bottom w:val="single" w:sz="4" w:space="0" w:color="1F4E78"/>
              <w:right w:val="nil"/>
            </w:tcBorders>
            <w:shd w:val="clear" w:color="000000" w:fill="FFFFFF"/>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$47,629</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975792" w:rsidRDefault="00960800" w:rsidP="00960800">
            <w:pPr>
              <w:jc w:val="right"/>
              <w:rPr>
                <w:rFonts w:eastAsia="Times New Roman" w:cs="Calibri"/>
                <w:b/>
                <w:bCs/>
                <w:color w:val="53565A"/>
                <w:sz w:val="18"/>
                <w:szCs w:val="18"/>
                <w:lang w:eastAsia="en-AU"/>
              </w:rPr>
            </w:pPr>
            <w:r w:rsidRPr="00975792">
              <w:rPr>
                <w:rFonts w:eastAsia="Times New Roman" w:cs="Calibri"/>
                <w:b/>
                <w:bCs/>
                <w:color w:val="53565A"/>
                <w:sz w:val="18"/>
                <w:szCs w:val="18"/>
                <w:lang w:eastAsia="en-AU"/>
              </w:rPr>
              <w:t>$438,007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6.1.1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101</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$4,036</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$4,036</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Food storage</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101</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$4,036</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$4,036</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6.1.1</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storage</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2.0</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202</w:t>
            </w:r>
          </w:p>
        </w:tc>
        <w:tc>
          <w:tcPr>
            <w:tcW w:w="1130" w:type="dxa"/>
            <w:tcBorders>
              <w:top w:val="nil"/>
              <w:left w:val="nil"/>
              <w:bottom w:val="single" w:sz="4" w:space="0" w:color="1F4E78"/>
              <w:right w:val="nil"/>
            </w:tcBorders>
            <w:shd w:val="clear" w:color="000000" w:fill="FFFFFF"/>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$8,072</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$8,072</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$4,863</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$41,017</w:t>
            </w:r>
          </w:p>
        </w:tc>
      </w:tr>
      <w:tr w:rsidR="00960800" w:rsidRPr="00960800" w:rsidTr="00503B24">
        <w:trPr>
          <w:trHeight w:val="21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(breeding females)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25</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271</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$97,444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$821,969</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lastRenderedPageBreak/>
              <w:t>6.2.3</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Health checks (breeding females)</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26</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284</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$102,306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$862,986</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$20,671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$174,363</w:t>
            </w:r>
          </w:p>
        </w:tc>
      </w:tr>
      <w:tr w:rsidR="00960800" w:rsidRPr="00960800" w:rsidTr="00503B24">
        <w:trPr>
          <w:trHeight w:val="21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$414,230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$3,494,171</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$46,156</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$389,345</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6.2.3</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Health checks (all greyhounds)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867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4,937</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$592,422</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$4,997,273</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6.2.3</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Health checks (all greyhounds)</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1,252</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8,946</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$1,073,479</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$9,055,153</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84</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$676</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$5,700</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(8 to 16 weeks)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115</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1,693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$13,540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$114,216</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Rearing (8 to 16 weeks)</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121</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1,777</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$14,216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$119,915</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84</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$32,030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$270,187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115</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1,693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$1,098,862</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$9,269,268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118</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$47,740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$402,700</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6.3.9</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Rearing (16 weeks to 18 months)</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203</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1,518</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$1,604,452</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$13,534,081</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6.3.9</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Rearing (16 weeks to 18 months)</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340</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3,414</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$2,783,084</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$23,476,236</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21</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-$12,114</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-$102,182</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Food and shelter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825</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-$472,383</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-$3,984,707</w:t>
            </w:r>
          </w:p>
        </w:tc>
      </w:tr>
      <w:tr w:rsidR="00B32833" w:rsidRPr="00960800"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and shelter (cost savings)</w:t>
            </w:r>
          </w:p>
        </w:tc>
        <w:tc>
          <w:tcPr>
            <w:tcW w:w="136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3493</w:t>
            </w:r>
          </w:p>
        </w:tc>
        <w:tc>
          <w:tcPr>
            <w:tcW w:w="1091"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846</w:t>
            </w:r>
          </w:p>
        </w:tc>
        <w:tc>
          <w:tcPr>
            <w:tcW w:w="1130"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$0</w:t>
            </w:r>
          </w:p>
        </w:tc>
        <w:tc>
          <w:tcPr>
            <w:tcW w:w="1108" w:type="dxa"/>
            <w:tcBorders>
              <w:top w:val="nil"/>
              <w:left w:val="nil"/>
              <w:bottom w:val="single" w:sz="4" w:space="0" w:color="1F4E78"/>
              <w:right w:val="nil"/>
            </w:tcBorders>
            <w:shd w:val="clear" w:color="000000" w:fill="FFFFFF"/>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-$484,497</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-$4,086,889</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74</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-$8,838</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-$74,550</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2,872</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-$344,642</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-$2,907,171</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Euthanasia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159</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-$19,120</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-$161,284</w:t>
            </w:r>
          </w:p>
        </w:tc>
      </w:tr>
      <w:tr w:rsidR="00B32833" w:rsidRPr="00960800"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Euthanasia (cost savings)</w:t>
            </w:r>
          </w:p>
        </w:tc>
        <w:tc>
          <w:tcPr>
            <w:tcW w:w="136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3494</w:t>
            </w:r>
          </w:p>
        </w:tc>
        <w:tc>
          <w:tcPr>
            <w:tcW w:w="1091"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2,946</w:t>
            </w:r>
          </w:p>
        </w:tc>
        <w:tc>
          <w:tcPr>
            <w:tcW w:w="1130"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$0</w:t>
            </w:r>
          </w:p>
        </w:tc>
        <w:tc>
          <w:tcPr>
            <w:tcW w:w="1108" w:type="dxa"/>
            <w:tcBorders>
              <w:top w:val="nil"/>
              <w:left w:val="nil"/>
              <w:bottom w:val="single" w:sz="4" w:space="0" w:color="1F4E78"/>
              <w:right w:val="nil"/>
            </w:tcBorders>
            <w:shd w:val="clear" w:color="000000" w:fill="FFFFFF"/>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-$372,600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-$3,143,005</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39</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-$20,666</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-$174,324</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1,523</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-$805,892</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-$6,797,970</w:t>
            </w:r>
          </w:p>
        </w:tc>
      </w:tr>
      <w:tr w:rsidR="00C25DFC"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C25DFC" w:rsidRPr="00960800" w:rsidRDefault="00C25DFC" w:rsidP="00C25DFC">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C25DFC" w:rsidRPr="00960800" w:rsidRDefault="00C25DFC" w:rsidP="00C25DFC">
            <w:pPr>
              <w:rPr>
                <w:rFonts w:eastAsia="Times New Roman" w:cs="Calibri"/>
                <w:sz w:val="18"/>
                <w:szCs w:val="18"/>
                <w:lang w:eastAsia="en-AU"/>
              </w:rPr>
            </w:pPr>
            <w:r w:rsidRPr="00960800">
              <w:rPr>
                <w:rFonts w:eastAsia="Times New Roman" w:cs="Calibri"/>
                <w:sz w:val="18"/>
                <w:szCs w:val="18"/>
                <w:lang w:eastAsia="en-AU"/>
              </w:rPr>
              <w:t>Rehoming (cost savings)</w:t>
            </w:r>
          </w:p>
        </w:tc>
        <w:tc>
          <w:tcPr>
            <w:tcW w:w="1369" w:type="dxa"/>
            <w:tcBorders>
              <w:top w:val="nil"/>
              <w:left w:val="nil"/>
              <w:bottom w:val="nil"/>
              <w:right w:val="nil"/>
            </w:tcBorders>
            <w:shd w:val="clear" w:color="000000" w:fill="FFFFFF"/>
            <w:noWrap/>
            <w:vAlign w:val="bottom"/>
            <w:hideMark/>
          </w:tcPr>
          <w:p w:rsidR="00C25DFC" w:rsidRPr="00960800" w:rsidRDefault="00C25DFC" w:rsidP="00C25DFC">
            <w:pPr>
              <w:rPr>
                <w:rFonts w:eastAsia="Times New Roman" w:cs="Calibri"/>
                <w:sz w:val="18"/>
                <w:szCs w:val="18"/>
                <w:lang w:eastAsia="en-AU"/>
              </w:rPr>
            </w:pPr>
            <w:r w:rsidRPr="00960800">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C25DFC" w:rsidRPr="00960800" w:rsidRDefault="00C25DFC" w:rsidP="00C25DFC">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C25DFC" w:rsidRPr="00960800" w:rsidRDefault="00C25DFC" w:rsidP="00C25DFC">
            <w:pPr>
              <w:jc w:val="right"/>
              <w:rPr>
                <w:rFonts w:eastAsia="Times New Roman" w:cs="Calibri"/>
                <w:sz w:val="18"/>
                <w:szCs w:val="18"/>
                <w:lang w:eastAsia="en-AU"/>
              </w:rPr>
            </w:pPr>
            <w:r>
              <w:rPr>
                <w:rFonts w:cs="Calibri"/>
                <w:sz w:val="18"/>
                <w:szCs w:val="18"/>
              </w:rPr>
              <w:t>686</w:t>
            </w:r>
          </w:p>
        </w:tc>
        <w:tc>
          <w:tcPr>
            <w:tcW w:w="1130" w:type="dxa"/>
            <w:tcBorders>
              <w:top w:val="nil"/>
              <w:left w:val="nil"/>
              <w:bottom w:val="nil"/>
              <w:right w:val="nil"/>
            </w:tcBorders>
            <w:shd w:val="clear" w:color="000000" w:fill="FFFFFF"/>
            <w:noWrap/>
            <w:vAlign w:val="bottom"/>
            <w:hideMark/>
          </w:tcPr>
          <w:p w:rsidR="00C25DFC" w:rsidRPr="00960800" w:rsidRDefault="00C25DFC" w:rsidP="00C25DFC">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C25DFC" w:rsidRPr="00960800" w:rsidRDefault="00C25DFC" w:rsidP="00C25DFC">
            <w:pPr>
              <w:jc w:val="right"/>
              <w:rPr>
                <w:rFonts w:eastAsia="Times New Roman" w:cs="Calibri"/>
                <w:color w:val="FF0000"/>
                <w:sz w:val="18"/>
                <w:szCs w:val="18"/>
                <w:lang w:eastAsia="en-AU"/>
              </w:rPr>
            </w:pPr>
            <w:r>
              <w:rPr>
                <w:rFonts w:cs="Calibri"/>
                <w:color w:val="FF0000"/>
                <w:sz w:val="18"/>
                <w:szCs w:val="18"/>
              </w:rPr>
              <w:t>-$426,099</w:t>
            </w:r>
          </w:p>
        </w:tc>
        <w:tc>
          <w:tcPr>
            <w:tcW w:w="1276" w:type="dxa"/>
            <w:tcBorders>
              <w:top w:val="nil"/>
              <w:left w:val="nil"/>
              <w:bottom w:val="nil"/>
              <w:right w:val="nil"/>
            </w:tcBorders>
            <w:shd w:val="clear" w:color="auto" w:fill="DBE5F1" w:themeFill="accent1" w:themeFillTint="33"/>
            <w:noWrap/>
            <w:vAlign w:val="bottom"/>
            <w:hideMark/>
          </w:tcPr>
          <w:p w:rsidR="00C25DFC" w:rsidRPr="00960800" w:rsidRDefault="00C25DFC" w:rsidP="00C25DFC">
            <w:pPr>
              <w:jc w:val="right"/>
              <w:rPr>
                <w:rFonts w:eastAsia="Times New Roman" w:cs="Calibri"/>
                <w:color w:val="FF0000"/>
                <w:sz w:val="18"/>
                <w:szCs w:val="18"/>
                <w:lang w:eastAsia="en-AU"/>
              </w:rPr>
            </w:pPr>
            <w:r>
              <w:rPr>
                <w:rFonts w:cs="Calibri"/>
                <w:color w:val="FF0000"/>
                <w:sz w:val="18"/>
                <w:szCs w:val="18"/>
              </w:rPr>
              <w:t>-$3,594,283</w:t>
            </w:r>
          </w:p>
        </w:tc>
      </w:tr>
      <w:tr w:rsidR="00C25DFC" w:rsidRPr="00960800"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Rehoming (cost savings)</w:t>
            </w:r>
          </w:p>
        </w:tc>
        <w:tc>
          <w:tcPr>
            <w:tcW w:w="1369"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3494</w:t>
            </w:r>
          </w:p>
        </w:tc>
        <w:tc>
          <w:tcPr>
            <w:tcW w:w="1091"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jc w:val="right"/>
              <w:rPr>
                <w:rFonts w:eastAsia="Times New Roman" w:cs="Calibri"/>
                <w:b/>
                <w:bCs/>
                <w:color w:val="53565A"/>
                <w:sz w:val="18"/>
                <w:szCs w:val="18"/>
                <w:lang w:eastAsia="en-AU"/>
              </w:rPr>
            </w:pPr>
            <w:r w:rsidRPr="00AA425C">
              <w:rPr>
                <w:rFonts w:cs="Calibri"/>
                <w:b/>
                <w:bCs/>
                <w:color w:val="53565A"/>
                <w:sz w:val="18"/>
                <w:szCs w:val="18"/>
              </w:rPr>
              <w:t>1,562</w:t>
            </w:r>
          </w:p>
        </w:tc>
        <w:tc>
          <w:tcPr>
            <w:tcW w:w="1130" w:type="dxa"/>
            <w:tcBorders>
              <w:top w:val="nil"/>
              <w:left w:val="nil"/>
              <w:bottom w:val="single" w:sz="4" w:space="0" w:color="1F4E78"/>
              <w:right w:val="nil"/>
            </w:tcBorders>
            <w:shd w:val="clear" w:color="000000" w:fill="FFFFFF"/>
            <w:noWrap/>
            <w:vAlign w:val="bottom"/>
            <w:hideMark/>
          </w:tcPr>
          <w:p w:rsidR="00C25DFC" w:rsidRPr="00AA425C" w:rsidRDefault="00C25DFC" w:rsidP="00C25DFC">
            <w:pPr>
              <w:jc w:val="right"/>
              <w:rPr>
                <w:rFonts w:eastAsia="Times New Roman" w:cs="Calibri"/>
                <w:b/>
                <w:bCs/>
                <w:color w:val="53565A"/>
                <w:sz w:val="18"/>
                <w:szCs w:val="18"/>
                <w:lang w:eastAsia="en-AU"/>
              </w:rPr>
            </w:pPr>
            <w:r w:rsidRPr="00AA425C">
              <w:rPr>
                <w:rFonts w:cs="Calibri"/>
                <w:b/>
                <w:bCs/>
                <w:color w:val="53565A"/>
                <w:sz w:val="18"/>
                <w:szCs w:val="18"/>
              </w:rPr>
              <w:t>$0</w:t>
            </w:r>
          </w:p>
        </w:tc>
        <w:tc>
          <w:tcPr>
            <w:tcW w:w="1108" w:type="dxa"/>
            <w:tcBorders>
              <w:top w:val="nil"/>
              <w:left w:val="nil"/>
              <w:bottom w:val="single" w:sz="4" w:space="0" w:color="1F4E78"/>
              <w:right w:val="nil"/>
            </w:tcBorders>
            <w:shd w:val="clear" w:color="000000" w:fill="FFFFFF"/>
            <w:noWrap/>
            <w:vAlign w:val="bottom"/>
            <w:hideMark/>
          </w:tcPr>
          <w:p w:rsidR="00C25DFC" w:rsidRPr="00960800" w:rsidRDefault="00C25DFC" w:rsidP="00C25DFC">
            <w:pPr>
              <w:jc w:val="right"/>
              <w:rPr>
                <w:rFonts w:eastAsia="Times New Roman" w:cs="Calibri"/>
                <w:b/>
                <w:bCs/>
                <w:color w:val="FF0000"/>
                <w:sz w:val="18"/>
                <w:szCs w:val="18"/>
                <w:lang w:eastAsia="en-AU"/>
              </w:rPr>
            </w:pPr>
            <w:r>
              <w:rPr>
                <w:rFonts w:cs="Calibri"/>
                <w:b/>
                <w:bCs/>
                <w:color w:val="FF0000"/>
                <w:sz w:val="18"/>
                <w:szCs w:val="18"/>
              </w:rPr>
              <w:t>-$1,252,657</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C25DFC" w:rsidRPr="00960800" w:rsidRDefault="00C25DFC" w:rsidP="00C25DFC">
            <w:pPr>
              <w:jc w:val="right"/>
              <w:rPr>
                <w:rFonts w:eastAsia="Times New Roman" w:cs="Calibri"/>
                <w:b/>
                <w:bCs/>
                <w:color w:val="FF0000"/>
                <w:sz w:val="18"/>
                <w:szCs w:val="18"/>
                <w:lang w:eastAsia="en-AU"/>
              </w:rPr>
            </w:pPr>
            <w:r>
              <w:rPr>
                <w:rFonts w:cs="Calibri"/>
                <w:b/>
                <w:bCs/>
                <w:color w:val="FF0000"/>
                <w:sz w:val="18"/>
                <w:szCs w:val="18"/>
              </w:rPr>
              <w:t>-$10,566,577</w:t>
            </w:r>
          </w:p>
        </w:tc>
      </w:tr>
      <w:tr w:rsidR="00B32833"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B32833" w:rsidRPr="00960800" w:rsidRDefault="00B32833" w:rsidP="00B32833">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Rehabilitation (cost savings)</w:t>
            </w:r>
          </w:p>
        </w:tc>
        <w:tc>
          <w:tcPr>
            <w:tcW w:w="1369" w:type="dxa"/>
            <w:tcBorders>
              <w:top w:val="nil"/>
              <w:left w:val="nil"/>
              <w:bottom w:val="nil"/>
              <w:right w:val="nil"/>
            </w:tcBorders>
            <w:shd w:val="clear" w:color="000000" w:fill="FFFFFF"/>
            <w:noWrap/>
            <w:vAlign w:val="bottom"/>
            <w:hideMark/>
          </w:tcPr>
          <w:p w:rsidR="00B32833" w:rsidRPr="00960800" w:rsidRDefault="00B32833" w:rsidP="00B32833">
            <w:pPr>
              <w:rPr>
                <w:rFonts w:eastAsia="Times New Roman" w:cs="Calibri"/>
                <w:sz w:val="18"/>
                <w:szCs w:val="18"/>
                <w:lang w:eastAsia="en-AU"/>
              </w:rPr>
            </w:pPr>
            <w:r w:rsidRPr="00960800">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846</w:t>
            </w:r>
          </w:p>
        </w:tc>
        <w:tc>
          <w:tcPr>
            <w:tcW w:w="1130"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sz w:val="18"/>
                <w:szCs w:val="18"/>
                <w:lang w:eastAsia="en-AU"/>
              </w:rPr>
            </w:pPr>
            <w:r>
              <w:rPr>
                <w:rFonts w:cs="Calibri"/>
                <w:sz w:val="18"/>
                <w:szCs w:val="18"/>
              </w:rPr>
              <w:t>$0</w:t>
            </w:r>
          </w:p>
        </w:tc>
        <w:tc>
          <w:tcPr>
            <w:tcW w:w="1108" w:type="dxa"/>
            <w:tcBorders>
              <w:top w:val="nil"/>
              <w:left w:val="nil"/>
              <w:bottom w:val="nil"/>
              <w:right w:val="nil"/>
            </w:tcBorders>
            <w:shd w:val="clear" w:color="000000" w:fill="FFFFFF"/>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-$741,856</w:t>
            </w:r>
          </w:p>
        </w:tc>
        <w:tc>
          <w:tcPr>
            <w:tcW w:w="1276" w:type="dxa"/>
            <w:tcBorders>
              <w:top w:val="nil"/>
              <w:left w:val="nil"/>
              <w:bottom w:val="nil"/>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color w:val="FF0000"/>
                <w:sz w:val="18"/>
                <w:szCs w:val="18"/>
                <w:lang w:eastAsia="en-AU"/>
              </w:rPr>
            </w:pPr>
            <w:r>
              <w:rPr>
                <w:rFonts w:cs="Calibri"/>
                <w:color w:val="FF0000"/>
                <w:sz w:val="18"/>
                <w:szCs w:val="18"/>
              </w:rPr>
              <w:t>-$6,257,801</w:t>
            </w:r>
          </w:p>
        </w:tc>
      </w:tr>
      <w:tr w:rsidR="00B32833" w:rsidRPr="00960800"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Rehabilitation (cost savings)</w:t>
            </w:r>
          </w:p>
        </w:tc>
        <w:tc>
          <w:tcPr>
            <w:tcW w:w="1369"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w:t>
            </w:r>
          </w:p>
        </w:tc>
        <w:tc>
          <w:tcPr>
            <w:tcW w:w="1091"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846</w:t>
            </w:r>
          </w:p>
        </w:tc>
        <w:tc>
          <w:tcPr>
            <w:tcW w:w="1130" w:type="dxa"/>
            <w:tcBorders>
              <w:top w:val="nil"/>
              <w:left w:val="nil"/>
              <w:bottom w:val="single" w:sz="4" w:space="0" w:color="1F4E78"/>
              <w:right w:val="nil"/>
            </w:tcBorders>
            <w:shd w:val="clear" w:color="000000" w:fill="FFFFFF"/>
            <w:noWrap/>
            <w:vAlign w:val="bottom"/>
            <w:hideMark/>
          </w:tcPr>
          <w:p w:rsidR="00B32833" w:rsidRPr="00AA425C" w:rsidRDefault="00B32833" w:rsidP="00B32833">
            <w:pPr>
              <w:jc w:val="right"/>
              <w:rPr>
                <w:rFonts w:eastAsia="Times New Roman" w:cs="Calibri"/>
                <w:b/>
                <w:bCs/>
                <w:color w:val="53565A"/>
                <w:sz w:val="18"/>
                <w:szCs w:val="18"/>
                <w:lang w:eastAsia="en-AU"/>
              </w:rPr>
            </w:pPr>
            <w:r w:rsidRPr="00AA425C">
              <w:rPr>
                <w:rFonts w:cs="Calibri"/>
                <w:b/>
                <w:bCs/>
                <w:color w:val="53565A"/>
                <w:sz w:val="18"/>
                <w:szCs w:val="18"/>
              </w:rPr>
              <w:t>$0</w:t>
            </w:r>
          </w:p>
        </w:tc>
        <w:tc>
          <w:tcPr>
            <w:tcW w:w="1108" w:type="dxa"/>
            <w:tcBorders>
              <w:top w:val="nil"/>
              <w:left w:val="nil"/>
              <w:bottom w:val="single" w:sz="4" w:space="0" w:color="1F4E78"/>
              <w:right w:val="nil"/>
            </w:tcBorders>
            <w:shd w:val="clear" w:color="000000" w:fill="FFFFFF"/>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-$741,856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B32833" w:rsidRPr="00960800" w:rsidRDefault="00B32833" w:rsidP="00B32833">
            <w:pPr>
              <w:jc w:val="right"/>
              <w:rPr>
                <w:rFonts w:eastAsia="Times New Roman" w:cs="Calibri"/>
                <w:b/>
                <w:bCs/>
                <w:color w:val="FF0000"/>
                <w:sz w:val="18"/>
                <w:szCs w:val="18"/>
                <w:lang w:eastAsia="en-AU"/>
              </w:rPr>
            </w:pPr>
            <w:r>
              <w:rPr>
                <w:rFonts w:cs="Calibri"/>
                <w:b/>
                <w:bCs/>
                <w:color w:val="FF0000"/>
                <w:sz w:val="18"/>
                <w:szCs w:val="18"/>
              </w:rPr>
              <w:t>-$6,257,801</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$47,554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$401,134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Rehabilitation</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3,333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$1,854,425</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$15,642,694</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Rehabilitation</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3493</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3,418</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$1,901,980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$16,043,828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$25,640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$216,279</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Rehoming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3,333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$999,851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$8,434,074</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lastRenderedPageBreak/>
              <w:t>6.3.12</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Rehoming</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3493</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3,418</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$1,025,491</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$8,650,353</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$4,521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$38,134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3406</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1,469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$176,291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$1,487,073</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Euthanasia</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3493</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1,507</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$180,812</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$1,525,207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Food and shelter</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3,418</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$182,784</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$1,541,845</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6.3.12</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Euthanasia</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$4,102</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$34,601</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and shelter/euthanasia</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3,452</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$186,886</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$1,576,447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$167,895</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$167,895</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321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3,452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$1,672,801</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$1,672,801</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385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$674,277</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$674,277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6.6.4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Perimeter fencing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867</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4,937</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$4,534,455</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$4,534,455</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6.6.4 </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Perimeter fencing</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1252</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8,946</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$7,049,428</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$7,049,428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$120,354</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$120,354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58</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846</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$2,411,844</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$2,411,844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$168,565</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$168,565</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xml:space="preserve">6.6.5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Outdoor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102</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759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$2,163,539</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$2,163,539</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6.6.5 </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Outdoor housing</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170</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1707</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$4,864,302</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$4,864,302</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$734</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$734</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6.6.6</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Indoor housing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281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2,099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$53,447</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$53,447</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6.6.6</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Indoor housing</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285</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2,127</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$54,180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$54,180</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45</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$51</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$427</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61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892</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$1,013</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$8,548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13</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99</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$113</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$953</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171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1,276</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$1,449</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$12,226</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7.1</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Sale and transfer out of industry</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1</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2,313</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$416</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$3,505</w:t>
            </w:r>
          </w:p>
        </w:tc>
      </w:tr>
      <w:tr w:rsidR="00960800" w:rsidRPr="00AA425C" w:rsidTr="00503B24">
        <w:trPr>
          <w:trHeight w:val="240"/>
          <w:jc w:val="center"/>
        </w:trPr>
        <w:tc>
          <w:tcPr>
            <w:tcW w:w="67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7.1</w:t>
            </w:r>
          </w:p>
        </w:tc>
        <w:tc>
          <w:tcPr>
            <w:tcW w:w="163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Sale and transfer out of industry</w:t>
            </w:r>
          </w:p>
        </w:tc>
        <w:tc>
          <w:tcPr>
            <w:tcW w:w="1369"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249</w:t>
            </w:r>
          </w:p>
        </w:tc>
        <w:tc>
          <w:tcPr>
            <w:tcW w:w="1091"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2,313</w:t>
            </w:r>
          </w:p>
        </w:tc>
        <w:tc>
          <w:tcPr>
            <w:tcW w:w="1130"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single" w:sz="4" w:space="0" w:color="1F4E78"/>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$3,042</w:t>
            </w:r>
          </w:p>
        </w:tc>
        <w:tc>
          <w:tcPr>
            <w:tcW w:w="1276" w:type="dxa"/>
            <w:tcBorders>
              <w:top w:val="nil"/>
              <w:left w:val="nil"/>
              <w:bottom w:val="single" w:sz="4" w:space="0" w:color="1F4E78"/>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$25,658</w:t>
            </w:r>
          </w:p>
        </w:tc>
      </w:tr>
      <w:tr w:rsidR="00960800" w:rsidRPr="00960800"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960800" w:rsidRDefault="00960800" w:rsidP="00960800">
            <w:pPr>
              <w:jc w:val="center"/>
              <w:rPr>
                <w:rFonts w:eastAsia="Times New Roman" w:cs="Calibri"/>
                <w:sz w:val="18"/>
                <w:szCs w:val="18"/>
                <w:lang w:eastAsia="en-AU"/>
              </w:rPr>
            </w:pPr>
            <w:r w:rsidRPr="00960800">
              <w:rPr>
                <w:rFonts w:eastAsia="Times New Roman" w:cs="Calibri"/>
                <w:sz w:val="18"/>
                <w:szCs w:val="18"/>
                <w:lang w:eastAsia="en-AU"/>
              </w:rPr>
              <w:t> </w:t>
            </w:r>
          </w:p>
        </w:tc>
        <w:tc>
          <w:tcPr>
            <w:tcW w:w="163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Enforcement (training)</w:t>
            </w:r>
          </w:p>
        </w:tc>
        <w:tc>
          <w:tcPr>
            <w:tcW w:w="1369" w:type="dxa"/>
            <w:tcBorders>
              <w:top w:val="nil"/>
              <w:left w:val="nil"/>
              <w:bottom w:val="nil"/>
              <w:right w:val="nil"/>
            </w:tcBorders>
            <w:shd w:val="clear" w:color="000000" w:fill="FFFFFF"/>
            <w:noWrap/>
            <w:vAlign w:val="bottom"/>
            <w:hideMark/>
          </w:tcPr>
          <w:p w:rsidR="00960800" w:rsidRPr="00960800" w:rsidRDefault="00960800" w:rsidP="00960800">
            <w:pPr>
              <w:rPr>
                <w:rFonts w:eastAsia="Times New Roman" w:cs="Calibri"/>
                <w:sz w:val="18"/>
                <w:szCs w:val="18"/>
                <w:lang w:eastAsia="en-AU"/>
              </w:rPr>
            </w:pPr>
            <w:r w:rsidRPr="00960800">
              <w:rPr>
                <w:rFonts w:eastAsia="Times New Roman" w:cs="Calibri"/>
                <w:sz w:val="18"/>
                <w:szCs w:val="18"/>
                <w:lang w:eastAsia="en-AU"/>
              </w:rPr>
              <w:t>Councils</w:t>
            </w:r>
          </w:p>
        </w:tc>
        <w:tc>
          <w:tcPr>
            <w:tcW w:w="1207"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240 staff</w:t>
            </w:r>
          </w:p>
        </w:tc>
        <w:tc>
          <w:tcPr>
            <w:tcW w:w="1091"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8,946</w:t>
            </w:r>
          </w:p>
        </w:tc>
        <w:tc>
          <w:tcPr>
            <w:tcW w:w="1130"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$589,598</w:t>
            </w:r>
          </w:p>
        </w:tc>
        <w:tc>
          <w:tcPr>
            <w:tcW w:w="1276" w:type="dxa"/>
            <w:tcBorders>
              <w:top w:val="nil"/>
              <w:left w:val="nil"/>
              <w:bottom w:val="nil"/>
              <w:right w:val="nil"/>
            </w:tcBorders>
            <w:shd w:val="clear" w:color="auto" w:fill="DBE5F1" w:themeFill="accent1" w:themeFillTint="33"/>
            <w:noWrap/>
            <w:vAlign w:val="bottom"/>
            <w:hideMark/>
          </w:tcPr>
          <w:p w:rsidR="00960800" w:rsidRPr="00960800" w:rsidRDefault="00960800" w:rsidP="00960800">
            <w:pPr>
              <w:jc w:val="right"/>
              <w:rPr>
                <w:rFonts w:eastAsia="Times New Roman" w:cs="Calibri"/>
                <w:sz w:val="18"/>
                <w:szCs w:val="18"/>
                <w:lang w:eastAsia="en-AU"/>
              </w:rPr>
            </w:pPr>
            <w:r w:rsidRPr="00960800">
              <w:rPr>
                <w:rFonts w:eastAsia="Times New Roman" w:cs="Calibri"/>
                <w:sz w:val="18"/>
                <w:szCs w:val="18"/>
                <w:lang w:eastAsia="en-AU"/>
              </w:rPr>
              <w:t>$4,973,459</w:t>
            </w:r>
          </w:p>
        </w:tc>
      </w:tr>
      <w:tr w:rsidR="00960800" w:rsidRPr="00AA425C" w:rsidTr="00503B24">
        <w:trPr>
          <w:trHeight w:val="240"/>
          <w:jc w:val="center"/>
        </w:trPr>
        <w:tc>
          <w:tcPr>
            <w:tcW w:w="678" w:type="dxa"/>
            <w:tcBorders>
              <w:top w:val="nil"/>
              <w:left w:val="nil"/>
              <w:bottom w:val="nil"/>
              <w:right w:val="nil"/>
            </w:tcBorders>
            <w:shd w:val="clear" w:color="000000" w:fill="FFFFFF"/>
            <w:noWrap/>
            <w:vAlign w:val="bottom"/>
            <w:hideMark/>
          </w:tcPr>
          <w:p w:rsidR="00960800" w:rsidRPr="00AA425C" w:rsidRDefault="00960800" w:rsidP="00960800">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w:t>
            </w:r>
          </w:p>
        </w:tc>
        <w:tc>
          <w:tcPr>
            <w:tcW w:w="1639" w:type="dxa"/>
            <w:tcBorders>
              <w:top w:val="nil"/>
              <w:left w:val="nil"/>
              <w:bottom w:val="nil"/>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Enforcement (training)</w:t>
            </w:r>
          </w:p>
        </w:tc>
        <w:tc>
          <w:tcPr>
            <w:tcW w:w="1369" w:type="dxa"/>
            <w:tcBorders>
              <w:top w:val="nil"/>
              <w:left w:val="nil"/>
              <w:bottom w:val="nil"/>
              <w:right w:val="nil"/>
            </w:tcBorders>
            <w:shd w:val="clear" w:color="000000" w:fill="FFFFFF"/>
            <w:noWrap/>
            <w:vAlign w:val="bottom"/>
            <w:hideMark/>
          </w:tcPr>
          <w:p w:rsidR="00960800" w:rsidRPr="00AA425C" w:rsidRDefault="00960800" w:rsidP="00960800">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nil"/>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240 staff</w:t>
            </w:r>
          </w:p>
        </w:tc>
        <w:tc>
          <w:tcPr>
            <w:tcW w:w="1091" w:type="dxa"/>
            <w:tcBorders>
              <w:top w:val="nil"/>
              <w:left w:val="nil"/>
              <w:bottom w:val="nil"/>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8,946</w:t>
            </w:r>
          </w:p>
        </w:tc>
        <w:tc>
          <w:tcPr>
            <w:tcW w:w="1130" w:type="dxa"/>
            <w:tcBorders>
              <w:top w:val="nil"/>
              <w:left w:val="nil"/>
              <w:bottom w:val="nil"/>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08" w:type="dxa"/>
            <w:tcBorders>
              <w:top w:val="nil"/>
              <w:left w:val="nil"/>
              <w:bottom w:val="nil"/>
              <w:right w:val="nil"/>
            </w:tcBorders>
            <w:shd w:val="clear" w:color="000000" w:fill="FFFFFF"/>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$589,598</w:t>
            </w:r>
          </w:p>
        </w:tc>
        <w:tc>
          <w:tcPr>
            <w:tcW w:w="1276" w:type="dxa"/>
            <w:tcBorders>
              <w:top w:val="nil"/>
              <w:left w:val="nil"/>
              <w:bottom w:val="nil"/>
              <w:right w:val="nil"/>
            </w:tcBorders>
            <w:shd w:val="clear" w:color="auto" w:fill="DBE5F1" w:themeFill="accent1" w:themeFillTint="33"/>
            <w:noWrap/>
            <w:vAlign w:val="bottom"/>
            <w:hideMark/>
          </w:tcPr>
          <w:p w:rsidR="00960800" w:rsidRPr="00AA425C" w:rsidRDefault="00960800" w:rsidP="00960800">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$4,973,459</w:t>
            </w:r>
          </w:p>
        </w:tc>
      </w:tr>
      <w:tr w:rsidR="00C25DFC" w:rsidRPr="00960800" w:rsidTr="00503B24">
        <w:trPr>
          <w:trHeight w:val="240"/>
          <w:jc w:val="center"/>
        </w:trPr>
        <w:tc>
          <w:tcPr>
            <w:tcW w:w="678"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rPr>
                <w:rFonts w:eastAsia="Times New Roman" w:cs="Calibri"/>
                <w:b/>
                <w:bCs/>
                <w:i/>
                <w:iCs/>
                <w:sz w:val="18"/>
                <w:szCs w:val="18"/>
                <w:lang w:eastAsia="en-AU"/>
              </w:rPr>
            </w:pPr>
            <w:r w:rsidRPr="00960800">
              <w:rPr>
                <w:rFonts w:eastAsia="Times New Roman" w:cs="Calibri"/>
                <w:b/>
                <w:bCs/>
                <w:i/>
                <w:iCs/>
                <w:sz w:val="18"/>
                <w:szCs w:val="18"/>
                <w:lang w:eastAsia="en-AU"/>
              </w:rPr>
              <w:t>Total</w:t>
            </w:r>
          </w:p>
        </w:tc>
        <w:tc>
          <w:tcPr>
            <w:tcW w:w="1639"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rPr>
                <w:rFonts w:eastAsia="Times New Roman" w:cs="Calibri"/>
                <w:b/>
                <w:bCs/>
                <w:i/>
                <w:iCs/>
                <w:sz w:val="18"/>
                <w:szCs w:val="18"/>
                <w:lang w:eastAsia="en-AU"/>
              </w:rPr>
            </w:pPr>
            <w:r w:rsidRPr="00960800">
              <w:rPr>
                <w:rFonts w:eastAsia="Times New Roman" w:cs="Calibri"/>
                <w:b/>
                <w:bCs/>
                <w:i/>
                <w:iCs/>
                <w:sz w:val="18"/>
                <w:szCs w:val="18"/>
                <w:lang w:eastAsia="en-AU"/>
              </w:rPr>
              <w:t> </w:t>
            </w:r>
          </w:p>
        </w:tc>
        <w:tc>
          <w:tcPr>
            <w:tcW w:w="1369"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rPr>
                <w:rFonts w:eastAsia="Times New Roman" w:cs="Calibri"/>
                <w:b/>
                <w:bCs/>
                <w:i/>
                <w:iCs/>
                <w:sz w:val="18"/>
                <w:szCs w:val="18"/>
                <w:lang w:eastAsia="en-AU"/>
              </w:rPr>
            </w:pPr>
            <w:r w:rsidRPr="00960800">
              <w:rPr>
                <w:rFonts w:eastAsia="Times New Roman" w:cs="Calibri"/>
                <w:b/>
                <w:bCs/>
                <w:i/>
                <w:iCs/>
                <w:sz w:val="18"/>
                <w:szCs w:val="18"/>
                <w:lang w:eastAsia="en-AU"/>
              </w:rPr>
              <w:t> </w:t>
            </w:r>
          </w:p>
        </w:tc>
        <w:tc>
          <w:tcPr>
            <w:tcW w:w="1207"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rPr>
                <w:rFonts w:eastAsia="Times New Roman" w:cs="Calibri"/>
                <w:b/>
                <w:bCs/>
                <w:i/>
                <w:iCs/>
                <w:sz w:val="18"/>
                <w:szCs w:val="18"/>
                <w:lang w:eastAsia="en-AU"/>
              </w:rPr>
            </w:pPr>
            <w:r w:rsidRPr="00960800">
              <w:rPr>
                <w:rFonts w:eastAsia="Times New Roman" w:cs="Calibri"/>
                <w:b/>
                <w:bCs/>
                <w:i/>
                <w:iCs/>
                <w:sz w:val="18"/>
                <w:szCs w:val="18"/>
                <w:lang w:eastAsia="en-AU"/>
              </w:rPr>
              <w:t> </w:t>
            </w:r>
          </w:p>
        </w:tc>
        <w:tc>
          <w:tcPr>
            <w:tcW w:w="1091"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rPr>
                <w:rFonts w:eastAsia="Times New Roman" w:cs="Calibri"/>
                <w:b/>
                <w:bCs/>
                <w:i/>
                <w:iCs/>
                <w:sz w:val="18"/>
                <w:szCs w:val="18"/>
                <w:lang w:eastAsia="en-AU"/>
              </w:rPr>
            </w:pPr>
            <w:r w:rsidRPr="00960800">
              <w:rPr>
                <w:rFonts w:eastAsia="Times New Roman" w:cs="Calibri"/>
                <w:b/>
                <w:bCs/>
                <w:i/>
                <w:iCs/>
                <w:sz w:val="18"/>
                <w:szCs w:val="18"/>
                <w:lang w:eastAsia="en-AU"/>
              </w:rPr>
              <w:t> </w:t>
            </w:r>
          </w:p>
        </w:tc>
        <w:tc>
          <w:tcPr>
            <w:tcW w:w="1130"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jc w:val="right"/>
              <w:rPr>
                <w:rFonts w:eastAsia="Times New Roman" w:cs="Calibri"/>
                <w:b/>
                <w:bCs/>
                <w:i/>
                <w:iCs/>
                <w:sz w:val="18"/>
                <w:szCs w:val="18"/>
                <w:lang w:eastAsia="en-AU"/>
              </w:rPr>
            </w:pPr>
            <w:r w:rsidRPr="00960800">
              <w:rPr>
                <w:rFonts w:eastAsia="Times New Roman" w:cs="Calibri"/>
                <w:b/>
                <w:bCs/>
                <w:i/>
                <w:iCs/>
                <w:sz w:val="18"/>
                <w:szCs w:val="18"/>
                <w:lang w:eastAsia="en-AU"/>
              </w:rPr>
              <w:t>$12,132,302</w:t>
            </w:r>
          </w:p>
        </w:tc>
        <w:tc>
          <w:tcPr>
            <w:tcW w:w="1108" w:type="dxa"/>
            <w:tcBorders>
              <w:top w:val="single" w:sz="4" w:space="0" w:color="1F4E78"/>
              <w:left w:val="nil"/>
              <w:bottom w:val="single" w:sz="4" w:space="0" w:color="1F4E78"/>
              <w:right w:val="nil"/>
            </w:tcBorders>
            <w:shd w:val="clear" w:color="000000" w:fill="FFFFFF"/>
            <w:noWrap/>
            <w:vAlign w:val="bottom"/>
            <w:hideMark/>
          </w:tcPr>
          <w:p w:rsidR="00C25DFC" w:rsidRPr="00960800" w:rsidRDefault="00C25DFC" w:rsidP="00C25DFC">
            <w:pPr>
              <w:jc w:val="right"/>
              <w:rPr>
                <w:rFonts w:eastAsia="Times New Roman" w:cs="Calibri"/>
                <w:b/>
                <w:bCs/>
                <w:i/>
                <w:iCs/>
                <w:sz w:val="18"/>
                <w:szCs w:val="18"/>
                <w:lang w:eastAsia="en-AU"/>
              </w:rPr>
            </w:pPr>
            <w:r>
              <w:rPr>
                <w:rFonts w:cs="Calibri"/>
                <w:b/>
                <w:bCs/>
                <w:i/>
                <w:iCs/>
                <w:sz w:val="18"/>
                <w:szCs w:val="18"/>
              </w:rPr>
              <w:t>$5,932,929</w:t>
            </w:r>
          </w:p>
        </w:tc>
        <w:tc>
          <w:tcPr>
            <w:tcW w:w="1276" w:type="dxa"/>
            <w:tcBorders>
              <w:top w:val="single" w:sz="4" w:space="0" w:color="1F4E78"/>
              <w:left w:val="nil"/>
              <w:bottom w:val="single" w:sz="4" w:space="0" w:color="1F4E78"/>
              <w:right w:val="nil"/>
            </w:tcBorders>
            <w:shd w:val="clear" w:color="auto" w:fill="DBE5F1" w:themeFill="accent1" w:themeFillTint="33"/>
            <w:noWrap/>
            <w:vAlign w:val="bottom"/>
            <w:hideMark/>
          </w:tcPr>
          <w:p w:rsidR="00C25DFC" w:rsidRPr="00960800" w:rsidRDefault="00C25DFC" w:rsidP="00C25DFC">
            <w:pPr>
              <w:jc w:val="right"/>
              <w:rPr>
                <w:rFonts w:eastAsia="Times New Roman" w:cs="Calibri"/>
                <w:b/>
                <w:bCs/>
                <w:i/>
                <w:iCs/>
                <w:sz w:val="18"/>
                <w:szCs w:val="18"/>
                <w:lang w:eastAsia="en-AU"/>
              </w:rPr>
            </w:pPr>
            <w:r>
              <w:rPr>
                <w:rFonts w:cs="Calibri"/>
                <w:b/>
                <w:bCs/>
                <w:i/>
                <w:iCs/>
                <w:sz w:val="18"/>
                <w:szCs w:val="18"/>
              </w:rPr>
              <w:t>$62,178,524</w:t>
            </w:r>
          </w:p>
        </w:tc>
      </w:tr>
    </w:tbl>
    <w:p w:rsidR="00C14F28" w:rsidRDefault="00C14F28" w:rsidP="00AA425C"/>
    <w:p w:rsidR="00AA425C" w:rsidRDefault="00AA425C">
      <w:pPr>
        <w:rPr>
          <w:i/>
          <w:color w:val="53565A"/>
          <w:sz w:val="24"/>
          <w:szCs w:val="24"/>
        </w:rPr>
      </w:pPr>
      <w:bookmarkStart w:id="283" w:name="_Toc469529240"/>
      <w:r>
        <w:br w:type="page"/>
      </w:r>
    </w:p>
    <w:p w:rsidR="00175494" w:rsidRDefault="00EA26DD" w:rsidP="005E307C">
      <w:pPr>
        <w:pStyle w:val="Heading3"/>
      </w:pPr>
      <w:bookmarkStart w:id="284" w:name="_Toc477190264"/>
      <w:r>
        <w:lastRenderedPageBreak/>
        <w:t>A4.17</w:t>
      </w:r>
      <w:r w:rsidR="00175494">
        <w:t>.8 Distribution of total incremental costs of Option 4</w:t>
      </w:r>
      <w:bookmarkEnd w:id="283"/>
      <w:bookmarkEnd w:id="284"/>
    </w:p>
    <w:p w:rsidR="00175494" w:rsidRDefault="00175494" w:rsidP="00175494">
      <w:pPr>
        <w:jc w:val="both"/>
      </w:pPr>
      <w:r>
        <w:t>A total summary of the distribution of costs under Option 4 based on all estimates in Table A4.31 is provided for in Table A4.32.</w:t>
      </w:r>
      <w:r w:rsidR="007B521C">
        <w:t xml:space="preserve"> </w:t>
      </w:r>
      <w:r>
        <w:t xml:space="preserve">The largest share of 10-year present value cost is incurred by small trainers </w:t>
      </w:r>
      <w:r w:rsidR="00FA653D">
        <w:t>(31.15</w:t>
      </w:r>
      <w:r>
        <w:t xml:space="preserve">%) followed by small </w:t>
      </w:r>
      <w:r w:rsidR="00FA653D">
        <w:t>owners (29.65</w:t>
      </w:r>
      <w:r>
        <w:t xml:space="preserve">%) small breeders </w:t>
      </w:r>
      <w:r w:rsidR="00FA653D">
        <w:t>(22.03</w:t>
      </w:r>
      <w:r>
        <w:t>%).</w:t>
      </w:r>
      <w:r w:rsidR="007B521C">
        <w:t xml:space="preserve"> </w:t>
      </w:r>
      <w:r>
        <w:t>Small owners are also likely t</w:t>
      </w:r>
      <w:r w:rsidR="00C9454A">
        <w:t>o obtain the highest share of 56.</w:t>
      </w:r>
      <w:r w:rsidR="00CC24B0">
        <w:t>91</w:t>
      </w:r>
      <w:r>
        <w:t>% of all 10-year present value c</w:t>
      </w:r>
      <w:r w:rsidR="00C9454A">
        <w:t>ost savings, followed by GAP (4</w:t>
      </w:r>
      <w:r w:rsidR="00CC24B0">
        <w:t>1</w:t>
      </w:r>
      <w:r w:rsidR="00C9454A">
        <w:t>.</w:t>
      </w:r>
      <w:r w:rsidR="00CC24B0">
        <w:t>63</w:t>
      </w:r>
      <w:r>
        <w:t>%) under Option 4.</w:t>
      </w:r>
    </w:p>
    <w:p w:rsidR="00175494" w:rsidRDefault="00175494" w:rsidP="00175494">
      <w:pPr>
        <w:jc w:val="both"/>
      </w:pPr>
    </w:p>
    <w:p w:rsidR="00175494" w:rsidRDefault="00175494" w:rsidP="00175494">
      <w:pPr>
        <w:jc w:val="center"/>
        <w:rPr>
          <w:b/>
          <w:sz w:val="20"/>
        </w:rPr>
      </w:pPr>
      <w:r w:rsidRPr="000A087D">
        <w:rPr>
          <w:b/>
          <w:sz w:val="20"/>
        </w:rPr>
        <w:t>Table A</w:t>
      </w:r>
      <w:r>
        <w:rPr>
          <w:b/>
          <w:sz w:val="20"/>
        </w:rPr>
        <w:t>4.32</w:t>
      </w:r>
      <w:r w:rsidRPr="000A087D">
        <w:rPr>
          <w:b/>
          <w:sz w:val="20"/>
        </w:rPr>
        <w:t xml:space="preserve">: Distribution of 10-year additional cost of </w:t>
      </w:r>
      <w:r>
        <w:rPr>
          <w:b/>
          <w:sz w:val="20"/>
        </w:rPr>
        <w:t>Option 4</w:t>
      </w:r>
    </w:p>
    <w:p w:rsidR="00A05891" w:rsidRDefault="00A05891" w:rsidP="000A087D">
      <w:pPr>
        <w:rPr>
          <w:rFonts w:asciiTheme="majorHAnsi" w:eastAsiaTheme="majorEastAsia" w:hAnsiTheme="majorHAnsi" w:cstheme="majorBidi"/>
          <w:b/>
          <w:color w:val="365F91" w:themeColor="accent1" w:themeShade="BF"/>
          <w:sz w:val="26"/>
          <w:szCs w:val="26"/>
        </w:rPr>
      </w:pPr>
    </w:p>
    <w:tbl>
      <w:tblPr>
        <w:tblW w:w="8381" w:type="dxa"/>
        <w:tblLayout w:type="fixed"/>
        <w:tblLook w:val="04A0" w:firstRow="1" w:lastRow="0" w:firstColumn="1" w:lastColumn="0" w:noHBand="0" w:noVBand="1"/>
      </w:tblPr>
      <w:tblGrid>
        <w:gridCol w:w="1320"/>
        <w:gridCol w:w="1941"/>
        <w:gridCol w:w="2400"/>
        <w:gridCol w:w="1380"/>
        <w:gridCol w:w="1340"/>
      </w:tblGrid>
      <w:tr w:rsidR="00FA653D" w:rsidRPr="00FA653D" w:rsidTr="00503B24">
        <w:trPr>
          <w:trHeight w:val="525"/>
          <w:tblHeader/>
        </w:trPr>
        <w:tc>
          <w:tcPr>
            <w:tcW w:w="1320" w:type="dxa"/>
            <w:tcBorders>
              <w:top w:val="single" w:sz="4" w:space="0" w:color="1F4E78"/>
              <w:left w:val="nil"/>
              <w:bottom w:val="double" w:sz="6" w:space="0" w:color="1F4E78"/>
              <w:right w:val="nil"/>
            </w:tcBorders>
            <w:shd w:val="clear" w:color="000000" w:fill="FFFFFF"/>
            <w:vAlign w:val="bottom"/>
            <w:hideMark/>
          </w:tcPr>
          <w:p w:rsidR="00FA653D" w:rsidRPr="00FA653D" w:rsidRDefault="00FA653D" w:rsidP="00FA653D">
            <w:pPr>
              <w:rPr>
                <w:rFonts w:eastAsia="Times New Roman" w:cs="Calibri"/>
                <w:b/>
                <w:bCs/>
                <w:color w:val="1F4E78"/>
                <w:sz w:val="20"/>
                <w:szCs w:val="20"/>
                <w:lang w:eastAsia="en-AU"/>
              </w:rPr>
            </w:pPr>
            <w:r w:rsidRPr="00FA653D">
              <w:rPr>
                <w:rFonts w:eastAsia="Times New Roman" w:cs="Calibri"/>
                <w:b/>
                <w:bCs/>
                <w:color w:val="1F4E78"/>
                <w:sz w:val="20"/>
                <w:szCs w:val="20"/>
                <w:lang w:eastAsia="en-AU"/>
              </w:rPr>
              <w:t>Category of participant</w:t>
            </w:r>
          </w:p>
        </w:tc>
        <w:tc>
          <w:tcPr>
            <w:tcW w:w="1941" w:type="dxa"/>
            <w:tcBorders>
              <w:top w:val="single" w:sz="4" w:space="0" w:color="1F4E78"/>
              <w:left w:val="nil"/>
              <w:bottom w:val="double" w:sz="6" w:space="0" w:color="1F4E78"/>
              <w:right w:val="nil"/>
            </w:tcBorders>
            <w:shd w:val="clear" w:color="000000" w:fill="FFFFFF"/>
            <w:vAlign w:val="bottom"/>
            <w:hideMark/>
          </w:tcPr>
          <w:p w:rsidR="00FA653D" w:rsidRPr="00FA653D" w:rsidRDefault="00FA653D" w:rsidP="00FA653D">
            <w:pPr>
              <w:jc w:val="center"/>
              <w:rPr>
                <w:rFonts w:eastAsia="Times New Roman" w:cs="Calibri"/>
                <w:b/>
                <w:bCs/>
                <w:color w:val="1F4E78"/>
                <w:sz w:val="20"/>
                <w:szCs w:val="20"/>
                <w:lang w:eastAsia="en-AU"/>
              </w:rPr>
            </w:pPr>
            <w:r w:rsidRPr="00FA653D">
              <w:rPr>
                <w:rFonts w:eastAsia="Times New Roman" w:cs="Calibri"/>
                <w:b/>
                <w:bCs/>
                <w:color w:val="1F4E78"/>
                <w:sz w:val="20"/>
                <w:szCs w:val="20"/>
                <w:lang w:eastAsia="en-AU"/>
              </w:rPr>
              <w:t>One-off cost</w:t>
            </w:r>
          </w:p>
        </w:tc>
        <w:tc>
          <w:tcPr>
            <w:tcW w:w="2400" w:type="dxa"/>
            <w:tcBorders>
              <w:top w:val="single" w:sz="4" w:space="0" w:color="1F4E78"/>
              <w:left w:val="nil"/>
              <w:bottom w:val="double" w:sz="6" w:space="0" w:color="1F4E78"/>
              <w:right w:val="nil"/>
            </w:tcBorders>
            <w:shd w:val="clear" w:color="000000" w:fill="FFFFFF"/>
            <w:vAlign w:val="bottom"/>
            <w:hideMark/>
          </w:tcPr>
          <w:p w:rsidR="00FA653D" w:rsidRPr="00FA653D" w:rsidRDefault="00FA653D" w:rsidP="00FA653D">
            <w:pPr>
              <w:jc w:val="center"/>
              <w:rPr>
                <w:rFonts w:eastAsia="Times New Roman" w:cs="Calibri"/>
                <w:b/>
                <w:bCs/>
                <w:color w:val="1F4E78"/>
                <w:sz w:val="20"/>
                <w:szCs w:val="20"/>
                <w:lang w:eastAsia="en-AU"/>
              </w:rPr>
            </w:pPr>
            <w:r w:rsidRPr="00FA653D">
              <w:rPr>
                <w:rFonts w:eastAsia="Times New Roman" w:cs="Calibri"/>
                <w:b/>
                <w:bCs/>
                <w:color w:val="1F4E78"/>
                <w:sz w:val="20"/>
                <w:szCs w:val="20"/>
                <w:lang w:eastAsia="en-AU"/>
              </w:rPr>
              <w:t>Annual cost</w:t>
            </w:r>
          </w:p>
        </w:tc>
        <w:tc>
          <w:tcPr>
            <w:tcW w:w="1380" w:type="dxa"/>
            <w:tcBorders>
              <w:top w:val="single" w:sz="4" w:space="0" w:color="1F4E78"/>
              <w:left w:val="nil"/>
              <w:bottom w:val="double" w:sz="6" w:space="0" w:color="1F4E78"/>
              <w:right w:val="nil"/>
            </w:tcBorders>
            <w:shd w:val="clear" w:color="000000" w:fill="FFFFFF"/>
            <w:vAlign w:val="bottom"/>
            <w:hideMark/>
          </w:tcPr>
          <w:p w:rsidR="00FA653D" w:rsidRPr="00FA653D" w:rsidRDefault="00FA653D" w:rsidP="00FA653D">
            <w:pPr>
              <w:jc w:val="center"/>
              <w:rPr>
                <w:rFonts w:eastAsia="Times New Roman" w:cs="Calibri"/>
                <w:b/>
                <w:bCs/>
                <w:color w:val="1F4E78"/>
                <w:sz w:val="20"/>
                <w:szCs w:val="20"/>
                <w:lang w:eastAsia="en-AU"/>
              </w:rPr>
            </w:pPr>
            <w:r w:rsidRPr="00FA653D">
              <w:rPr>
                <w:rFonts w:eastAsia="Times New Roman" w:cs="Calibri"/>
                <w:b/>
                <w:bCs/>
                <w:color w:val="1F4E78"/>
                <w:sz w:val="20"/>
                <w:szCs w:val="20"/>
                <w:lang w:eastAsia="en-AU"/>
              </w:rPr>
              <w:t>10-year PV cost</w:t>
            </w:r>
          </w:p>
        </w:tc>
        <w:tc>
          <w:tcPr>
            <w:tcW w:w="1340" w:type="dxa"/>
            <w:tcBorders>
              <w:top w:val="single" w:sz="4" w:space="0" w:color="1F4E78"/>
              <w:left w:val="nil"/>
              <w:bottom w:val="double" w:sz="6" w:space="0" w:color="1F4E78"/>
              <w:right w:val="nil"/>
            </w:tcBorders>
            <w:shd w:val="clear" w:color="auto" w:fill="DBE5F1" w:themeFill="accent1" w:themeFillTint="33"/>
            <w:vAlign w:val="bottom"/>
            <w:hideMark/>
          </w:tcPr>
          <w:p w:rsidR="00FA653D" w:rsidRPr="00FA653D" w:rsidRDefault="00FA653D" w:rsidP="00FA653D">
            <w:pPr>
              <w:jc w:val="center"/>
              <w:rPr>
                <w:rFonts w:eastAsia="Times New Roman" w:cs="Calibri"/>
                <w:b/>
                <w:bCs/>
                <w:color w:val="1F4E78"/>
                <w:sz w:val="20"/>
                <w:szCs w:val="20"/>
                <w:lang w:eastAsia="en-AU"/>
              </w:rPr>
            </w:pPr>
            <w:r w:rsidRPr="00FA653D">
              <w:rPr>
                <w:rFonts w:eastAsia="Times New Roman" w:cs="Calibri"/>
                <w:b/>
                <w:bCs/>
                <w:color w:val="1F4E78"/>
                <w:sz w:val="20"/>
                <w:szCs w:val="20"/>
                <w:lang w:eastAsia="en-AU"/>
              </w:rPr>
              <w:t>% of 10-year PV cost</w:t>
            </w:r>
          </w:p>
        </w:tc>
      </w:tr>
      <w:tr w:rsidR="00FA653D" w:rsidRPr="00FA653D" w:rsidTr="00503B24">
        <w:trPr>
          <w:trHeight w:val="255"/>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Large breeder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$296,484</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$657,931</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$5,846,347</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6.78%</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Small breeder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$4,150,534</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$1,759,974</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$18,996,500</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22.03%</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Large trainer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$855,985</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$105,870</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$1,749,036</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2.03%</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Small trainer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$6,829,299</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$2,375,261</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$26,865,411</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31.15%</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Large owner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$77,714</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$655,547</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0.76%</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Small owner</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$3,030,888</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$25,566,542</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29.65%</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GAP</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$186,886</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$1,576,447</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1.83%</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GRV</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$416</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$3,505</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0.00%</w:t>
            </w:r>
          </w:p>
        </w:tc>
      </w:tr>
      <w:tr w:rsidR="00FA653D" w:rsidRPr="00FA653D" w:rsidTr="00503B24">
        <w:trPr>
          <w:trHeight w:val="240"/>
        </w:trPr>
        <w:tc>
          <w:tcPr>
            <w:tcW w:w="1320" w:type="dxa"/>
            <w:tcBorders>
              <w:top w:val="nil"/>
              <w:left w:val="nil"/>
              <w:bottom w:val="nil"/>
              <w:right w:val="nil"/>
            </w:tcBorders>
            <w:shd w:val="clear" w:color="000000" w:fill="FFFFFF"/>
            <w:noWrap/>
            <w:vAlign w:val="bottom"/>
            <w:hideMark/>
          </w:tcPr>
          <w:p w:rsidR="00FA653D" w:rsidRPr="00FA653D" w:rsidRDefault="00FA653D" w:rsidP="00FA653D">
            <w:pPr>
              <w:rPr>
                <w:rFonts w:eastAsia="Times New Roman" w:cs="Calibri"/>
                <w:sz w:val="18"/>
                <w:szCs w:val="18"/>
                <w:lang w:eastAsia="en-AU"/>
              </w:rPr>
            </w:pPr>
            <w:r w:rsidRPr="00FA653D">
              <w:rPr>
                <w:rFonts w:eastAsia="Times New Roman" w:cs="Calibri"/>
                <w:sz w:val="18"/>
                <w:szCs w:val="18"/>
                <w:lang w:eastAsia="en-AU"/>
              </w:rPr>
              <w:t>Councils</w:t>
            </w:r>
          </w:p>
        </w:tc>
        <w:tc>
          <w:tcPr>
            <w:tcW w:w="1941"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$0</w:t>
            </w:r>
          </w:p>
        </w:tc>
        <w:tc>
          <w:tcPr>
            <w:tcW w:w="240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$589,598</w:t>
            </w:r>
          </w:p>
        </w:tc>
        <w:tc>
          <w:tcPr>
            <w:tcW w:w="1380" w:type="dxa"/>
            <w:tcBorders>
              <w:top w:val="nil"/>
              <w:left w:val="nil"/>
              <w:bottom w:val="nil"/>
              <w:right w:val="nil"/>
            </w:tcBorders>
            <w:shd w:val="clear" w:color="000000" w:fill="FFFFFF"/>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$4,973,459</w:t>
            </w:r>
          </w:p>
        </w:tc>
        <w:tc>
          <w:tcPr>
            <w:tcW w:w="1340" w:type="dxa"/>
            <w:tcBorders>
              <w:top w:val="nil"/>
              <w:left w:val="nil"/>
              <w:bottom w:val="nil"/>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sz w:val="18"/>
                <w:szCs w:val="18"/>
                <w:lang w:eastAsia="en-AU"/>
              </w:rPr>
            </w:pPr>
            <w:r w:rsidRPr="00FA653D">
              <w:rPr>
                <w:rFonts w:eastAsia="Times New Roman" w:cs="Calibri"/>
                <w:sz w:val="18"/>
                <w:szCs w:val="18"/>
                <w:lang w:eastAsia="en-AU"/>
              </w:rPr>
              <w:t>5.77%</w:t>
            </w:r>
          </w:p>
        </w:tc>
      </w:tr>
      <w:tr w:rsidR="00FA653D" w:rsidRPr="00FA653D" w:rsidTr="00503B24">
        <w:trPr>
          <w:trHeight w:val="240"/>
        </w:trPr>
        <w:tc>
          <w:tcPr>
            <w:tcW w:w="1320" w:type="dxa"/>
            <w:tcBorders>
              <w:top w:val="single" w:sz="4" w:space="0" w:color="1F4E78"/>
              <w:left w:val="nil"/>
              <w:bottom w:val="single" w:sz="4" w:space="0" w:color="1F4E78"/>
              <w:right w:val="nil"/>
            </w:tcBorders>
            <w:shd w:val="clear" w:color="000000" w:fill="FFFFFF"/>
            <w:noWrap/>
            <w:vAlign w:val="bottom"/>
            <w:hideMark/>
          </w:tcPr>
          <w:p w:rsidR="00FA653D" w:rsidRPr="00FA653D" w:rsidRDefault="00FA653D" w:rsidP="00FA653D">
            <w:pPr>
              <w:rPr>
                <w:rFonts w:eastAsia="Times New Roman" w:cs="Calibri"/>
                <w:b/>
                <w:bCs/>
                <w:color w:val="1F4E78"/>
                <w:sz w:val="18"/>
                <w:szCs w:val="18"/>
                <w:lang w:eastAsia="en-AU"/>
              </w:rPr>
            </w:pPr>
            <w:r w:rsidRPr="00FA653D">
              <w:rPr>
                <w:rFonts w:eastAsia="Times New Roman" w:cs="Calibri"/>
                <w:b/>
                <w:bCs/>
                <w:color w:val="1F4E78"/>
                <w:sz w:val="18"/>
                <w:szCs w:val="18"/>
                <w:lang w:eastAsia="en-AU"/>
              </w:rPr>
              <w:t>Total costs</w:t>
            </w:r>
          </w:p>
        </w:tc>
        <w:tc>
          <w:tcPr>
            <w:tcW w:w="1941" w:type="dxa"/>
            <w:tcBorders>
              <w:top w:val="single" w:sz="4" w:space="0" w:color="1F4E78"/>
              <w:left w:val="nil"/>
              <w:bottom w:val="single" w:sz="4" w:space="0" w:color="1F4E78"/>
              <w:right w:val="nil"/>
            </w:tcBorders>
            <w:shd w:val="clear" w:color="000000" w:fill="FFFFFF"/>
            <w:noWrap/>
            <w:vAlign w:val="bottom"/>
            <w:hideMark/>
          </w:tcPr>
          <w:p w:rsidR="00FA653D" w:rsidRPr="00FA653D" w:rsidRDefault="00FA653D" w:rsidP="00FA653D">
            <w:pPr>
              <w:jc w:val="right"/>
              <w:rPr>
                <w:rFonts w:eastAsia="Times New Roman" w:cs="Calibri"/>
                <w:b/>
                <w:bCs/>
                <w:color w:val="1F4E78"/>
                <w:sz w:val="18"/>
                <w:szCs w:val="18"/>
                <w:lang w:eastAsia="en-AU"/>
              </w:rPr>
            </w:pPr>
            <w:r w:rsidRPr="00FA653D">
              <w:rPr>
                <w:rFonts w:eastAsia="Times New Roman" w:cs="Calibri"/>
                <w:b/>
                <w:bCs/>
                <w:color w:val="1F4E78"/>
                <w:sz w:val="18"/>
                <w:szCs w:val="18"/>
                <w:lang w:eastAsia="en-AU"/>
              </w:rPr>
              <w:t>$12,132,302</w:t>
            </w:r>
          </w:p>
        </w:tc>
        <w:tc>
          <w:tcPr>
            <w:tcW w:w="2400" w:type="dxa"/>
            <w:tcBorders>
              <w:top w:val="single" w:sz="4" w:space="0" w:color="1F4E78"/>
              <w:left w:val="nil"/>
              <w:bottom w:val="single" w:sz="4" w:space="0" w:color="1F4E78"/>
              <w:right w:val="nil"/>
            </w:tcBorders>
            <w:shd w:val="clear" w:color="000000" w:fill="FFFFFF"/>
            <w:noWrap/>
            <w:vAlign w:val="bottom"/>
            <w:hideMark/>
          </w:tcPr>
          <w:p w:rsidR="00FA653D" w:rsidRPr="00FA653D" w:rsidRDefault="00FA653D" w:rsidP="00FA653D">
            <w:pPr>
              <w:jc w:val="right"/>
              <w:rPr>
                <w:rFonts w:eastAsia="Times New Roman" w:cs="Calibri"/>
                <w:b/>
                <w:bCs/>
                <w:color w:val="1F4E78"/>
                <w:sz w:val="18"/>
                <w:szCs w:val="18"/>
                <w:lang w:eastAsia="en-AU"/>
              </w:rPr>
            </w:pPr>
            <w:r w:rsidRPr="00FA653D">
              <w:rPr>
                <w:rFonts w:eastAsia="Times New Roman" w:cs="Calibri"/>
                <w:b/>
                <w:bCs/>
                <w:color w:val="1F4E78"/>
                <w:sz w:val="18"/>
                <w:szCs w:val="18"/>
                <w:lang w:eastAsia="en-AU"/>
              </w:rPr>
              <w:t>$8,784,538</w:t>
            </w:r>
          </w:p>
        </w:tc>
        <w:tc>
          <w:tcPr>
            <w:tcW w:w="1380" w:type="dxa"/>
            <w:tcBorders>
              <w:top w:val="single" w:sz="4" w:space="0" w:color="1F4E78"/>
              <w:left w:val="nil"/>
              <w:bottom w:val="single" w:sz="4" w:space="0" w:color="1F4E78"/>
              <w:right w:val="nil"/>
            </w:tcBorders>
            <w:shd w:val="clear" w:color="000000" w:fill="FFFFFF"/>
            <w:noWrap/>
            <w:vAlign w:val="bottom"/>
            <w:hideMark/>
          </w:tcPr>
          <w:p w:rsidR="00FA653D" w:rsidRPr="00FA653D" w:rsidRDefault="00FA653D" w:rsidP="00FA653D">
            <w:pPr>
              <w:jc w:val="right"/>
              <w:rPr>
                <w:rFonts w:eastAsia="Times New Roman" w:cs="Calibri"/>
                <w:b/>
                <w:bCs/>
                <w:color w:val="1F4E78"/>
                <w:sz w:val="18"/>
                <w:szCs w:val="18"/>
                <w:lang w:eastAsia="en-AU"/>
              </w:rPr>
            </w:pPr>
            <w:r w:rsidRPr="00FA653D">
              <w:rPr>
                <w:rFonts w:eastAsia="Times New Roman" w:cs="Calibri"/>
                <w:b/>
                <w:bCs/>
                <w:color w:val="1F4E78"/>
                <w:sz w:val="18"/>
                <w:szCs w:val="18"/>
                <w:lang w:eastAsia="en-AU"/>
              </w:rPr>
              <w:t>$86,232,795</w:t>
            </w:r>
          </w:p>
        </w:tc>
        <w:tc>
          <w:tcPr>
            <w:tcW w:w="1340" w:type="dxa"/>
            <w:tcBorders>
              <w:top w:val="single" w:sz="4" w:space="0" w:color="1F4E78"/>
              <w:left w:val="nil"/>
              <w:bottom w:val="single" w:sz="4" w:space="0" w:color="1F4E78"/>
              <w:right w:val="nil"/>
            </w:tcBorders>
            <w:shd w:val="clear" w:color="auto" w:fill="DBE5F1" w:themeFill="accent1" w:themeFillTint="33"/>
            <w:noWrap/>
            <w:vAlign w:val="bottom"/>
            <w:hideMark/>
          </w:tcPr>
          <w:p w:rsidR="00FA653D" w:rsidRPr="00FA653D" w:rsidRDefault="00FA653D" w:rsidP="00FA653D">
            <w:pPr>
              <w:jc w:val="right"/>
              <w:rPr>
                <w:rFonts w:eastAsia="Times New Roman" w:cs="Calibri"/>
                <w:b/>
                <w:bCs/>
                <w:color w:val="1F4E78"/>
                <w:sz w:val="18"/>
                <w:szCs w:val="18"/>
                <w:lang w:eastAsia="en-AU"/>
              </w:rPr>
            </w:pPr>
            <w:r w:rsidRPr="00FA653D">
              <w:rPr>
                <w:rFonts w:eastAsia="Times New Roman" w:cs="Calibri"/>
                <w:b/>
                <w:bCs/>
                <w:color w:val="1F4E78"/>
                <w:sz w:val="18"/>
                <w:szCs w:val="18"/>
                <w:lang w:eastAsia="en-AU"/>
              </w:rPr>
              <w:t>100.00%</w:t>
            </w:r>
          </w:p>
        </w:tc>
      </w:tr>
      <w:tr w:rsidR="001B3744" w:rsidRPr="00FA653D" w:rsidTr="00503B24">
        <w:trPr>
          <w:trHeight w:val="240"/>
        </w:trPr>
        <w:tc>
          <w:tcPr>
            <w:tcW w:w="1320" w:type="dxa"/>
            <w:tcBorders>
              <w:top w:val="nil"/>
              <w:left w:val="nil"/>
              <w:bottom w:val="nil"/>
              <w:right w:val="nil"/>
            </w:tcBorders>
            <w:shd w:val="clear" w:color="000000" w:fill="FFFFFF"/>
            <w:noWrap/>
            <w:vAlign w:val="bottom"/>
            <w:hideMark/>
          </w:tcPr>
          <w:p w:rsidR="001B3744" w:rsidRPr="00FA653D" w:rsidRDefault="001B3744" w:rsidP="001B3744">
            <w:pPr>
              <w:rPr>
                <w:rFonts w:eastAsia="Times New Roman" w:cs="Calibri"/>
                <w:sz w:val="18"/>
                <w:szCs w:val="18"/>
                <w:lang w:eastAsia="en-AU"/>
              </w:rPr>
            </w:pPr>
            <w:r w:rsidRPr="00FA653D">
              <w:rPr>
                <w:rFonts w:eastAsia="Times New Roman" w:cs="Calibri"/>
                <w:sz w:val="18"/>
                <w:szCs w:val="18"/>
                <w:lang w:eastAsia="en-AU"/>
              </w:rPr>
              <w:t>Large owner</w:t>
            </w:r>
          </w:p>
        </w:tc>
        <w:tc>
          <w:tcPr>
            <w:tcW w:w="1941"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2400"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Pr>
                <w:rFonts w:cs="Calibri"/>
                <w:color w:val="FF0000"/>
                <w:sz w:val="18"/>
                <w:szCs w:val="18"/>
              </w:rPr>
              <w:t>-$41,617</w:t>
            </w:r>
          </w:p>
        </w:tc>
        <w:tc>
          <w:tcPr>
            <w:tcW w:w="1380"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Pr>
                <w:rFonts w:cs="Calibri"/>
                <w:color w:val="FF0000"/>
                <w:sz w:val="18"/>
                <w:szCs w:val="18"/>
              </w:rPr>
              <w:t>-$351,056</w:t>
            </w:r>
          </w:p>
        </w:tc>
        <w:tc>
          <w:tcPr>
            <w:tcW w:w="1340" w:type="dxa"/>
            <w:tcBorders>
              <w:top w:val="nil"/>
              <w:left w:val="nil"/>
              <w:bottom w:val="nil"/>
              <w:right w:val="nil"/>
            </w:tcBorders>
            <w:shd w:val="clear" w:color="auto" w:fill="DBE5F1" w:themeFill="accent1" w:themeFillTint="33"/>
            <w:noWrap/>
            <w:vAlign w:val="bottom"/>
            <w:hideMark/>
          </w:tcPr>
          <w:p w:rsidR="001B3744" w:rsidRPr="00FA653D" w:rsidRDefault="001B3744" w:rsidP="001B3744">
            <w:pPr>
              <w:jc w:val="right"/>
              <w:rPr>
                <w:rFonts w:eastAsia="Times New Roman" w:cs="Calibri"/>
                <w:sz w:val="18"/>
                <w:szCs w:val="18"/>
                <w:lang w:eastAsia="en-AU"/>
              </w:rPr>
            </w:pPr>
            <w:r>
              <w:rPr>
                <w:rFonts w:cs="Calibri"/>
                <w:sz w:val="18"/>
                <w:szCs w:val="18"/>
              </w:rPr>
              <w:t>1.4</w:t>
            </w:r>
            <w:r w:rsidR="00CC24B0">
              <w:rPr>
                <w:rFonts w:cs="Calibri"/>
                <w:sz w:val="18"/>
                <w:szCs w:val="18"/>
              </w:rPr>
              <w:t>6</w:t>
            </w:r>
            <w:r>
              <w:rPr>
                <w:rFonts w:cs="Calibri"/>
                <w:sz w:val="18"/>
                <w:szCs w:val="18"/>
              </w:rPr>
              <w:t>%</w:t>
            </w:r>
          </w:p>
        </w:tc>
      </w:tr>
      <w:tr w:rsidR="001B3744" w:rsidRPr="00FA653D" w:rsidTr="00503B24">
        <w:trPr>
          <w:trHeight w:val="240"/>
        </w:trPr>
        <w:tc>
          <w:tcPr>
            <w:tcW w:w="1320" w:type="dxa"/>
            <w:tcBorders>
              <w:top w:val="nil"/>
              <w:left w:val="nil"/>
              <w:bottom w:val="nil"/>
              <w:right w:val="nil"/>
            </w:tcBorders>
            <w:shd w:val="clear" w:color="000000" w:fill="FFFFFF"/>
            <w:noWrap/>
            <w:vAlign w:val="bottom"/>
            <w:hideMark/>
          </w:tcPr>
          <w:p w:rsidR="001B3744" w:rsidRPr="00FA653D" w:rsidRDefault="001B3744" w:rsidP="001B3744">
            <w:pPr>
              <w:rPr>
                <w:rFonts w:eastAsia="Times New Roman" w:cs="Calibri"/>
                <w:sz w:val="18"/>
                <w:szCs w:val="18"/>
                <w:lang w:eastAsia="en-AU"/>
              </w:rPr>
            </w:pPr>
            <w:r w:rsidRPr="00FA653D">
              <w:rPr>
                <w:rFonts w:eastAsia="Times New Roman" w:cs="Calibri"/>
                <w:sz w:val="18"/>
                <w:szCs w:val="18"/>
                <w:lang w:eastAsia="en-AU"/>
              </w:rPr>
              <w:t>Small owner</w:t>
            </w:r>
          </w:p>
        </w:tc>
        <w:tc>
          <w:tcPr>
            <w:tcW w:w="1941"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2400"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Pr>
                <w:rFonts w:cs="Calibri"/>
                <w:color w:val="FF0000"/>
                <w:sz w:val="18"/>
                <w:szCs w:val="18"/>
              </w:rPr>
              <w:t>-$1,622,918</w:t>
            </w:r>
          </w:p>
        </w:tc>
        <w:tc>
          <w:tcPr>
            <w:tcW w:w="1380" w:type="dxa"/>
            <w:tcBorders>
              <w:top w:val="nil"/>
              <w:left w:val="nil"/>
              <w:bottom w:val="nil"/>
              <w:right w:val="nil"/>
            </w:tcBorders>
            <w:shd w:val="clear" w:color="000000" w:fill="FFFFFF"/>
            <w:noWrap/>
            <w:vAlign w:val="bottom"/>
            <w:hideMark/>
          </w:tcPr>
          <w:p w:rsidR="001B3744" w:rsidRPr="00FA653D" w:rsidRDefault="001B3744" w:rsidP="001B3744">
            <w:pPr>
              <w:jc w:val="right"/>
              <w:rPr>
                <w:rFonts w:eastAsia="Times New Roman" w:cs="Calibri"/>
                <w:color w:val="FF0000"/>
                <w:sz w:val="18"/>
                <w:szCs w:val="18"/>
                <w:lang w:eastAsia="en-AU"/>
              </w:rPr>
            </w:pPr>
            <w:r>
              <w:rPr>
                <w:rFonts w:cs="Calibri"/>
                <w:color w:val="FF0000"/>
                <w:sz w:val="18"/>
                <w:szCs w:val="18"/>
              </w:rPr>
              <w:t>-$13,689,847</w:t>
            </w:r>
          </w:p>
        </w:tc>
        <w:tc>
          <w:tcPr>
            <w:tcW w:w="1340" w:type="dxa"/>
            <w:tcBorders>
              <w:top w:val="nil"/>
              <w:left w:val="nil"/>
              <w:bottom w:val="nil"/>
              <w:right w:val="nil"/>
            </w:tcBorders>
            <w:shd w:val="clear" w:color="auto" w:fill="DBE5F1" w:themeFill="accent1" w:themeFillTint="33"/>
            <w:noWrap/>
            <w:vAlign w:val="bottom"/>
            <w:hideMark/>
          </w:tcPr>
          <w:p w:rsidR="001B3744" w:rsidRPr="00FA653D" w:rsidRDefault="001B3744" w:rsidP="001B3744">
            <w:pPr>
              <w:jc w:val="right"/>
              <w:rPr>
                <w:rFonts w:eastAsia="Times New Roman" w:cs="Calibri"/>
                <w:sz w:val="18"/>
                <w:szCs w:val="18"/>
                <w:lang w:eastAsia="en-AU"/>
              </w:rPr>
            </w:pPr>
            <w:r>
              <w:rPr>
                <w:rFonts w:cs="Calibri"/>
                <w:sz w:val="18"/>
                <w:szCs w:val="18"/>
              </w:rPr>
              <w:t>56.</w:t>
            </w:r>
            <w:r w:rsidR="00CC24B0">
              <w:rPr>
                <w:rFonts w:cs="Calibri"/>
                <w:sz w:val="18"/>
                <w:szCs w:val="18"/>
              </w:rPr>
              <w:t>91</w:t>
            </w:r>
            <w:r>
              <w:rPr>
                <w:rFonts w:cs="Calibri"/>
                <w:sz w:val="18"/>
                <w:szCs w:val="18"/>
              </w:rPr>
              <w:t>%</w:t>
            </w:r>
          </w:p>
        </w:tc>
      </w:tr>
      <w:tr w:rsidR="00CC24B0" w:rsidRPr="00FA653D" w:rsidTr="00503B24">
        <w:trPr>
          <w:trHeight w:val="240"/>
        </w:trPr>
        <w:tc>
          <w:tcPr>
            <w:tcW w:w="1320" w:type="dxa"/>
            <w:tcBorders>
              <w:top w:val="nil"/>
              <w:left w:val="nil"/>
              <w:bottom w:val="nil"/>
              <w:right w:val="nil"/>
            </w:tcBorders>
            <w:shd w:val="clear" w:color="000000" w:fill="FFFFFF"/>
            <w:noWrap/>
            <w:vAlign w:val="bottom"/>
            <w:hideMark/>
          </w:tcPr>
          <w:p w:rsidR="00CC24B0" w:rsidRPr="00FA653D" w:rsidRDefault="00CC24B0" w:rsidP="00CC24B0">
            <w:pPr>
              <w:rPr>
                <w:rFonts w:eastAsia="Times New Roman" w:cs="Calibri"/>
                <w:sz w:val="18"/>
                <w:szCs w:val="18"/>
                <w:lang w:eastAsia="en-AU"/>
              </w:rPr>
            </w:pPr>
            <w:r w:rsidRPr="00FA653D">
              <w:rPr>
                <w:rFonts w:eastAsia="Times New Roman" w:cs="Calibri"/>
                <w:sz w:val="18"/>
                <w:szCs w:val="18"/>
                <w:lang w:eastAsia="en-AU"/>
              </w:rPr>
              <w:t>GAP</w:t>
            </w:r>
          </w:p>
        </w:tc>
        <w:tc>
          <w:tcPr>
            <w:tcW w:w="1941" w:type="dxa"/>
            <w:tcBorders>
              <w:top w:val="nil"/>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color w:val="FF0000"/>
                <w:sz w:val="18"/>
                <w:szCs w:val="18"/>
                <w:lang w:eastAsia="en-AU"/>
              </w:rPr>
            </w:pPr>
            <w:r w:rsidRPr="00FA653D">
              <w:rPr>
                <w:rFonts w:eastAsia="Times New Roman" w:cs="Calibri"/>
                <w:color w:val="FF0000"/>
                <w:sz w:val="18"/>
                <w:szCs w:val="18"/>
                <w:lang w:eastAsia="en-AU"/>
              </w:rPr>
              <w:t>$0</w:t>
            </w:r>
          </w:p>
        </w:tc>
        <w:tc>
          <w:tcPr>
            <w:tcW w:w="2400" w:type="dxa"/>
            <w:tcBorders>
              <w:top w:val="nil"/>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color w:val="FF0000"/>
                <w:sz w:val="18"/>
                <w:szCs w:val="18"/>
                <w:lang w:eastAsia="en-AU"/>
              </w:rPr>
            </w:pPr>
            <w:r>
              <w:rPr>
                <w:rFonts w:cs="Calibri"/>
                <w:color w:val="FF0000"/>
                <w:sz w:val="18"/>
                <w:szCs w:val="18"/>
              </w:rPr>
              <w:t>-$1,187,075</w:t>
            </w:r>
          </w:p>
        </w:tc>
        <w:tc>
          <w:tcPr>
            <w:tcW w:w="1380" w:type="dxa"/>
            <w:tcBorders>
              <w:top w:val="nil"/>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color w:val="FF0000"/>
                <w:sz w:val="18"/>
                <w:szCs w:val="18"/>
                <w:lang w:eastAsia="en-AU"/>
              </w:rPr>
            </w:pPr>
            <w:r>
              <w:rPr>
                <w:rFonts w:cs="Calibri"/>
                <w:color w:val="FF0000"/>
                <w:sz w:val="18"/>
                <w:szCs w:val="18"/>
              </w:rPr>
              <w:t>-$10,013,368</w:t>
            </w:r>
          </w:p>
        </w:tc>
        <w:tc>
          <w:tcPr>
            <w:tcW w:w="1340" w:type="dxa"/>
            <w:tcBorders>
              <w:top w:val="nil"/>
              <w:left w:val="nil"/>
              <w:bottom w:val="nil"/>
              <w:right w:val="nil"/>
            </w:tcBorders>
            <w:shd w:val="clear" w:color="auto" w:fill="DBE5F1" w:themeFill="accent1" w:themeFillTint="33"/>
            <w:noWrap/>
            <w:vAlign w:val="bottom"/>
            <w:hideMark/>
          </w:tcPr>
          <w:p w:rsidR="00CC24B0" w:rsidRPr="00FA653D" w:rsidRDefault="00CC24B0" w:rsidP="00CC24B0">
            <w:pPr>
              <w:jc w:val="right"/>
              <w:rPr>
                <w:rFonts w:eastAsia="Times New Roman" w:cs="Calibri"/>
                <w:sz w:val="18"/>
                <w:szCs w:val="18"/>
                <w:lang w:eastAsia="en-AU"/>
              </w:rPr>
            </w:pPr>
            <w:r>
              <w:rPr>
                <w:rFonts w:cs="Calibri"/>
                <w:sz w:val="18"/>
                <w:szCs w:val="18"/>
              </w:rPr>
              <w:t>41.63%</w:t>
            </w:r>
          </w:p>
        </w:tc>
      </w:tr>
      <w:tr w:rsidR="00CC24B0" w:rsidRPr="00FA653D" w:rsidTr="00503B24">
        <w:trPr>
          <w:trHeight w:val="240"/>
        </w:trPr>
        <w:tc>
          <w:tcPr>
            <w:tcW w:w="1320" w:type="dxa"/>
            <w:tcBorders>
              <w:top w:val="single" w:sz="4" w:space="0" w:color="1F4E78"/>
              <w:left w:val="nil"/>
              <w:bottom w:val="nil"/>
              <w:right w:val="nil"/>
            </w:tcBorders>
            <w:shd w:val="clear" w:color="000000" w:fill="FFFFFF"/>
            <w:noWrap/>
            <w:vAlign w:val="bottom"/>
            <w:hideMark/>
          </w:tcPr>
          <w:p w:rsidR="00CC24B0" w:rsidRPr="00FA653D" w:rsidRDefault="00CC24B0" w:rsidP="00CC24B0">
            <w:pPr>
              <w:rPr>
                <w:rFonts w:eastAsia="Times New Roman" w:cs="Calibri"/>
                <w:b/>
                <w:bCs/>
                <w:color w:val="1F4E78"/>
                <w:sz w:val="18"/>
                <w:szCs w:val="18"/>
                <w:lang w:eastAsia="en-AU"/>
              </w:rPr>
            </w:pPr>
            <w:r w:rsidRPr="00FA653D">
              <w:rPr>
                <w:rFonts w:eastAsia="Times New Roman" w:cs="Calibri"/>
                <w:b/>
                <w:bCs/>
                <w:color w:val="1F4E78"/>
                <w:sz w:val="18"/>
                <w:szCs w:val="18"/>
                <w:lang w:eastAsia="en-AU"/>
              </w:rPr>
              <w:t>Total cost savings</w:t>
            </w:r>
          </w:p>
        </w:tc>
        <w:tc>
          <w:tcPr>
            <w:tcW w:w="1941" w:type="dxa"/>
            <w:tcBorders>
              <w:top w:val="single" w:sz="4" w:space="0" w:color="1F4E78"/>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b/>
                <w:bCs/>
                <w:color w:val="FF0000"/>
                <w:sz w:val="18"/>
                <w:szCs w:val="18"/>
                <w:lang w:eastAsia="en-AU"/>
              </w:rPr>
            </w:pPr>
            <w:r w:rsidRPr="00FA653D">
              <w:rPr>
                <w:rFonts w:eastAsia="Times New Roman" w:cs="Calibri"/>
                <w:b/>
                <w:bCs/>
                <w:color w:val="FF0000"/>
                <w:sz w:val="18"/>
                <w:szCs w:val="18"/>
                <w:lang w:eastAsia="en-AU"/>
              </w:rPr>
              <w:t>$0</w:t>
            </w:r>
          </w:p>
        </w:tc>
        <w:tc>
          <w:tcPr>
            <w:tcW w:w="2400" w:type="dxa"/>
            <w:tcBorders>
              <w:top w:val="single" w:sz="4" w:space="0" w:color="1F4E78"/>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b/>
                <w:bCs/>
                <w:color w:val="FF0000"/>
                <w:sz w:val="18"/>
                <w:szCs w:val="18"/>
                <w:lang w:eastAsia="en-AU"/>
              </w:rPr>
            </w:pPr>
            <w:r>
              <w:rPr>
                <w:rFonts w:cs="Calibri"/>
                <w:b/>
                <w:bCs/>
                <w:color w:val="FF0000"/>
                <w:sz w:val="18"/>
                <w:szCs w:val="18"/>
              </w:rPr>
              <w:t>-$2,851,609</w:t>
            </w:r>
          </w:p>
        </w:tc>
        <w:tc>
          <w:tcPr>
            <w:tcW w:w="1380" w:type="dxa"/>
            <w:tcBorders>
              <w:top w:val="single" w:sz="4" w:space="0" w:color="1F4E78"/>
              <w:left w:val="nil"/>
              <w:bottom w:val="nil"/>
              <w:right w:val="nil"/>
            </w:tcBorders>
            <w:shd w:val="clear" w:color="000000" w:fill="FFFFFF"/>
            <w:noWrap/>
            <w:vAlign w:val="bottom"/>
            <w:hideMark/>
          </w:tcPr>
          <w:p w:rsidR="00CC24B0" w:rsidRPr="00FA653D" w:rsidRDefault="00CC24B0" w:rsidP="00CC24B0">
            <w:pPr>
              <w:jc w:val="right"/>
              <w:rPr>
                <w:rFonts w:eastAsia="Times New Roman" w:cs="Calibri"/>
                <w:b/>
                <w:bCs/>
                <w:color w:val="FF0000"/>
                <w:sz w:val="18"/>
                <w:szCs w:val="18"/>
                <w:lang w:eastAsia="en-AU"/>
              </w:rPr>
            </w:pPr>
            <w:r>
              <w:rPr>
                <w:rFonts w:cs="Calibri"/>
                <w:b/>
                <w:bCs/>
                <w:color w:val="FF0000"/>
                <w:sz w:val="18"/>
                <w:szCs w:val="18"/>
              </w:rPr>
              <w:t>-$24,054,271</w:t>
            </w:r>
          </w:p>
        </w:tc>
        <w:tc>
          <w:tcPr>
            <w:tcW w:w="1340" w:type="dxa"/>
            <w:tcBorders>
              <w:top w:val="single" w:sz="4" w:space="0" w:color="1F4E78"/>
              <w:left w:val="nil"/>
              <w:bottom w:val="nil"/>
              <w:right w:val="nil"/>
            </w:tcBorders>
            <w:shd w:val="clear" w:color="auto" w:fill="DBE5F1" w:themeFill="accent1" w:themeFillTint="33"/>
            <w:noWrap/>
            <w:vAlign w:val="bottom"/>
            <w:hideMark/>
          </w:tcPr>
          <w:p w:rsidR="00CC24B0" w:rsidRPr="00FA653D" w:rsidRDefault="00CC24B0" w:rsidP="00CC24B0">
            <w:pPr>
              <w:jc w:val="right"/>
              <w:rPr>
                <w:rFonts w:eastAsia="Times New Roman" w:cs="Calibri"/>
                <w:b/>
                <w:bCs/>
                <w:color w:val="1F4E78"/>
                <w:sz w:val="18"/>
                <w:szCs w:val="18"/>
                <w:lang w:eastAsia="en-AU"/>
              </w:rPr>
            </w:pPr>
            <w:r>
              <w:rPr>
                <w:rFonts w:cs="Calibri"/>
                <w:b/>
                <w:bCs/>
                <w:color w:val="1F4E78"/>
                <w:sz w:val="18"/>
                <w:szCs w:val="18"/>
              </w:rPr>
              <w:t>100.00%</w:t>
            </w:r>
          </w:p>
        </w:tc>
      </w:tr>
      <w:tr w:rsidR="00CC24B0" w:rsidRPr="00FA653D" w:rsidTr="00503B24">
        <w:trPr>
          <w:trHeight w:val="240"/>
        </w:trPr>
        <w:tc>
          <w:tcPr>
            <w:tcW w:w="1320" w:type="dxa"/>
            <w:tcBorders>
              <w:top w:val="single" w:sz="4" w:space="0" w:color="auto"/>
              <w:left w:val="nil"/>
              <w:bottom w:val="single" w:sz="4" w:space="0" w:color="auto"/>
              <w:right w:val="nil"/>
            </w:tcBorders>
            <w:shd w:val="clear" w:color="000000" w:fill="FFFFFF"/>
            <w:noWrap/>
            <w:vAlign w:val="bottom"/>
            <w:hideMark/>
          </w:tcPr>
          <w:p w:rsidR="00CC24B0" w:rsidRPr="00FA653D" w:rsidRDefault="00CC24B0" w:rsidP="00CC24B0">
            <w:pPr>
              <w:rPr>
                <w:rFonts w:eastAsia="Times New Roman" w:cs="Calibri"/>
                <w:b/>
                <w:bCs/>
                <w:i/>
                <w:iCs/>
                <w:sz w:val="18"/>
                <w:szCs w:val="18"/>
                <w:lang w:eastAsia="en-AU"/>
              </w:rPr>
            </w:pPr>
            <w:r w:rsidRPr="00FA653D">
              <w:rPr>
                <w:rFonts w:eastAsia="Times New Roman" w:cs="Calibri"/>
                <w:b/>
                <w:bCs/>
                <w:i/>
                <w:iCs/>
                <w:sz w:val="18"/>
                <w:szCs w:val="18"/>
                <w:lang w:eastAsia="en-AU"/>
              </w:rPr>
              <w:t>Total net costs</w:t>
            </w:r>
          </w:p>
        </w:tc>
        <w:tc>
          <w:tcPr>
            <w:tcW w:w="1941" w:type="dxa"/>
            <w:tcBorders>
              <w:top w:val="single" w:sz="4" w:space="0" w:color="auto"/>
              <w:left w:val="nil"/>
              <w:bottom w:val="single" w:sz="4" w:space="0" w:color="auto"/>
              <w:right w:val="nil"/>
            </w:tcBorders>
            <w:shd w:val="clear" w:color="000000" w:fill="FFFFFF"/>
            <w:noWrap/>
            <w:vAlign w:val="bottom"/>
            <w:hideMark/>
          </w:tcPr>
          <w:p w:rsidR="00CC24B0" w:rsidRPr="00FA653D" w:rsidRDefault="00CC24B0" w:rsidP="00CC24B0">
            <w:pPr>
              <w:jc w:val="right"/>
              <w:rPr>
                <w:rFonts w:eastAsia="Times New Roman" w:cs="Calibri"/>
                <w:b/>
                <w:bCs/>
                <w:i/>
                <w:iCs/>
                <w:sz w:val="18"/>
                <w:szCs w:val="18"/>
                <w:lang w:eastAsia="en-AU"/>
              </w:rPr>
            </w:pPr>
            <w:r w:rsidRPr="00FA653D">
              <w:rPr>
                <w:rFonts w:eastAsia="Times New Roman" w:cs="Calibri"/>
                <w:b/>
                <w:bCs/>
                <w:i/>
                <w:iCs/>
                <w:sz w:val="18"/>
                <w:szCs w:val="18"/>
                <w:lang w:eastAsia="en-AU"/>
              </w:rPr>
              <w:t>$12,132,302</w:t>
            </w:r>
          </w:p>
        </w:tc>
        <w:tc>
          <w:tcPr>
            <w:tcW w:w="2400" w:type="dxa"/>
            <w:tcBorders>
              <w:top w:val="single" w:sz="4" w:space="0" w:color="auto"/>
              <w:left w:val="nil"/>
              <w:bottom w:val="single" w:sz="4" w:space="0" w:color="auto"/>
              <w:right w:val="nil"/>
            </w:tcBorders>
            <w:shd w:val="clear" w:color="000000" w:fill="FFFFFF"/>
            <w:noWrap/>
            <w:vAlign w:val="bottom"/>
            <w:hideMark/>
          </w:tcPr>
          <w:p w:rsidR="00CC24B0" w:rsidRPr="00FA653D" w:rsidRDefault="00CC24B0" w:rsidP="00CC24B0">
            <w:pPr>
              <w:jc w:val="right"/>
              <w:rPr>
                <w:rFonts w:eastAsia="Times New Roman" w:cs="Calibri"/>
                <w:b/>
                <w:bCs/>
                <w:i/>
                <w:iCs/>
                <w:sz w:val="18"/>
                <w:szCs w:val="18"/>
                <w:lang w:eastAsia="en-AU"/>
              </w:rPr>
            </w:pPr>
            <w:r>
              <w:rPr>
                <w:rFonts w:cs="Calibri"/>
                <w:b/>
                <w:bCs/>
                <w:i/>
                <w:iCs/>
                <w:sz w:val="18"/>
                <w:szCs w:val="18"/>
              </w:rPr>
              <w:t>$5,932,929</w:t>
            </w:r>
          </w:p>
        </w:tc>
        <w:tc>
          <w:tcPr>
            <w:tcW w:w="1380" w:type="dxa"/>
            <w:tcBorders>
              <w:top w:val="single" w:sz="4" w:space="0" w:color="auto"/>
              <w:left w:val="nil"/>
              <w:bottom w:val="single" w:sz="4" w:space="0" w:color="auto"/>
              <w:right w:val="nil"/>
            </w:tcBorders>
            <w:shd w:val="clear" w:color="000000" w:fill="FFFFFF"/>
            <w:noWrap/>
            <w:vAlign w:val="bottom"/>
            <w:hideMark/>
          </w:tcPr>
          <w:p w:rsidR="00CC24B0" w:rsidRPr="00FA653D" w:rsidRDefault="00CC24B0" w:rsidP="00CC24B0">
            <w:pPr>
              <w:jc w:val="right"/>
              <w:rPr>
                <w:rFonts w:eastAsia="Times New Roman" w:cs="Calibri"/>
                <w:b/>
                <w:bCs/>
                <w:i/>
                <w:iCs/>
                <w:sz w:val="18"/>
                <w:szCs w:val="18"/>
                <w:lang w:eastAsia="en-AU"/>
              </w:rPr>
            </w:pPr>
            <w:r>
              <w:rPr>
                <w:rFonts w:cs="Calibri"/>
                <w:b/>
                <w:bCs/>
                <w:i/>
                <w:iCs/>
                <w:sz w:val="18"/>
                <w:szCs w:val="18"/>
              </w:rPr>
              <w:t>$62,178,524</w:t>
            </w:r>
          </w:p>
        </w:tc>
        <w:tc>
          <w:tcPr>
            <w:tcW w:w="1340" w:type="dxa"/>
            <w:tcBorders>
              <w:top w:val="single" w:sz="4" w:space="0" w:color="auto"/>
              <w:left w:val="nil"/>
              <w:bottom w:val="single" w:sz="4" w:space="0" w:color="auto"/>
              <w:right w:val="nil"/>
            </w:tcBorders>
            <w:shd w:val="clear" w:color="auto" w:fill="DBE5F1" w:themeFill="accent1" w:themeFillTint="33"/>
            <w:noWrap/>
            <w:vAlign w:val="bottom"/>
            <w:hideMark/>
          </w:tcPr>
          <w:p w:rsidR="00CC24B0" w:rsidRPr="00FA653D" w:rsidRDefault="00CC24B0" w:rsidP="00CC24B0">
            <w:pPr>
              <w:rPr>
                <w:rFonts w:eastAsia="Times New Roman" w:cs="Calibri"/>
                <w:b/>
                <w:bCs/>
                <w:i/>
                <w:iCs/>
                <w:sz w:val="18"/>
                <w:szCs w:val="18"/>
                <w:lang w:eastAsia="en-AU"/>
              </w:rPr>
            </w:pPr>
            <w:r>
              <w:rPr>
                <w:rFonts w:cs="Calibri"/>
                <w:b/>
                <w:bCs/>
                <w:i/>
                <w:iCs/>
                <w:sz w:val="18"/>
                <w:szCs w:val="18"/>
              </w:rPr>
              <w:t> </w:t>
            </w:r>
          </w:p>
        </w:tc>
      </w:tr>
    </w:tbl>
    <w:p w:rsidR="00A05891" w:rsidRDefault="00A05891" w:rsidP="000A087D">
      <w:pPr>
        <w:rPr>
          <w:rFonts w:asciiTheme="majorHAnsi" w:eastAsiaTheme="majorEastAsia" w:hAnsiTheme="majorHAnsi" w:cstheme="majorBidi"/>
          <w:b/>
          <w:color w:val="365F91" w:themeColor="accent1" w:themeShade="BF"/>
          <w:sz w:val="26"/>
          <w:szCs w:val="26"/>
        </w:rPr>
      </w:pPr>
    </w:p>
    <w:p w:rsidR="00AA425C" w:rsidRDefault="00AA425C">
      <w:pPr>
        <w:rPr>
          <w:i/>
          <w:color w:val="53565A"/>
          <w:sz w:val="24"/>
          <w:szCs w:val="24"/>
        </w:rPr>
      </w:pPr>
      <w:bookmarkStart w:id="285" w:name="_Toc469529241"/>
      <w:r>
        <w:br w:type="page"/>
      </w:r>
    </w:p>
    <w:p w:rsidR="009042E3" w:rsidRDefault="00EA26DD" w:rsidP="005E307C">
      <w:pPr>
        <w:pStyle w:val="Heading3"/>
      </w:pPr>
      <w:bookmarkStart w:id="286" w:name="_Toc477190265"/>
      <w:r>
        <w:lastRenderedPageBreak/>
        <w:t>A4.17</w:t>
      </w:r>
      <w:r w:rsidR="009042E3">
        <w:t>.9 Summary of total incremental costs of Option 5</w:t>
      </w:r>
      <w:bookmarkEnd w:id="285"/>
      <w:bookmarkEnd w:id="286"/>
    </w:p>
    <w:p w:rsidR="009042E3" w:rsidRDefault="00B42445" w:rsidP="009042E3">
      <w:pPr>
        <w:jc w:val="both"/>
      </w:pPr>
      <w:r>
        <w:t xml:space="preserve">The summary of </w:t>
      </w:r>
      <w:r w:rsidR="009042E3">
        <w:t>net incremental cost</w:t>
      </w:r>
      <w:r>
        <w:t>s</w:t>
      </w:r>
      <w:r w:rsidR="009042E3">
        <w:t xml:space="preserve"> under Opti</w:t>
      </w:r>
      <w:r>
        <w:t>on 5 would be identical to Option 3 except for the removal of the need for additional health checks under this option (i.e. the removal of proposed standard 6.2.3).</w:t>
      </w:r>
      <w:r w:rsidR="007B521C">
        <w:t xml:space="preserve"> </w:t>
      </w:r>
      <w:r>
        <w:t>B</w:t>
      </w:r>
      <w:r w:rsidR="009042E3">
        <w:t>ased on all estimations in Sections A4.2 to A4.14 of Appendix 4</w:t>
      </w:r>
      <w:r>
        <w:t xml:space="preserve"> t</w:t>
      </w:r>
      <w:r w:rsidR="009042E3">
        <w:t>he t</w:t>
      </w:r>
      <w:r>
        <w:t>otal additional cost of Option 5</w:t>
      </w:r>
      <w:r w:rsidR="009042E3">
        <w:t>, as co</w:t>
      </w:r>
      <w:r>
        <w:t>mpa</w:t>
      </w:r>
      <w:r w:rsidR="00F86BB2">
        <w:t>red to the base case, is $10</w:t>
      </w:r>
      <w:r w:rsidR="00CC24B0">
        <w:t>2</w:t>
      </w:r>
      <w:r w:rsidR="00F86BB2">
        <w:t>.</w:t>
      </w:r>
      <w:r w:rsidR="00CC24B0">
        <w:t>06</w:t>
      </w:r>
      <w:r w:rsidR="009042E3">
        <w:t>m over 10 years in present value dollars with one-off costs of $19.34m and</w:t>
      </w:r>
      <w:r w:rsidR="00F86BB2">
        <w:t xml:space="preserve"> annual costs of $9.7</w:t>
      </w:r>
      <w:r w:rsidR="00CC24B0">
        <w:t>9</w:t>
      </w:r>
      <w:r w:rsidR="009042E3">
        <w:t>m.</w:t>
      </w:r>
    </w:p>
    <w:p w:rsidR="00F86BB2" w:rsidRDefault="00F86BB2" w:rsidP="009042E3">
      <w:pPr>
        <w:jc w:val="both"/>
      </w:pPr>
    </w:p>
    <w:p w:rsidR="003E578A" w:rsidRDefault="00EA26DD" w:rsidP="005E307C">
      <w:pPr>
        <w:pStyle w:val="Heading3"/>
      </w:pPr>
      <w:bookmarkStart w:id="287" w:name="_Toc469529242"/>
      <w:bookmarkStart w:id="288" w:name="_Toc477190266"/>
      <w:r>
        <w:t>A4.17</w:t>
      </w:r>
      <w:r w:rsidR="003E578A">
        <w:t>.10 Distribution of total incremental costs of Option 5</w:t>
      </w:r>
      <w:bookmarkEnd w:id="287"/>
      <w:bookmarkEnd w:id="288"/>
    </w:p>
    <w:p w:rsidR="003E578A" w:rsidRDefault="003E578A" w:rsidP="003E578A">
      <w:pPr>
        <w:jc w:val="both"/>
      </w:pPr>
      <w:r>
        <w:t>A total summary of the dist</w:t>
      </w:r>
      <w:r w:rsidR="00B13AD8">
        <w:t>ribution of costs under Option 5</w:t>
      </w:r>
      <w:r>
        <w:t xml:space="preserve"> is </w:t>
      </w:r>
      <w:r w:rsidR="00B13AD8">
        <w:t>provided for in Table A4.33</w:t>
      </w:r>
      <w:r>
        <w:t>.</w:t>
      </w:r>
      <w:r w:rsidR="007B521C">
        <w:t xml:space="preserve"> </w:t>
      </w:r>
      <w:r>
        <w:t>The largest share of 10-year present value co</w:t>
      </w:r>
      <w:r w:rsidR="00207474">
        <w:t>st is incurred by small owners</w:t>
      </w:r>
      <w:r>
        <w:t xml:space="preserve"> </w:t>
      </w:r>
      <w:r w:rsidR="00207474">
        <w:t>(27.51%) followed by small trainers (27.30</w:t>
      </w:r>
      <w:r>
        <w:t>%)</w:t>
      </w:r>
      <w:r w:rsidR="00997E45">
        <w:t>,</w:t>
      </w:r>
      <w:r>
        <w:t xml:space="preserve"> </w:t>
      </w:r>
      <w:r w:rsidR="000616ED">
        <w:t xml:space="preserve">GRV (15.53%) and </w:t>
      </w:r>
      <w:r>
        <w:t xml:space="preserve">small breeders </w:t>
      </w:r>
      <w:r w:rsidR="000616ED">
        <w:t>(18.37</w:t>
      </w:r>
      <w:r>
        <w:t>%).</w:t>
      </w:r>
      <w:r w:rsidR="007B521C">
        <w:t xml:space="preserve"> </w:t>
      </w:r>
      <w:r>
        <w:t>Small owners are also likely t</w:t>
      </w:r>
      <w:r w:rsidR="00C9454A">
        <w:t>o obtain the highest share of 56.</w:t>
      </w:r>
      <w:r w:rsidR="00CC24B0">
        <w:t>91</w:t>
      </w:r>
      <w:r>
        <w:t>% of all 10-year present value cost savings, followe</w:t>
      </w:r>
      <w:r w:rsidR="000616ED">
        <w:t>d</w:t>
      </w:r>
      <w:r w:rsidR="00C9454A">
        <w:t xml:space="preserve"> by GAP (4</w:t>
      </w:r>
      <w:r w:rsidR="00CC24B0">
        <w:t>1</w:t>
      </w:r>
      <w:r w:rsidR="00C9454A">
        <w:t>.</w:t>
      </w:r>
      <w:r w:rsidR="00CC24B0">
        <w:t>63</w:t>
      </w:r>
      <w:r w:rsidR="000616ED">
        <w:t>%) under Option 5</w:t>
      </w:r>
      <w:r>
        <w:t>.</w:t>
      </w:r>
    </w:p>
    <w:p w:rsidR="003E578A" w:rsidRDefault="003E578A" w:rsidP="003E578A">
      <w:pPr>
        <w:jc w:val="both"/>
      </w:pPr>
    </w:p>
    <w:p w:rsidR="003E578A" w:rsidRDefault="003E578A" w:rsidP="003E578A">
      <w:pPr>
        <w:jc w:val="center"/>
        <w:rPr>
          <w:b/>
          <w:sz w:val="20"/>
        </w:rPr>
      </w:pPr>
      <w:r w:rsidRPr="000A087D">
        <w:rPr>
          <w:b/>
          <w:sz w:val="20"/>
        </w:rPr>
        <w:t>Table A</w:t>
      </w:r>
      <w:r>
        <w:rPr>
          <w:b/>
          <w:sz w:val="20"/>
        </w:rPr>
        <w:t>4.33</w:t>
      </w:r>
      <w:r w:rsidRPr="000A087D">
        <w:rPr>
          <w:b/>
          <w:sz w:val="20"/>
        </w:rPr>
        <w:t xml:space="preserve">: Distribution of 10-year additional cost of </w:t>
      </w:r>
      <w:r>
        <w:rPr>
          <w:b/>
          <w:sz w:val="20"/>
        </w:rPr>
        <w:t>Option 5</w:t>
      </w:r>
    </w:p>
    <w:p w:rsidR="003E578A" w:rsidRDefault="003E578A" w:rsidP="00AA425C"/>
    <w:tbl>
      <w:tblPr>
        <w:tblW w:w="8437" w:type="dxa"/>
        <w:tblLook w:val="04A0" w:firstRow="1" w:lastRow="0" w:firstColumn="1" w:lastColumn="0" w:noHBand="0" w:noVBand="1"/>
      </w:tblPr>
      <w:tblGrid>
        <w:gridCol w:w="1351"/>
        <w:gridCol w:w="1533"/>
        <w:gridCol w:w="2209"/>
        <w:gridCol w:w="1968"/>
        <w:gridCol w:w="1376"/>
      </w:tblGrid>
      <w:tr w:rsidR="00207474" w:rsidRPr="00AA425C" w:rsidTr="00CC24B0">
        <w:trPr>
          <w:trHeight w:val="70"/>
          <w:tblHeader/>
        </w:trPr>
        <w:tc>
          <w:tcPr>
            <w:tcW w:w="1351" w:type="dxa"/>
            <w:tcBorders>
              <w:top w:val="single" w:sz="4" w:space="0" w:color="1F4E78"/>
              <w:left w:val="nil"/>
              <w:bottom w:val="double" w:sz="6" w:space="0" w:color="1F4E78"/>
              <w:right w:val="nil"/>
            </w:tcBorders>
            <w:shd w:val="clear" w:color="000000" w:fill="FFFFFF"/>
            <w:vAlign w:val="bottom"/>
            <w:hideMark/>
          </w:tcPr>
          <w:p w:rsidR="00207474" w:rsidRPr="00AA425C" w:rsidRDefault="00207474" w:rsidP="00207474">
            <w:pPr>
              <w:rPr>
                <w:rFonts w:eastAsia="Times New Roman" w:cs="Calibri"/>
                <w:b/>
                <w:bCs/>
                <w:color w:val="53565A"/>
                <w:sz w:val="20"/>
                <w:szCs w:val="20"/>
                <w:lang w:eastAsia="en-AU"/>
              </w:rPr>
            </w:pPr>
            <w:r w:rsidRPr="00AA425C">
              <w:rPr>
                <w:rFonts w:eastAsia="Times New Roman" w:cs="Calibri"/>
                <w:b/>
                <w:bCs/>
                <w:color w:val="53565A"/>
                <w:sz w:val="20"/>
                <w:szCs w:val="20"/>
                <w:lang w:eastAsia="en-AU"/>
              </w:rPr>
              <w:t>Category of participant</w:t>
            </w:r>
          </w:p>
        </w:tc>
        <w:tc>
          <w:tcPr>
            <w:tcW w:w="1533" w:type="dxa"/>
            <w:tcBorders>
              <w:top w:val="single" w:sz="4" w:space="0" w:color="1F4E78"/>
              <w:left w:val="nil"/>
              <w:bottom w:val="double" w:sz="6" w:space="0" w:color="1F4E78"/>
              <w:right w:val="nil"/>
            </w:tcBorders>
            <w:shd w:val="clear" w:color="000000" w:fill="FFFFFF"/>
            <w:vAlign w:val="bottom"/>
            <w:hideMark/>
          </w:tcPr>
          <w:p w:rsidR="00207474" w:rsidRPr="00AA425C" w:rsidRDefault="00207474" w:rsidP="00207474">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One-off cost</w:t>
            </w:r>
          </w:p>
        </w:tc>
        <w:tc>
          <w:tcPr>
            <w:tcW w:w="2209" w:type="dxa"/>
            <w:tcBorders>
              <w:top w:val="single" w:sz="4" w:space="0" w:color="1F4E78"/>
              <w:left w:val="nil"/>
              <w:bottom w:val="double" w:sz="6" w:space="0" w:color="1F4E78"/>
              <w:right w:val="nil"/>
            </w:tcBorders>
            <w:shd w:val="clear" w:color="000000" w:fill="FFFFFF"/>
            <w:vAlign w:val="bottom"/>
            <w:hideMark/>
          </w:tcPr>
          <w:p w:rsidR="00207474" w:rsidRPr="00AA425C" w:rsidRDefault="00207474" w:rsidP="00207474">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Annual cost</w:t>
            </w:r>
          </w:p>
        </w:tc>
        <w:tc>
          <w:tcPr>
            <w:tcW w:w="1968" w:type="dxa"/>
            <w:tcBorders>
              <w:top w:val="single" w:sz="4" w:space="0" w:color="1F4E78"/>
              <w:left w:val="nil"/>
              <w:bottom w:val="double" w:sz="6" w:space="0" w:color="1F4E78"/>
              <w:right w:val="nil"/>
            </w:tcBorders>
            <w:shd w:val="clear" w:color="000000" w:fill="FFFFFF"/>
            <w:vAlign w:val="bottom"/>
            <w:hideMark/>
          </w:tcPr>
          <w:p w:rsidR="00207474" w:rsidRPr="00AA425C" w:rsidRDefault="00207474" w:rsidP="00207474">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10-year PV cost</w:t>
            </w:r>
          </w:p>
        </w:tc>
        <w:tc>
          <w:tcPr>
            <w:tcW w:w="1376" w:type="dxa"/>
            <w:tcBorders>
              <w:top w:val="single" w:sz="4" w:space="0" w:color="1F4E78"/>
              <w:left w:val="nil"/>
              <w:bottom w:val="double" w:sz="6" w:space="0" w:color="1F4E78"/>
              <w:right w:val="nil"/>
            </w:tcBorders>
            <w:shd w:val="clear" w:color="auto" w:fill="DBE5F1" w:themeFill="accent1" w:themeFillTint="33"/>
            <w:vAlign w:val="bottom"/>
            <w:hideMark/>
          </w:tcPr>
          <w:p w:rsidR="00207474" w:rsidRPr="00AA425C" w:rsidRDefault="00207474" w:rsidP="00207474">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 of 10-year PV cost</w:t>
            </w:r>
          </w:p>
        </w:tc>
      </w:tr>
      <w:tr w:rsidR="00207474" w:rsidRPr="00207474" w:rsidTr="00CC24B0">
        <w:trPr>
          <w:trHeight w:val="255"/>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Large breeder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$470,131</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$1,002,786</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$8,928,964</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7.08%</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Small breeder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$6,569,136</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$1,967,587</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$23,166,388</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18.37%</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Large trainer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$1,357,326</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$94,688</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$2,156,048</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1.71%</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Small trainer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$10,801,430</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$2,800,423</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$34,423,924</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27.30%</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Large owner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$0</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$105,457</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$889,565</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0.71%</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Small owner</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$0</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$4,112,930</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$34,693,928</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27.51%</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GAP</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$0</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$269,264</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$2,271,334</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1.80%</w:t>
            </w:r>
          </w:p>
        </w:tc>
      </w:tr>
      <w:tr w:rsidR="00207474" w:rsidRPr="00207474" w:rsidTr="00CC24B0">
        <w:trPr>
          <w:trHeight w:val="240"/>
        </w:trPr>
        <w:tc>
          <w:tcPr>
            <w:tcW w:w="1351" w:type="dxa"/>
            <w:tcBorders>
              <w:top w:val="nil"/>
              <w:left w:val="nil"/>
              <w:bottom w:val="nil"/>
              <w:right w:val="nil"/>
            </w:tcBorders>
            <w:shd w:val="clear" w:color="000000" w:fill="FFFFFF"/>
            <w:noWrap/>
            <w:vAlign w:val="bottom"/>
            <w:hideMark/>
          </w:tcPr>
          <w:p w:rsidR="00207474" w:rsidRPr="00207474" w:rsidRDefault="00207474" w:rsidP="00207474">
            <w:pPr>
              <w:rPr>
                <w:rFonts w:eastAsia="Times New Roman" w:cs="Calibri"/>
                <w:sz w:val="18"/>
                <w:szCs w:val="18"/>
                <w:lang w:eastAsia="en-AU"/>
              </w:rPr>
            </w:pPr>
            <w:r w:rsidRPr="00207474">
              <w:rPr>
                <w:rFonts w:eastAsia="Times New Roman" w:cs="Calibri"/>
                <w:sz w:val="18"/>
                <w:szCs w:val="18"/>
                <w:lang w:eastAsia="en-AU"/>
              </w:rPr>
              <w:t>GRV</w:t>
            </w:r>
          </w:p>
        </w:tc>
        <w:tc>
          <w:tcPr>
            <w:tcW w:w="1533"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$146,407</w:t>
            </w:r>
          </w:p>
        </w:tc>
        <w:tc>
          <w:tcPr>
            <w:tcW w:w="2209"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$2,289,466</w:t>
            </w:r>
          </w:p>
        </w:tc>
        <w:tc>
          <w:tcPr>
            <w:tcW w:w="1968" w:type="dxa"/>
            <w:tcBorders>
              <w:top w:val="nil"/>
              <w:left w:val="nil"/>
              <w:bottom w:val="nil"/>
              <w:right w:val="nil"/>
            </w:tcBorders>
            <w:shd w:val="clear" w:color="000000" w:fill="FFFFFF"/>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$19,587,047</w:t>
            </w:r>
          </w:p>
        </w:tc>
        <w:tc>
          <w:tcPr>
            <w:tcW w:w="1376" w:type="dxa"/>
            <w:tcBorders>
              <w:top w:val="nil"/>
              <w:left w:val="nil"/>
              <w:bottom w:val="nil"/>
              <w:right w:val="nil"/>
            </w:tcBorders>
            <w:shd w:val="clear" w:color="auto" w:fill="DBE5F1" w:themeFill="accent1" w:themeFillTint="33"/>
            <w:noWrap/>
            <w:vAlign w:val="bottom"/>
            <w:hideMark/>
          </w:tcPr>
          <w:p w:rsidR="00207474" w:rsidRPr="00207474" w:rsidRDefault="00207474" w:rsidP="00207474">
            <w:pPr>
              <w:jc w:val="right"/>
              <w:rPr>
                <w:rFonts w:eastAsia="Times New Roman" w:cs="Calibri"/>
                <w:sz w:val="18"/>
                <w:szCs w:val="18"/>
                <w:lang w:eastAsia="en-AU"/>
              </w:rPr>
            </w:pPr>
            <w:r w:rsidRPr="00207474">
              <w:rPr>
                <w:rFonts w:eastAsia="Times New Roman" w:cs="Calibri"/>
                <w:sz w:val="18"/>
                <w:szCs w:val="18"/>
                <w:lang w:eastAsia="en-AU"/>
              </w:rPr>
              <w:t>15.53%</w:t>
            </w:r>
          </w:p>
        </w:tc>
      </w:tr>
      <w:tr w:rsidR="00207474" w:rsidRPr="00AA425C" w:rsidTr="00CC24B0">
        <w:trPr>
          <w:trHeight w:val="240"/>
        </w:trPr>
        <w:tc>
          <w:tcPr>
            <w:tcW w:w="1351" w:type="dxa"/>
            <w:tcBorders>
              <w:top w:val="single" w:sz="4" w:space="0" w:color="1F4E78"/>
              <w:left w:val="nil"/>
              <w:bottom w:val="single" w:sz="4" w:space="0" w:color="1F4E78"/>
              <w:right w:val="nil"/>
            </w:tcBorders>
            <w:shd w:val="clear" w:color="000000" w:fill="FFFFFF"/>
            <w:noWrap/>
            <w:vAlign w:val="bottom"/>
            <w:hideMark/>
          </w:tcPr>
          <w:p w:rsidR="00207474" w:rsidRPr="00AA425C" w:rsidRDefault="00207474" w:rsidP="00207474">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 costs</w:t>
            </w:r>
          </w:p>
        </w:tc>
        <w:tc>
          <w:tcPr>
            <w:tcW w:w="1533" w:type="dxa"/>
            <w:tcBorders>
              <w:top w:val="single" w:sz="4" w:space="0" w:color="1F4E78"/>
              <w:left w:val="nil"/>
              <w:bottom w:val="single" w:sz="4" w:space="0" w:color="1F4E78"/>
              <w:right w:val="nil"/>
            </w:tcBorders>
            <w:shd w:val="clear" w:color="000000" w:fill="FFFFFF"/>
            <w:noWrap/>
            <w:vAlign w:val="bottom"/>
            <w:hideMark/>
          </w:tcPr>
          <w:p w:rsidR="00207474" w:rsidRPr="00AA425C" w:rsidRDefault="00207474" w:rsidP="00207474">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$19,344,431</w:t>
            </w:r>
          </w:p>
        </w:tc>
        <w:tc>
          <w:tcPr>
            <w:tcW w:w="2209" w:type="dxa"/>
            <w:tcBorders>
              <w:top w:val="single" w:sz="4" w:space="0" w:color="1F4E78"/>
              <w:left w:val="nil"/>
              <w:bottom w:val="single" w:sz="4" w:space="0" w:color="1F4E78"/>
              <w:right w:val="nil"/>
            </w:tcBorders>
            <w:shd w:val="clear" w:color="000000" w:fill="FFFFFF"/>
            <w:noWrap/>
            <w:vAlign w:val="bottom"/>
            <w:hideMark/>
          </w:tcPr>
          <w:p w:rsidR="00207474" w:rsidRPr="00AA425C" w:rsidRDefault="00207474" w:rsidP="00207474">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$12,642,601</w:t>
            </w:r>
          </w:p>
        </w:tc>
        <w:tc>
          <w:tcPr>
            <w:tcW w:w="1968" w:type="dxa"/>
            <w:tcBorders>
              <w:top w:val="single" w:sz="4" w:space="0" w:color="1F4E78"/>
              <w:left w:val="nil"/>
              <w:bottom w:val="single" w:sz="4" w:space="0" w:color="1F4E78"/>
              <w:right w:val="nil"/>
            </w:tcBorders>
            <w:shd w:val="clear" w:color="000000" w:fill="FFFFFF"/>
            <w:noWrap/>
            <w:vAlign w:val="bottom"/>
            <w:hideMark/>
          </w:tcPr>
          <w:p w:rsidR="00207474" w:rsidRPr="00AA425C" w:rsidRDefault="00207474" w:rsidP="00207474">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$126,117,198</w:t>
            </w:r>
          </w:p>
        </w:tc>
        <w:tc>
          <w:tcPr>
            <w:tcW w:w="1376" w:type="dxa"/>
            <w:tcBorders>
              <w:top w:val="single" w:sz="4" w:space="0" w:color="1F4E78"/>
              <w:left w:val="nil"/>
              <w:bottom w:val="single" w:sz="4" w:space="0" w:color="1F4E78"/>
              <w:right w:val="nil"/>
            </w:tcBorders>
            <w:shd w:val="clear" w:color="auto" w:fill="DBE5F1" w:themeFill="accent1" w:themeFillTint="33"/>
            <w:noWrap/>
            <w:vAlign w:val="bottom"/>
            <w:hideMark/>
          </w:tcPr>
          <w:p w:rsidR="00207474" w:rsidRPr="00AA425C" w:rsidRDefault="00207474" w:rsidP="00207474">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100.00%</w:t>
            </w:r>
          </w:p>
        </w:tc>
      </w:tr>
      <w:tr w:rsidR="00F86BB2" w:rsidRPr="00207474" w:rsidTr="00CC24B0">
        <w:trPr>
          <w:trHeight w:val="240"/>
        </w:trPr>
        <w:tc>
          <w:tcPr>
            <w:tcW w:w="1351" w:type="dxa"/>
            <w:tcBorders>
              <w:top w:val="nil"/>
              <w:left w:val="nil"/>
              <w:bottom w:val="nil"/>
              <w:right w:val="nil"/>
            </w:tcBorders>
            <w:shd w:val="clear" w:color="000000" w:fill="FFFFFF"/>
            <w:noWrap/>
            <w:vAlign w:val="bottom"/>
            <w:hideMark/>
          </w:tcPr>
          <w:p w:rsidR="00F86BB2" w:rsidRPr="00207474" w:rsidRDefault="00F86BB2" w:rsidP="00F86BB2">
            <w:pPr>
              <w:rPr>
                <w:rFonts w:eastAsia="Times New Roman" w:cs="Calibri"/>
                <w:sz w:val="18"/>
                <w:szCs w:val="18"/>
                <w:lang w:eastAsia="en-AU"/>
              </w:rPr>
            </w:pPr>
            <w:r w:rsidRPr="00207474">
              <w:rPr>
                <w:rFonts w:eastAsia="Times New Roman" w:cs="Calibri"/>
                <w:sz w:val="18"/>
                <w:szCs w:val="18"/>
                <w:lang w:eastAsia="en-AU"/>
              </w:rPr>
              <w:t>Large owner</w:t>
            </w:r>
          </w:p>
        </w:tc>
        <w:tc>
          <w:tcPr>
            <w:tcW w:w="1533"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2209"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Pr>
                <w:rFonts w:cs="Calibri"/>
                <w:color w:val="FF0000"/>
                <w:sz w:val="18"/>
                <w:szCs w:val="18"/>
              </w:rPr>
              <w:t>-$41,617</w:t>
            </w:r>
          </w:p>
        </w:tc>
        <w:tc>
          <w:tcPr>
            <w:tcW w:w="1968"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Pr>
                <w:rFonts w:cs="Calibri"/>
                <w:color w:val="FF0000"/>
                <w:sz w:val="18"/>
                <w:szCs w:val="18"/>
              </w:rPr>
              <w:t>-$351,056</w:t>
            </w:r>
          </w:p>
        </w:tc>
        <w:tc>
          <w:tcPr>
            <w:tcW w:w="1376" w:type="dxa"/>
            <w:tcBorders>
              <w:top w:val="nil"/>
              <w:left w:val="nil"/>
              <w:bottom w:val="nil"/>
              <w:right w:val="nil"/>
            </w:tcBorders>
            <w:shd w:val="clear" w:color="auto" w:fill="DBE5F1" w:themeFill="accent1" w:themeFillTint="33"/>
            <w:noWrap/>
            <w:vAlign w:val="bottom"/>
            <w:hideMark/>
          </w:tcPr>
          <w:p w:rsidR="00F86BB2" w:rsidRPr="00207474" w:rsidRDefault="00F86BB2" w:rsidP="00F86BB2">
            <w:pPr>
              <w:jc w:val="right"/>
              <w:rPr>
                <w:rFonts w:eastAsia="Times New Roman" w:cs="Calibri"/>
                <w:sz w:val="18"/>
                <w:szCs w:val="18"/>
                <w:lang w:eastAsia="en-AU"/>
              </w:rPr>
            </w:pPr>
            <w:r>
              <w:rPr>
                <w:rFonts w:cs="Calibri"/>
                <w:sz w:val="18"/>
                <w:szCs w:val="18"/>
              </w:rPr>
              <w:t>1.4</w:t>
            </w:r>
            <w:r w:rsidR="00CC24B0">
              <w:rPr>
                <w:rFonts w:cs="Calibri"/>
                <w:sz w:val="18"/>
                <w:szCs w:val="18"/>
              </w:rPr>
              <w:t>6</w:t>
            </w:r>
            <w:r>
              <w:rPr>
                <w:rFonts w:cs="Calibri"/>
                <w:sz w:val="18"/>
                <w:szCs w:val="18"/>
              </w:rPr>
              <w:t>%</w:t>
            </w:r>
          </w:p>
        </w:tc>
      </w:tr>
      <w:tr w:rsidR="00F86BB2" w:rsidRPr="00207474" w:rsidTr="00CC24B0">
        <w:trPr>
          <w:trHeight w:val="240"/>
        </w:trPr>
        <w:tc>
          <w:tcPr>
            <w:tcW w:w="1351" w:type="dxa"/>
            <w:tcBorders>
              <w:top w:val="nil"/>
              <w:left w:val="nil"/>
              <w:bottom w:val="nil"/>
              <w:right w:val="nil"/>
            </w:tcBorders>
            <w:shd w:val="clear" w:color="000000" w:fill="FFFFFF"/>
            <w:noWrap/>
            <w:vAlign w:val="bottom"/>
            <w:hideMark/>
          </w:tcPr>
          <w:p w:rsidR="00F86BB2" w:rsidRPr="00207474" w:rsidRDefault="00F86BB2" w:rsidP="00F86BB2">
            <w:pPr>
              <w:rPr>
                <w:rFonts w:eastAsia="Times New Roman" w:cs="Calibri"/>
                <w:sz w:val="18"/>
                <w:szCs w:val="18"/>
                <w:lang w:eastAsia="en-AU"/>
              </w:rPr>
            </w:pPr>
            <w:r w:rsidRPr="00207474">
              <w:rPr>
                <w:rFonts w:eastAsia="Times New Roman" w:cs="Calibri"/>
                <w:sz w:val="18"/>
                <w:szCs w:val="18"/>
                <w:lang w:eastAsia="en-AU"/>
              </w:rPr>
              <w:t>Small owner</w:t>
            </w:r>
          </w:p>
        </w:tc>
        <w:tc>
          <w:tcPr>
            <w:tcW w:w="1533"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2209"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Pr>
                <w:rFonts w:cs="Calibri"/>
                <w:color w:val="FF0000"/>
                <w:sz w:val="18"/>
                <w:szCs w:val="18"/>
              </w:rPr>
              <w:t>-$1,622,918</w:t>
            </w:r>
          </w:p>
        </w:tc>
        <w:tc>
          <w:tcPr>
            <w:tcW w:w="1968" w:type="dxa"/>
            <w:tcBorders>
              <w:top w:val="nil"/>
              <w:left w:val="nil"/>
              <w:bottom w:val="nil"/>
              <w:right w:val="nil"/>
            </w:tcBorders>
            <w:shd w:val="clear" w:color="000000" w:fill="FFFFFF"/>
            <w:noWrap/>
            <w:vAlign w:val="bottom"/>
            <w:hideMark/>
          </w:tcPr>
          <w:p w:rsidR="00F86BB2" w:rsidRPr="00207474" w:rsidRDefault="00F86BB2" w:rsidP="00F86BB2">
            <w:pPr>
              <w:jc w:val="right"/>
              <w:rPr>
                <w:rFonts w:eastAsia="Times New Roman" w:cs="Calibri"/>
                <w:color w:val="FF0000"/>
                <w:sz w:val="18"/>
                <w:szCs w:val="18"/>
                <w:lang w:eastAsia="en-AU"/>
              </w:rPr>
            </w:pPr>
            <w:r>
              <w:rPr>
                <w:rFonts w:cs="Calibri"/>
                <w:color w:val="FF0000"/>
                <w:sz w:val="18"/>
                <w:szCs w:val="18"/>
              </w:rPr>
              <w:t>-$13,689,847</w:t>
            </w:r>
          </w:p>
        </w:tc>
        <w:tc>
          <w:tcPr>
            <w:tcW w:w="1376" w:type="dxa"/>
            <w:tcBorders>
              <w:top w:val="nil"/>
              <w:left w:val="nil"/>
              <w:bottom w:val="nil"/>
              <w:right w:val="nil"/>
            </w:tcBorders>
            <w:shd w:val="clear" w:color="auto" w:fill="DBE5F1" w:themeFill="accent1" w:themeFillTint="33"/>
            <w:noWrap/>
            <w:vAlign w:val="bottom"/>
            <w:hideMark/>
          </w:tcPr>
          <w:p w:rsidR="00F86BB2" w:rsidRPr="00207474" w:rsidRDefault="00F86BB2" w:rsidP="00F86BB2">
            <w:pPr>
              <w:jc w:val="right"/>
              <w:rPr>
                <w:rFonts w:eastAsia="Times New Roman" w:cs="Calibri"/>
                <w:sz w:val="18"/>
                <w:szCs w:val="18"/>
                <w:lang w:eastAsia="en-AU"/>
              </w:rPr>
            </w:pPr>
            <w:r>
              <w:rPr>
                <w:rFonts w:cs="Calibri"/>
                <w:sz w:val="18"/>
                <w:szCs w:val="18"/>
              </w:rPr>
              <w:t>56.</w:t>
            </w:r>
            <w:r w:rsidR="00CC24B0">
              <w:rPr>
                <w:rFonts w:cs="Calibri"/>
                <w:sz w:val="18"/>
                <w:szCs w:val="18"/>
              </w:rPr>
              <w:t>91</w:t>
            </w:r>
            <w:r>
              <w:rPr>
                <w:rFonts w:cs="Calibri"/>
                <w:sz w:val="18"/>
                <w:szCs w:val="18"/>
              </w:rPr>
              <w:t>%</w:t>
            </w:r>
          </w:p>
        </w:tc>
      </w:tr>
      <w:tr w:rsidR="00CC24B0" w:rsidRPr="00207474" w:rsidTr="00CC24B0">
        <w:trPr>
          <w:trHeight w:val="240"/>
        </w:trPr>
        <w:tc>
          <w:tcPr>
            <w:tcW w:w="1351" w:type="dxa"/>
            <w:tcBorders>
              <w:top w:val="nil"/>
              <w:left w:val="nil"/>
              <w:bottom w:val="nil"/>
              <w:right w:val="nil"/>
            </w:tcBorders>
            <w:shd w:val="clear" w:color="000000" w:fill="FFFFFF"/>
            <w:noWrap/>
            <w:vAlign w:val="bottom"/>
            <w:hideMark/>
          </w:tcPr>
          <w:p w:rsidR="00CC24B0" w:rsidRPr="00207474" w:rsidRDefault="00CC24B0" w:rsidP="00CC24B0">
            <w:pPr>
              <w:rPr>
                <w:rFonts w:eastAsia="Times New Roman" w:cs="Calibri"/>
                <w:sz w:val="18"/>
                <w:szCs w:val="18"/>
                <w:lang w:eastAsia="en-AU"/>
              </w:rPr>
            </w:pPr>
            <w:r w:rsidRPr="00207474">
              <w:rPr>
                <w:rFonts w:eastAsia="Times New Roman" w:cs="Calibri"/>
                <w:sz w:val="18"/>
                <w:szCs w:val="18"/>
                <w:lang w:eastAsia="en-AU"/>
              </w:rPr>
              <w:t>GAP</w:t>
            </w:r>
          </w:p>
        </w:tc>
        <w:tc>
          <w:tcPr>
            <w:tcW w:w="1533" w:type="dxa"/>
            <w:tcBorders>
              <w:top w:val="nil"/>
              <w:left w:val="nil"/>
              <w:bottom w:val="nil"/>
              <w:right w:val="nil"/>
            </w:tcBorders>
            <w:shd w:val="clear" w:color="000000" w:fill="FFFFFF"/>
            <w:noWrap/>
            <w:vAlign w:val="bottom"/>
            <w:hideMark/>
          </w:tcPr>
          <w:p w:rsidR="00CC24B0" w:rsidRPr="00207474" w:rsidRDefault="00CC24B0" w:rsidP="00CC24B0">
            <w:pPr>
              <w:jc w:val="right"/>
              <w:rPr>
                <w:rFonts w:eastAsia="Times New Roman" w:cs="Calibri"/>
                <w:color w:val="FF0000"/>
                <w:sz w:val="18"/>
                <w:szCs w:val="18"/>
                <w:lang w:eastAsia="en-AU"/>
              </w:rPr>
            </w:pPr>
            <w:r w:rsidRPr="00207474">
              <w:rPr>
                <w:rFonts w:eastAsia="Times New Roman" w:cs="Calibri"/>
                <w:color w:val="FF0000"/>
                <w:sz w:val="18"/>
                <w:szCs w:val="18"/>
                <w:lang w:eastAsia="en-AU"/>
              </w:rPr>
              <w:t>$0</w:t>
            </w:r>
          </w:p>
        </w:tc>
        <w:tc>
          <w:tcPr>
            <w:tcW w:w="2209" w:type="dxa"/>
            <w:tcBorders>
              <w:top w:val="nil"/>
              <w:left w:val="nil"/>
              <w:bottom w:val="nil"/>
              <w:right w:val="nil"/>
            </w:tcBorders>
            <w:shd w:val="clear" w:color="000000" w:fill="FFFFFF"/>
            <w:noWrap/>
            <w:vAlign w:val="bottom"/>
            <w:hideMark/>
          </w:tcPr>
          <w:p w:rsidR="00CC24B0" w:rsidRPr="00207474" w:rsidRDefault="00CC24B0" w:rsidP="00CC24B0">
            <w:pPr>
              <w:jc w:val="right"/>
              <w:rPr>
                <w:rFonts w:eastAsia="Times New Roman" w:cs="Calibri"/>
                <w:color w:val="FF0000"/>
                <w:sz w:val="18"/>
                <w:szCs w:val="18"/>
                <w:lang w:eastAsia="en-AU"/>
              </w:rPr>
            </w:pPr>
            <w:r>
              <w:rPr>
                <w:rFonts w:cs="Calibri"/>
                <w:color w:val="FF0000"/>
                <w:sz w:val="18"/>
                <w:szCs w:val="18"/>
              </w:rPr>
              <w:t>-$1,187,075</w:t>
            </w:r>
          </w:p>
        </w:tc>
        <w:tc>
          <w:tcPr>
            <w:tcW w:w="1968" w:type="dxa"/>
            <w:tcBorders>
              <w:top w:val="nil"/>
              <w:left w:val="nil"/>
              <w:bottom w:val="nil"/>
              <w:right w:val="nil"/>
            </w:tcBorders>
            <w:shd w:val="clear" w:color="000000" w:fill="FFFFFF"/>
            <w:noWrap/>
            <w:vAlign w:val="bottom"/>
            <w:hideMark/>
          </w:tcPr>
          <w:p w:rsidR="00CC24B0" w:rsidRPr="00207474" w:rsidRDefault="00CC24B0" w:rsidP="00CC24B0">
            <w:pPr>
              <w:jc w:val="right"/>
              <w:rPr>
                <w:rFonts w:eastAsia="Times New Roman" w:cs="Calibri"/>
                <w:color w:val="FF0000"/>
                <w:sz w:val="18"/>
                <w:szCs w:val="18"/>
                <w:lang w:eastAsia="en-AU"/>
              </w:rPr>
            </w:pPr>
            <w:r>
              <w:rPr>
                <w:rFonts w:cs="Calibri"/>
                <w:color w:val="FF0000"/>
                <w:sz w:val="18"/>
                <w:szCs w:val="18"/>
              </w:rPr>
              <w:t>-$10,013,368</w:t>
            </w:r>
          </w:p>
        </w:tc>
        <w:tc>
          <w:tcPr>
            <w:tcW w:w="1376" w:type="dxa"/>
            <w:tcBorders>
              <w:top w:val="nil"/>
              <w:left w:val="nil"/>
              <w:bottom w:val="nil"/>
              <w:right w:val="nil"/>
            </w:tcBorders>
            <w:shd w:val="clear" w:color="auto" w:fill="DBE5F1" w:themeFill="accent1" w:themeFillTint="33"/>
            <w:noWrap/>
            <w:vAlign w:val="bottom"/>
            <w:hideMark/>
          </w:tcPr>
          <w:p w:rsidR="00CC24B0" w:rsidRPr="00207474" w:rsidRDefault="00CC24B0" w:rsidP="00CC24B0">
            <w:pPr>
              <w:jc w:val="right"/>
              <w:rPr>
                <w:rFonts w:eastAsia="Times New Roman" w:cs="Calibri"/>
                <w:sz w:val="18"/>
                <w:szCs w:val="18"/>
                <w:lang w:eastAsia="en-AU"/>
              </w:rPr>
            </w:pPr>
            <w:r>
              <w:rPr>
                <w:rFonts w:cs="Calibri"/>
                <w:sz w:val="18"/>
                <w:szCs w:val="18"/>
              </w:rPr>
              <w:t>41.63%</w:t>
            </w:r>
          </w:p>
        </w:tc>
      </w:tr>
      <w:tr w:rsidR="00CC24B0" w:rsidRPr="00AA425C" w:rsidTr="00CC24B0">
        <w:trPr>
          <w:trHeight w:val="240"/>
        </w:trPr>
        <w:tc>
          <w:tcPr>
            <w:tcW w:w="1351"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rPr>
                <w:rFonts w:eastAsia="Times New Roman" w:cs="Calibri"/>
                <w:b/>
                <w:bCs/>
                <w:color w:val="1F4E78"/>
                <w:sz w:val="18"/>
                <w:szCs w:val="18"/>
                <w:lang w:eastAsia="en-AU"/>
              </w:rPr>
            </w:pPr>
            <w:r w:rsidRPr="00AA425C">
              <w:rPr>
                <w:rFonts w:eastAsia="Times New Roman" w:cs="Calibri"/>
                <w:b/>
                <w:bCs/>
                <w:color w:val="53565A"/>
                <w:sz w:val="18"/>
                <w:szCs w:val="18"/>
                <w:lang w:eastAsia="en-AU"/>
              </w:rPr>
              <w:t>Total cost savings</w:t>
            </w:r>
          </w:p>
        </w:tc>
        <w:tc>
          <w:tcPr>
            <w:tcW w:w="1533"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color w:val="FF0000"/>
                <w:sz w:val="18"/>
                <w:szCs w:val="18"/>
                <w:lang w:eastAsia="en-AU"/>
              </w:rPr>
            </w:pPr>
            <w:r w:rsidRPr="00207474">
              <w:rPr>
                <w:rFonts w:eastAsia="Times New Roman" w:cs="Calibri"/>
                <w:b/>
                <w:bCs/>
                <w:color w:val="FF0000"/>
                <w:sz w:val="18"/>
                <w:szCs w:val="18"/>
                <w:lang w:eastAsia="en-AU"/>
              </w:rPr>
              <w:t>$0</w:t>
            </w:r>
          </w:p>
        </w:tc>
        <w:tc>
          <w:tcPr>
            <w:tcW w:w="2209"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color w:val="FF0000"/>
                <w:sz w:val="18"/>
                <w:szCs w:val="18"/>
                <w:lang w:eastAsia="en-AU"/>
              </w:rPr>
            </w:pPr>
            <w:r>
              <w:rPr>
                <w:rFonts w:cs="Calibri"/>
                <w:b/>
                <w:bCs/>
                <w:color w:val="FF0000"/>
                <w:sz w:val="18"/>
                <w:szCs w:val="18"/>
              </w:rPr>
              <w:t>-$2,851,609</w:t>
            </w:r>
          </w:p>
        </w:tc>
        <w:tc>
          <w:tcPr>
            <w:tcW w:w="1968"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color w:val="FF0000"/>
                <w:sz w:val="18"/>
                <w:szCs w:val="18"/>
                <w:lang w:eastAsia="en-AU"/>
              </w:rPr>
            </w:pPr>
            <w:r>
              <w:rPr>
                <w:rFonts w:cs="Calibri"/>
                <w:b/>
                <w:bCs/>
                <w:color w:val="FF0000"/>
                <w:sz w:val="18"/>
                <w:szCs w:val="18"/>
              </w:rPr>
              <w:t>-$24,054,271</w:t>
            </w:r>
          </w:p>
        </w:tc>
        <w:tc>
          <w:tcPr>
            <w:tcW w:w="1376"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CC24B0" w:rsidRPr="00AA425C" w:rsidRDefault="00CC24B0" w:rsidP="00CC24B0">
            <w:pPr>
              <w:jc w:val="right"/>
              <w:rPr>
                <w:rFonts w:eastAsia="Times New Roman" w:cs="Calibri"/>
                <w:b/>
                <w:bCs/>
                <w:color w:val="53565A"/>
                <w:sz w:val="18"/>
                <w:szCs w:val="18"/>
                <w:lang w:eastAsia="en-AU"/>
              </w:rPr>
            </w:pPr>
            <w:r w:rsidRPr="00AA425C">
              <w:rPr>
                <w:rFonts w:cs="Calibri"/>
                <w:b/>
                <w:bCs/>
                <w:color w:val="53565A"/>
                <w:sz w:val="18"/>
                <w:szCs w:val="18"/>
              </w:rPr>
              <w:t>100.00%</w:t>
            </w:r>
          </w:p>
        </w:tc>
      </w:tr>
      <w:tr w:rsidR="00CC24B0" w:rsidRPr="00207474" w:rsidTr="00CC24B0">
        <w:trPr>
          <w:trHeight w:val="240"/>
        </w:trPr>
        <w:tc>
          <w:tcPr>
            <w:tcW w:w="1351"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rPr>
                <w:rFonts w:eastAsia="Times New Roman" w:cs="Calibri"/>
                <w:b/>
                <w:bCs/>
                <w:i/>
                <w:iCs/>
                <w:sz w:val="18"/>
                <w:szCs w:val="18"/>
                <w:lang w:eastAsia="en-AU"/>
              </w:rPr>
            </w:pPr>
            <w:r w:rsidRPr="00207474">
              <w:rPr>
                <w:rFonts w:eastAsia="Times New Roman" w:cs="Calibri"/>
                <w:b/>
                <w:bCs/>
                <w:i/>
                <w:iCs/>
                <w:sz w:val="18"/>
                <w:szCs w:val="18"/>
                <w:lang w:eastAsia="en-AU"/>
              </w:rPr>
              <w:t>Total net costs</w:t>
            </w:r>
          </w:p>
        </w:tc>
        <w:tc>
          <w:tcPr>
            <w:tcW w:w="1533"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i/>
                <w:iCs/>
                <w:sz w:val="18"/>
                <w:szCs w:val="18"/>
                <w:lang w:eastAsia="en-AU"/>
              </w:rPr>
            </w:pPr>
            <w:r w:rsidRPr="00207474">
              <w:rPr>
                <w:rFonts w:eastAsia="Times New Roman" w:cs="Calibri"/>
                <w:b/>
                <w:bCs/>
                <w:i/>
                <w:iCs/>
                <w:sz w:val="18"/>
                <w:szCs w:val="18"/>
                <w:lang w:eastAsia="en-AU"/>
              </w:rPr>
              <w:t>$19,344,431</w:t>
            </w:r>
          </w:p>
        </w:tc>
        <w:tc>
          <w:tcPr>
            <w:tcW w:w="220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i/>
                <w:iCs/>
                <w:sz w:val="18"/>
                <w:szCs w:val="18"/>
                <w:lang w:eastAsia="en-AU"/>
              </w:rPr>
            </w:pPr>
            <w:r>
              <w:rPr>
                <w:rFonts w:cs="Calibri"/>
                <w:b/>
                <w:bCs/>
                <w:i/>
                <w:iCs/>
                <w:sz w:val="18"/>
                <w:szCs w:val="18"/>
              </w:rPr>
              <w:t>$9,790,991</w:t>
            </w:r>
          </w:p>
        </w:tc>
        <w:tc>
          <w:tcPr>
            <w:tcW w:w="196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207474" w:rsidRDefault="00CC24B0" w:rsidP="00CC24B0">
            <w:pPr>
              <w:jc w:val="right"/>
              <w:rPr>
                <w:rFonts w:eastAsia="Times New Roman" w:cs="Calibri"/>
                <w:b/>
                <w:bCs/>
                <w:i/>
                <w:iCs/>
                <w:sz w:val="18"/>
                <w:szCs w:val="18"/>
                <w:lang w:eastAsia="en-AU"/>
              </w:rPr>
            </w:pPr>
            <w:r>
              <w:rPr>
                <w:rFonts w:cs="Calibri"/>
                <w:b/>
                <w:bCs/>
                <w:i/>
                <w:iCs/>
                <w:sz w:val="18"/>
                <w:szCs w:val="18"/>
              </w:rPr>
              <w:t>$102,062,926</w:t>
            </w:r>
          </w:p>
        </w:tc>
        <w:tc>
          <w:tcPr>
            <w:tcW w:w="1376"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CC24B0" w:rsidRPr="00207474" w:rsidRDefault="00CC24B0" w:rsidP="00CC24B0">
            <w:pPr>
              <w:rPr>
                <w:rFonts w:eastAsia="Times New Roman" w:cs="Calibri"/>
                <w:b/>
                <w:bCs/>
                <w:i/>
                <w:iCs/>
                <w:sz w:val="18"/>
                <w:szCs w:val="18"/>
                <w:lang w:eastAsia="en-AU"/>
              </w:rPr>
            </w:pPr>
            <w:r>
              <w:rPr>
                <w:rFonts w:cs="Calibri"/>
                <w:b/>
                <w:bCs/>
                <w:i/>
                <w:iCs/>
                <w:sz w:val="18"/>
                <w:szCs w:val="18"/>
              </w:rPr>
              <w:t> </w:t>
            </w:r>
          </w:p>
        </w:tc>
      </w:tr>
    </w:tbl>
    <w:p w:rsidR="00A05891" w:rsidRDefault="00A05891" w:rsidP="00AA425C"/>
    <w:p w:rsidR="00AA425C" w:rsidRDefault="00AA425C">
      <w:pPr>
        <w:rPr>
          <w:i/>
          <w:color w:val="53565A"/>
          <w:sz w:val="24"/>
          <w:szCs w:val="24"/>
        </w:rPr>
      </w:pPr>
      <w:bookmarkStart w:id="289" w:name="_Toc469529243"/>
      <w:r>
        <w:br w:type="page"/>
      </w:r>
    </w:p>
    <w:p w:rsidR="003E578A" w:rsidRDefault="00EA26DD" w:rsidP="005E307C">
      <w:pPr>
        <w:pStyle w:val="Heading3"/>
      </w:pPr>
      <w:bookmarkStart w:id="290" w:name="_Toc477190267"/>
      <w:r>
        <w:lastRenderedPageBreak/>
        <w:t>A4.17</w:t>
      </w:r>
      <w:r w:rsidR="003E578A">
        <w:t>.11 Summary of total incremental costs of Option 6</w:t>
      </w:r>
      <w:bookmarkEnd w:id="289"/>
      <w:bookmarkEnd w:id="290"/>
    </w:p>
    <w:p w:rsidR="003E578A" w:rsidRDefault="003E578A" w:rsidP="003E578A">
      <w:pPr>
        <w:jc w:val="both"/>
      </w:pPr>
      <w:r>
        <w:t>The summary of net incremental costs under Option 6 would be identical to Option 3 except for the reduced requirements for rearing (16 weeks to 18 months for all dogs) under this option (i.e. reduction of requirements under proposed standard 6.3.9).</w:t>
      </w:r>
      <w:r w:rsidR="007B521C">
        <w:t xml:space="preserve"> </w:t>
      </w:r>
      <w:r>
        <w:t>Based on all estimations in Sections A4.2 to A4.14 of Appendix 4 the total additional cost of Option 6, as comp</w:t>
      </w:r>
      <w:r w:rsidR="00DD2AC2">
        <w:t>ared to the base case, is $99.</w:t>
      </w:r>
      <w:r w:rsidR="00CC24B0">
        <w:t>97</w:t>
      </w:r>
      <w:r>
        <w:t>m over 10 years in present value dollars with one-off costs of $</w:t>
      </w:r>
      <w:r w:rsidR="00DD2AC2">
        <w:t>19.34m and annual costs of $9.5</w:t>
      </w:r>
      <w:r w:rsidR="00CC24B0">
        <w:t>4</w:t>
      </w:r>
      <w:r>
        <w:t>m</w:t>
      </w:r>
      <w:r w:rsidR="00F06448">
        <w:t>, as shown in Table A4.34</w:t>
      </w:r>
    </w:p>
    <w:p w:rsidR="00A05891" w:rsidRDefault="00A05891" w:rsidP="00AA425C"/>
    <w:p w:rsidR="00F06448" w:rsidRDefault="00F06448" w:rsidP="00F06448">
      <w:pPr>
        <w:jc w:val="center"/>
        <w:rPr>
          <w:b/>
          <w:sz w:val="20"/>
        </w:rPr>
      </w:pPr>
      <w:r>
        <w:rPr>
          <w:b/>
          <w:sz w:val="20"/>
        </w:rPr>
        <w:t>Table A4.31</w:t>
      </w:r>
      <w:r w:rsidRPr="000D1D99">
        <w:rPr>
          <w:b/>
          <w:sz w:val="20"/>
        </w:rPr>
        <w:t xml:space="preserve">: </w:t>
      </w:r>
      <w:r>
        <w:rPr>
          <w:b/>
          <w:sz w:val="20"/>
        </w:rPr>
        <w:t xml:space="preserve">Summary of net incremental </w:t>
      </w:r>
      <w:r w:rsidRPr="000D1D99">
        <w:rPr>
          <w:b/>
          <w:sz w:val="20"/>
        </w:rPr>
        <w:t>cost</w:t>
      </w:r>
      <w:r>
        <w:rPr>
          <w:b/>
          <w:sz w:val="20"/>
        </w:rPr>
        <w:t>s of Option 6</w:t>
      </w:r>
    </w:p>
    <w:p w:rsidR="00F06448" w:rsidRDefault="00F06448" w:rsidP="00AA425C"/>
    <w:tbl>
      <w:tblPr>
        <w:tblW w:w="9481" w:type="dxa"/>
        <w:jc w:val="center"/>
        <w:tblLook w:val="04A0" w:firstRow="1" w:lastRow="0" w:firstColumn="1" w:lastColumn="0" w:noHBand="0" w:noVBand="1"/>
      </w:tblPr>
      <w:tblGrid>
        <w:gridCol w:w="971"/>
        <w:gridCol w:w="1637"/>
        <w:gridCol w:w="1316"/>
        <w:gridCol w:w="1207"/>
        <w:gridCol w:w="1051"/>
        <w:gridCol w:w="1130"/>
        <w:gridCol w:w="1039"/>
        <w:gridCol w:w="1130"/>
      </w:tblGrid>
      <w:tr w:rsidR="00EF5127" w:rsidRPr="00AA425C" w:rsidTr="00C357B6">
        <w:trPr>
          <w:trHeight w:val="840"/>
          <w:jc w:val="center"/>
        </w:trPr>
        <w:tc>
          <w:tcPr>
            <w:tcW w:w="971"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20"/>
                <w:szCs w:val="20"/>
                <w:lang w:eastAsia="en-AU"/>
              </w:rPr>
            </w:pPr>
            <w:r w:rsidRPr="00AA425C">
              <w:rPr>
                <w:rFonts w:eastAsia="Times New Roman" w:cs="Calibri"/>
                <w:b/>
                <w:bCs/>
                <w:color w:val="53565A"/>
                <w:sz w:val="20"/>
                <w:szCs w:val="20"/>
                <w:lang w:eastAsia="en-AU"/>
              </w:rPr>
              <w:t>Standard</w:t>
            </w:r>
          </w:p>
        </w:tc>
        <w:tc>
          <w:tcPr>
            <w:tcW w:w="1637"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20"/>
                <w:szCs w:val="20"/>
                <w:lang w:eastAsia="en-AU"/>
              </w:rPr>
            </w:pPr>
            <w:r w:rsidRPr="00AA425C">
              <w:rPr>
                <w:rFonts w:eastAsia="Times New Roman" w:cs="Calibri"/>
                <w:b/>
                <w:bCs/>
                <w:color w:val="53565A"/>
                <w:sz w:val="20"/>
                <w:szCs w:val="20"/>
                <w:lang w:eastAsia="en-AU"/>
              </w:rPr>
              <w:t>Cost description</w:t>
            </w:r>
          </w:p>
        </w:tc>
        <w:tc>
          <w:tcPr>
            <w:tcW w:w="1316"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20"/>
                <w:szCs w:val="20"/>
                <w:lang w:eastAsia="en-AU"/>
              </w:rPr>
            </w:pPr>
            <w:r w:rsidRPr="00AA425C">
              <w:rPr>
                <w:rFonts w:eastAsia="Times New Roman" w:cs="Calibri"/>
                <w:b/>
                <w:bCs/>
                <w:color w:val="53565A"/>
                <w:sz w:val="20"/>
                <w:szCs w:val="20"/>
                <w:lang w:eastAsia="en-AU"/>
              </w:rPr>
              <w:t>Cost incurred by</w:t>
            </w:r>
          </w:p>
        </w:tc>
        <w:tc>
          <w:tcPr>
            <w:tcW w:w="1207"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Estimated No. participants</w:t>
            </w:r>
          </w:p>
        </w:tc>
        <w:tc>
          <w:tcPr>
            <w:tcW w:w="1051"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Estimated No. animals affected</w:t>
            </w:r>
          </w:p>
        </w:tc>
        <w:tc>
          <w:tcPr>
            <w:tcW w:w="1130"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One-off cost</w:t>
            </w:r>
          </w:p>
        </w:tc>
        <w:tc>
          <w:tcPr>
            <w:tcW w:w="1039" w:type="dxa"/>
            <w:tcBorders>
              <w:top w:val="single" w:sz="4" w:space="0" w:color="1F4E78"/>
              <w:left w:val="nil"/>
              <w:bottom w:val="double" w:sz="6" w:space="0" w:color="1F4E78"/>
              <w:right w:val="nil"/>
            </w:tcBorders>
            <w:shd w:val="clear" w:color="000000" w:fill="FFFFFF"/>
            <w:vAlign w:val="bottom"/>
            <w:hideMark/>
          </w:tcPr>
          <w:p w:rsidR="00EF5127" w:rsidRPr="00AA425C" w:rsidRDefault="00EF5127" w:rsidP="00EF5127">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Annual cost</w:t>
            </w:r>
          </w:p>
        </w:tc>
        <w:tc>
          <w:tcPr>
            <w:tcW w:w="1130" w:type="dxa"/>
            <w:tcBorders>
              <w:top w:val="single" w:sz="4" w:space="0" w:color="1F4E78"/>
              <w:left w:val="nil"/>
              <w:bottom w:val="double" w:sz="6" w:space="0" w:color="1F4E78"/>
              <w:right w:val="nil"/>
            </w:tcBorders>
            <w:shd w:val="clear" w:color="auto" w:fill="DBE5F1" w:themeFill="accent1" w:themeFillTint="33"/>
            <w:vAlign w:val="bottom"/>
            <w:hideMark/>
          </w:tcPr>
          <w:p w:rsidR="00EF5127" w:rsidRPr="00AA425C" w:rsidRDefault="00EF5127" w:rsidP="00EF5127">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10-year PV cost</w:t>
            </w:r>
          </w:p>
        </w:tc>
      </w:tr>
      <w:tr w:rsidR="00EF5127" w:rsidRPr="00EF5127" w:rsidTr="00EF5127">
        <w:trPr>
          <w:trHeight w:val="31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3.1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Staff Ratio 1:25</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353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$940,995</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$7,937,607</w:t>
            </w:r>
          </w:p>
        </w:tc>
      </w:tr>
      <w:tr w:rsidR="00EF5127" w:rsidRPr="00AA425C" w:rsidTr="00EF5127">
        <w:trPr>
          <w:trHeight w:val="27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3.1</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Staff Ratio 1:25</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353</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$940,995</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$7,937,607</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3.6</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Independent VET</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Owners who are VETs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$508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$4,282</w:t>
            </w:r>
          </w:p>
        </w:tc>
      </w:tr>
      <w:tr w:rsidR="00EF5127" w:rsidRPr="00AA425C" w:rsidTr="00EF5127">
        <w:trPr>
          <w:trHeight w:val="255"/>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3.6</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Independent VET</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23</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$508</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$4,282</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4.1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management plans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$3,926</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$2,227</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$22,713</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4.1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management plans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$37,422</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$49,319</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$453,445</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4.1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management plans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$13,277</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$9,805</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$95,984</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4.1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management plans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1,153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$95,744</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$138,402</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$1,263,213</w:t>
            </w:r>
          </w:p>
        </w:tc>
      </w:tr>
      <w:tr w:rsidR="00EF5127" w:rsidRPr="00AA425C" w:rsidTr="00EF5127">
        <w:trPr>
          <w:trHeight w:val="255"/>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4.1</w:t>
            </w:r>
          </w:p>
        </w:tc>
        <w:tc>
          <w:tcPr>
            <w:tcW w:w="1637" w:type="dxa"/>
            <w:tcBorders>
              <w:top w:val="nil"/>
              <w:left w:val="nil"/>
              <w:bottom w:val="single" w:sz="4"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Health management plans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Total </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1,665</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$150,370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$199,753</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$1,835,355</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 keeping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$1,551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$13,082</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 keeping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$31,078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$262,150</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 keeping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$3,463</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$29,211</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 keeping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1,153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$44,446</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$374,921</w:t>
            </w:r>
          </w:p>
        </w:tc>
      </w:tr>
      <w:tr w:rsidR="00EF5127" w:rsidRPr="00AA425C" w:rsidTr="00EF5127">
        <w:trPr>
          <w:trHeight w:val="255"/>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5</w:t>
            </w:r>
          </w:p>
        </w:tc>
        <w:tc>
          <w:tcPr>
            <w:tcW w:w="1637" w:type="dxa"/>
            <w:tcBorders>
              <w:top w:val="nil"/>
              <w:left w:val="nil"/>
              <w:bottom w:val="single" w:sz="4"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Record keeping</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1,665</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$80,538</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$679,363</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5.2.1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Records of health &amp; transfer</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$2,481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$20,931</w:t>
            </w:r>
          </w:p>
        </w:tc>
      </w:tr>
      <w:tr w:rsidR="00EF5127" w:rsidRPr="00EF5127" w:rsidTr="00EF5127">
        <w:trPr>
          <w:trHeight w:val="255"/>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5.2.1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Records of health &amp; transfer</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$49,724</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$419,440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5.2.1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Records of health &amp; transfer</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$5,541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$46,737</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5.2.1</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Records of health &amp; transfer</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1,153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$71,114</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$599,873</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5.2.1</w:t>
            </w:r>
          </w:p>
        </w:tc>
        <w:tc>
          <w:tcPr>
            <w:tcW w:w="1637" w:type="dxa"/>
            <w:tcBorders>
              <w:top w:val="nil"/>
              <w:left w:val="nil"/>
              <w:bottom w:val="single" w:sz="4"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Records of health &amp; transfer</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1,665</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$128,860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$1,086,981</w:t>
            </w:r>
          </w:p>
        </w:tc>
      </w:tr>
      <w:tr w:rsidR="00EF5127" w:rsidRPr="00EF5127" w:rsidTr="00EF5127">
        <w:trPr>
          <w:trHeight w:val="27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6.1.1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receptacle and hygiene</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$2,731</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$3,590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$33,011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6.1.1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receptacle and hygiene</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$54,737</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$71,935</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$661,532</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6.1.1</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receptacle and hygiene</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430</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5,747</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$57,468</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$75,525</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$694,544</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6.1.1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storage</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$6,400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$6,400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storage</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$6,400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$6,400</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6.1.1</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storage</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3.2</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320</w:t>
            </w:r>
          </w:p>
        </w:tc>
        <w:tc>
          <w:tcPr>
            <w:tcW w:w="1130" w:type="dxa"/>
            <w:tcBorders>
              <w:top w:val="nil"/>
              <w:left w:val="nil"/>
              <w:bottom w:val="single" w:sz="4" w:space="0" w:color="1F4E78"/>
              <w:right w:val="nil"/>
            </w:tcBorders>
            <w:shd w:val="clear" w:color="000000" w:fill="FFFFFF"/>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$12,800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$12,800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 xml:space="preserve">Health checks </w:t>
            </w:r>
            <w:r w:rsidRPr="00EF5127">
              <w:rPr>
                <w:rFonts w:eastAsia="Times New Roman" w:cs="Calibri"/>
                <w:sz w:val="18"/>
                <w:szCs w:val="18"/>
                <w:lang w:eastAsia="en-AU"/>
              </w:rPr>
              <w:lastRenderedPageBreak/>
              <w:t>(breeding females)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lastRenderedPageBreak/>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21</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$7,710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$65,041</w:t>
            </w:r>
          </w:p>
        </w:tc>
      </w:tr>
      <w:tr w:rsidR="00EF5127" w:rsidRPr="00EF5127" w:rsidTr="00EF5127">
        <w:trPr>
          <w:trHeight w:val="21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lastRenderedPageBreak/>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(breeding females)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429</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$154,515</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$1,303,387</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6.2.3</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Health checks (breeding females)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34</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451</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$162,226</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$1,368,428</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(all greyhounds)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$32,777</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$276,486</w:t>
            </w:r>
          </w:p>
        </w:tc>
      </w:tr>
      <w:tr w:rsidR="00EF5127" w:rsidRPr="00EF5127" w:rsidTr="00EF5127">
        <w:trPr>
          <w:trHeight w:val="21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(all greyhounds)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$656,841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$5,540,669</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(all greyhounds)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610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$73,190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$617,380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6.2.3</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Health checks (all greyhounds)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1,153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7,828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$939,397</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$7,924,122</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6.2.3</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Health checks (all greyhounds)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1,665</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$1,702,204</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$14,358,657</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(8 to 16 weeks)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$1,071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$9,038</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(8 to 16 weeks)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2,684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$21,471</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$181,111</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6.3.9</w:t>
            </w:r>
          </w:p>
        </w:tc>
        <w:tc>
          <w:tcPr>
            <w:tcW w:w="1637" w:type="dxa"/>
            <w:tcBorders>
              <w:top w:val="nil"/>
              <w:left w:val="nil"/>
              <w:bottom w:val="single" w:sz="4" w:space="0" w:color="1F4E78"/>
              <w:right w:val="nil"/>
            </w:tcBorders>
            <w:shd w:val="clear" w:color="000000" w:fill="FFFFFF"/>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Rearing (8 to 16 weeks)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2,818</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$22,542</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$190,149</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(16 weeks to 18 months)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 (rearing)</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$26,480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$223,371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(16 weeks to 18 months)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 (rearing)</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2,684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$908,459</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$7,663,152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(16 weeks to 18 months)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 (breaking in)</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188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$39,468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$332,923</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6.3.9</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Rearing (16 weeks to 18 months )</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 (breaking in)</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2,408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$1,326,443</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$11,188,988</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6.3.9</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Rearing ( 16 weeks to 18 months)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5,413</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$2,300,850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$19,408,434</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and shelter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21</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-$12,114</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-$102,182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and shelter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825</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-$472,383</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-$3,984,707</w:t>
            </w:r>
          </w:p>
        </w:tc>
      </w:tr>
      <w:tr w:rsidR="00EF5127" w:rsidRPr="00EF5127"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and shelter (cost savings)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846</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-$484,497</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-$4,086,889</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-$8,838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-$74,550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2,872</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-$344,642</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-$2,907,171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159</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-$19,120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-$161,284</w:t>
            </w:r>
          </w:p>
        </w:tc>
      </w:tr>
      <w:tr w:rsidR="00EF5127" w:rsidRPr="00EF5127"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Euthanasia (cost savings)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2,946</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-$372,600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-$3,143,005</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Rehoming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39</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-$20,666</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-$174,324</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Rehoming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1,523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-$805,892</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-$6,797,970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Rehoming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686</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-$426,099</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-$3,594,283</w:t>
            </w:r>
          </w:p>
        </w:tc>
      </w:tr>
      <w:tr w:rsidR="00EF5127" w:rsidRPr="00EF5127"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Rehoming (cost savings)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1,562</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-$1,252,657</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-$10,566,577</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Rehabilitation (cost savings)</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846</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-$741,856</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FF0000"/>
                <w:sz w:val="18"/>
                <w:szCs w:val="18"/>
                <w:lang w:eastAsia="en-AU"/>
              </w:rPr>
            </w:pPr>
            <w:r w:rsidRPr="00EF5127">
              <w:rPr>
                <w:rFonts w:eastAsia="Times New Roman" w:cs="Calibri"/>
                <w:color w:val="FF0000"/>
                <w:sz w:val="18"/>
                <w:szCs w:val="18"/>
                <w:lang w:eastAsia="en-AU"/>
              </w:rPr>
              <w:t>-$6,257,801</w:t>
            </w:r>
          </w:p>
        </w:tc>
      </w:tr>
      <w:tr w:rsidR="00EF5127" w:rsidRPr="00EF5127"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Rehabilitation (cost savings)</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846</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-$741,856</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b/>
                <w:bCs/>
                <w:color w:val="FF0000"/>
                <w:sz w:val="18"/>
                <w:szCs w:val="18"/>
                <w:lang w:eastAsia="en-AU"/>
              </w:rPr>
            </w:pPr>
            <w:r w:rsidRPr="00EF5127">
              <w:rPr>
                <w:rFonts w:eastAsia="Times New Roman" w:cs="Calibri"/>
                <w:b/>
                <w:bCs/>
                <w:color w:val="FF0000"/>
                <w:sz w:val="18"/>
                <w:szCs w:val="18"/>
                <w:lang w:eastAsia="en-AU"/>
              </w:rPr>
              <w:t>-$6,257,801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Rehabilitation</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72</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$40,140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$338,595</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Rehabilitation</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2,813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$1,565,309</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$13,203,897</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lastRenderedPageBreak/>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Rehabilitation</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2,885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$1,605,449</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$13,542,492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Rehoming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72</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$21,642</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$182,560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Rehoming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2,813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$843,968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$7,119,147</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Rehoming</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2,885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$865,610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$7,301,707</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51</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$6,120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$51,622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owner</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Unknown</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1,989</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$238,644</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$2,013,044</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Euthanasia</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Unknown</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2,040</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$244,764</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$2,064,666</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Food and shelter</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2,885</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$154,287</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$1,301,462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6.3.12</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Euthanasia</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GAP</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29</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$3,462</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$29,207</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6.3.12</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Food and shelter/Euthanasia</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2,914</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$157,749</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$1,330,669</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6.6.4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Perimeter fencing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273</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$266,230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$266,230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6.6.4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Perimeter fencing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5,474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$2,652,542</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$2,652,542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6.6.4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Perimeter fencing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82</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610</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$1,069,194</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$1,069,194</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6.6.4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Perimeter fencing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1153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color w:val="auto"/>
                <w:sz w:val="18"/>
                <w:szCs w:val="18"/>
                <w:lang w:eastAsia="en-AU"/>
              </w:rPr>
            </w:pPr>
            <w:r w:rsidRPr="00EF5127">
              <w:rPr>
                <w:rFonts w:eastAsia="Times New Roman" w:cs="Calibri"/>
                <w:color w:val="auto"/>
                <w:sz w:val="18"/>
                <w:szCs w:val="18"/>
                <w:lang w:eastAsia="en-AU"/>
              </w:rPr>
              <w:t>7,828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$7,190,236</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$7,190,236</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6.6.4 </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Perimeter fencing</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1665</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$11,178,202</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$11,178,202</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6.6.5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Outdoor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67</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$190,844</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$190,844</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6.6.5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Outdoor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1342</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$3,824,436</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$3,824,436</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6.6.5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Outdoor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$267,291</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$267,291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xml:space="preserve">6.6.5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Outdoor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1204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$3,430,700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$3,430,700</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xml:space="preserve">6.6.5 </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Outdoor housing</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270</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2706</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$7,713,271</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$7,713,271</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6.6.6</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Indoor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46</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$1,163</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$1,163</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6.6.6</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Indoor housing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446</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3,328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$84,750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$84,750</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6.6.6</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Indoor housing</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452</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3,374</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$85,913</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$85,913</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7.1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Sale and transfer out of industry</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5</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71</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$80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$676</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7.1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Sale and transfer out of industry</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breeders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96</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1,415</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$1,607</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$13,555</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7.1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Sale and transfer out of industry</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Large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158</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$179</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$1,510</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7.1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Sale and transfer out of industry</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Small trainers</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271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2,024</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$2,298</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$19,386</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7.1</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Sale and transfer out of industry</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3,667</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$416</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$3,505</w:t>
            </w:r>
          </w:p>
        </w:tc>
      </w:tr>
      <w:tr w:rsidR="00EF5127" w:rsidRPr="00AA425C" w:rsidTr="00EF5127">
        <w:trPr>
          <w:trHeight w:val="240"/>
          <w:jc w:val="center"/>
        </w:trPr>
        <w:tc>
          <w:tcPr>
            <w:tcW w:w="97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7.1</w:t>
            </w:r>
          </w:p>
        </w:tc>
        <w:tc>
          <w:tcPr>
            <w:tcW w:w="163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Sale and transfer out of industry</w:t>
            </w:r>
          </w:p>
        </w:tc>
        <w:tc>
          <w:tcPr>
            <w:tcW w:w="1316"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394</w:t>
            </w:r>
          </w:p>
        </w:tc>
        <w:tc>
          <w:tcPr>
            <w:tcW w:w="1051"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3,667</w:t>
            </w:r>
          </w:p>
        </w:tc>
        <w:tc>
          <w:tcPr>
            <w:tcW w:w="1130"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$0</w:t>
            </w:r>
          </w:p>
        </w:tc>
        <w:tc>
          <w:tcPr>
            <w:tcW w:w="1039" w:type="dxa"/>
            <w:tcBorders>
              <w:top w:val="nil"/>
              <w:left w:val="nil"/>
              <w:bottom w:val="single" w:sz="4" w:space="0" w:color="1F4E78"/>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$4,580</w:t>
            </w:r>
          </w:p>
        </w:tc>
        <w:tc>
          <w:tcPr>
            <w:tcW w:w="1130" w:type="dxa"/>
            <w:tcBorders>
              <w:top w:val="nil"/>
              <w:left w:val="nil"/>
              <w:bottom w:val="single" w:sz="4" w:space="0" w:color="1F4E78"/>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$38,633</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Enforcement (staffing)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24 staff</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14,185</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$2,289,050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$19,437,135</w:t>
            </w:r>
          </w:p>
        </w:tc>
      </w:tr>
      <w:tr w:rsidR="00EF5127" w:rsidRPr="00EF5127"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EF5127" w:rsidRDefault="00EF5127" w:rsidP="00EF5127">
            <w:pPr>
              <w:jc w:val="center"/>
              <w:rPr>
                <w:rFonts w:eastAsia="Times New Roman" w:cs="Calibri"/>
                <w:sz w:val="18"/>
                <w:szCs w:val="18"/>
                <w:lang w:eastAsia="en-AU"/>
              </w:rPr>
            </w:pPr>
            <w:r w:rsidRPr="00EF5127">
              <w:rPr>
                <w:rFonts w:eastAsia="Times New Roman" w:cs="Calibri"/>
                <w:sz w:val="18"/>
                <w:szCs w:val="18"/>
                <w:lang w:eastAsia="en-AU"/>
              </w:rPr>
              <w:t> </w:t>
            </w:r>
          </w:p>
        </w:tc>
        <w:tc>
          <w:tcPr>
            <w:tcW w:w="1637"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Enforcement (training)</w:t>
            </w:r>
          </w:p>
        </w:tc>
        <w:tc>
          <w:tcPr>
            <w:tcW w:w="1316" w:type="dxa"/>
            <w:tcBorders>
              <w:top w:val="nil"/>
              <w:left w:val="nil"/>
              <w:bottom w:val="nil"/>
              <w:right w:val="nil"/>
            </w:tcBorders>
            <w:shd w:val="clear" w:color="000000" w:fill="FFFFFF"/>
            <w:noWrap/>
            <w:vAlign w:val="bottom"/>
            <w:hideMark/>
          </w:tcPr>
          <w:p w:rsidR="00EF5127" w:rsidRPr="00EF5127" w:rsidRDefault="00EF5127" w:rsidP="00EF5127">
            <w:pPr>
              <w:rPr>
                <w:rFonts w:eastAsia="Times New Roman" w:cs="Calibri"/>
                <w:sz w:val="18"/>
                <w:szCs w:val="18"/>
                <w:lang w:eastAsia="en-AU"/>
              </w:rPr>
            </w:pPr>
            <w:r w:rsidRPr="00EF5127">
              <w:rPr>
                <w:rFonts w:eastAsia="Times New Roman" w:cs="Calibri"/>
                <w:sz w:val="18"/>
                <w:szCs w:val="18"/>
                <w:lang w:eastAsia="en-AU"/>
              </w:rPr>
              <w:t>GRV</w:t>
            </w:r>
          </w:p>
        </w:tc>
        <w:tc>
          <w:tcPr>
            <w:tcW w:w="1207"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24 staff</w:t>
            </w:r>
          </w:p>
        </w:tc>
        <w:tc>
          <w:tcPr>
            <w:tcW w:w="1051"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14,185</w:t>
            </w:r>
          </w:p>
        </w:tc>
        <w:tc>
          <w:tcPr>
            <w:tcW w:w="1130"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$146,407</w:t>
            </w:r>
          </w:p>
        </w:tc>
        <w:tc>
          <w:tcPr>
            <w:tcW w:w="1039" w:type="dxa"/>
            <w:tcBorders>
              <w:top w:val="nil"/>
              <w:left w:val="nil"/>
              <w:bottom w:val="nil"/>
              <w:right w:val="nil"/>
            </w:tcBorders>
            <w:shd w:val="clear" w:color="000000" w:fill="FFFFFF"/>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$0</w:t>
            </w:r>
          </w:p>
        </w:tc>
        <w:tc>
          <w:tcPr>
            <w:tcW w:w="1130" w:type="dxa"/>
            <w:tcBorders>
              <w:top w:val="nil"/>
              <w:left w:val="nil"/>
              <w:bottom w:val="nil"/>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sz w:val="18"/>
                <w:szCs w:val="18"/>
                <w:lang w:eastAsia="en-AU"/>
              </w:rPr>
            </w:pPr>
            <w:r w:rsidRPr="00EF5127">
              <w:rPr>
                <w:rFonts w:eastAsia="Times New Roman" w:cs="Calibri"/>
                <w:sz w:val="18"/>
                <w:szCs w:val="18"/>
                <w:lang w:eastAsia="en-AU"/>
              </w:rPr>
              <w:t>$146,407</w:t>
            </w:r>
          </w:p>
        </w:tc>
      </w:tr>
      <w:tr w:rsidR="00EF5127" w:rsidRPr="00AA425C" w:rsidTr="00EF5127">
        <w:trPr>
          <w:trHeight w:val="240"/>
          <w:jc w:val="center"/>
        </w:trPr>
        <w:tc>
          <w:tcPr>
            <w:tcW w:w="971" w:type="dxa"/>
            <w:tcBorders>
              <w:top w:val="nil"/>
              <w:left w:val="nil"/>
              <w:bottom w:val="nil"/>
              <w:right w:val="nil"/>
            </w:tcBorders>
            <w:shd w:val="clear" w:color="000000" w:fill="FFFFFF"/>
            <w:noWrap/>
            <w:vAlign w:val="bottom"/>
            <w:hideMark/>
          </w:tcPr>
          <w:p w:rsidR="00EF5127" w:rsidRPr="00AA425C" w:rsidRDefault="00EF5127" w:rsidP="00EF5127">
            <w:pPr>
              <w:jc w:val="center"/>
              <w:rPr>
                <w:rFonts w:eastAsia="Times New Roman" w:cs="Calibri"/>
                <w:b/>
                <w:bCs/>
                <w:color w:val="53565A"/>
                <w:sz w:val="18"/>
                <w:szCs w:val="18"/>
                <w:lang w:eastAsia="en-AU"/>
              </w:rPr>
            </w:pPr>
            <w:r w:rsidRPr="00AA425C">
              <w:rPr>
                <w:rFonts w:eastAsia="Times New Roman" w:cs="Calibri"/>
                <w:b/>
                <w:bCs/>
                <w:color w:val="53565A"/>
                <w:sz w:val="18"/>
                <w:szCs w:val="18"/>
                <w:lang w:eastAsia="en-AU"/>
              </w:rPr>
              <w:t> </w:t>
            </w:r>
          </w:p>
        </w:tc>
        <w:tc>
          <w:tcPr>
            <w:tcW w:w="1637" w:type="dxa"/>
            <w:tcBorders>
              <w:top w:val="nil"/>
              <w:left w:val="nil"/>
              <w:bottom w:val="nil"/>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Enforcement (staffing and training)</w:t>
            </w:r>
          </w:p>
        </w:tc>
        <w:tc>
          <w:tcPr>
            <w:tcW w:w="1316" w:type="dxa"/>
            <w:tcBorders>
              <w:top w:val="nil"/>
              <w:left w:val="nil"/>
              <w:bottom w:val="nil"/>
              <w:right w:val="nil"/>
            </w:tcBorders>
            <w:shd w:val="clear" w:color="000000" w:fill="FFFFFF"/>
            <w:noWrap/>
            <w:vAlign w:val="bottom"/>
            <w:hideMark/>
          </w:tcPr>
          <w:p w:rsidR="00EF5127" w:rsidRPr="00AA425C" w:rsidRDefault="00EF5127" w:rsidP="00EF5127">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w:t>
            </w:r>
          </w:p>
        </w:tc>
        <w:tc>
          <w:tcPr>
            <w:tcW w:w="1207" w:type="dxa"/>
            <w:tcBorders>
              <w:top w:val="nil"/>
              <w:left w:val="nil"/>
              <w:bottom w:val="nil"/>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24 staff</w:t>
            </w:r>
          </w:p>
        </w:tc>
        <w:tc>
          <w:tcPr>
            <w:tcW w:w="1051" w:type="dxa"/>
            <w:tcBorders>
              <w:top w:val="nil"/>
              <w:left w:val="nil"/>
              <w:bottom w:val="nil"/>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14,185</w:t>
            </w:r>
          </w:p>
        </w:tc>
        <w:tc>
          <w:tcPr>
            <w:tcW w:w="1130" w:type="dxa"/>
            <w:tcBorders>
              <w:top w:val="nil"/>
              <w:left w:val="nil"/>
              <w:bottom w:val="nil"/>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$146,407</w:t>
            </w:r>
          </w:p>
        </w:tc>
        <w:tc>
          <w:tcPr>
            <w:tcW w:w="1039" w:type="dxa"/>
            <w:tcBorders>
              <w:top w:val="nil"/>
              <w:left w:val="nil"/>
              <w:bottom w:val="nil"/>
              <w:right w:val="nil"/>
            </w:tcBorders>
            <w:shd w:val="clear" w:color="000000" w:fill="FFFFFF"/>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$2,289,050</w:t>
            </w:r>
          </w:p>
        </w:tc>
        <w:tc>
          <w:tcPr>
            <w:tcW w:w="1130" w:type="dxa"/>
            <w:tcBorders>
              <w:top w:val="nil"/>
              <w:left w:val="nil"/>
              <w:bottom w:val="nil"/>
              <w:right w:val="nil"/>
            </w:tcBorders>
            <w:shd w:val="clear" w:color="auto" w:fill="DBE5F1" w:themeFill="accent1" w:themeFillTint="33"/>
            <w:noWrap/>
            <w:vAlign w:val="bottom"/>
            <w:hideMark/>
          </w:tcPr>
          <w:p w:rsidR="00EF5127" w:rsidRPr="00AA425C" w:rsidRDefault="00EF5127" w:rsidP="00EF5127">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$19,583,542</w:t>
            </w:r>
          </w:p>
        </w:tc>
      </w:tr>
      <w:tr w:rsidR="00EF5127" w:rsidRPr="00EF5127" w:rsidTr="00EF5127">
        <w:trPr>
          <w:trHeight w:val="240"/>
          <w:jc w:val="center"/>
        </w:trPr>
        <w:tc>
          <w:tcPr>
            <w:tcW w:w="971"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rPr>
                <w:rFonts w:eastAsia="Times New Roman" w:cs="Calibri"/>
                <w:b/>
                <w:bCs/>
                <w:i/>
                <w:iCs/>
                <w:sz w:val="18"/>
                <w:szCs w:val="18"/>
                <w:lang w:eastAsia="en-AU"/>
              </w:rPr>
            </w:pPr>
            <w:r w:rsidRPr="00EF5127">
              <w:rPr>
                <w:rFonts w:eastAsia="Times New Roman" w:cs="Calibri"/>
                <w:b/>
                <w:bCs/>
                <w:i/>
                <w:iCs/>
                <w:sz w:val="18"/>
                <w:szCs w:val="18"/>
                <w:lang w:eastAsia="en-AU"/>
              </w:rPr>
              <w:t>Total</w:t>
            </w:r>
          </w:p>
        </w:tc>
        <w:tc>
          <w:tcPr>
            <w:tcW w:w="1637"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rPr>
                <w:rFonts w:eastAsia="Times New Roman" w:cs="Calibri"/>
                <w:b/>
                <w:bCs/>
                <w:i/>
                <w:iCs/>
                <w:sz w:val="18"/>
                <w:szCs w:val="18"/>
                <w:lang w:eastAsia="en-AU"/>
              </w:rPr>
            </w:pPr>
            <w:r w:rsidRPr="00EF5127">
              <w:rPr>
                <w:rFonts w:eastAsia="Times New Roman" w:cs="Calibri"/>
                <w:b/>
                <w:bCs/>
                <w:i/>
                <w:iCs/>
                <w:sz w:val="18"/>
                <w:szCs w:val="18"/>
                <w:lang w:eastAsia="en-AU"/>
              </w:rPr>
              <w:t> </w:t>
            </w:r>
          </w:p>
        </w:tc>
        <w:tc>
          <w:tcPr>
            <w:tcW w:w="1316"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rPr>
                <w:rFonts w:eastAsia="Times New Roman" w:cs="Calibri"/>
                <w:b/>
                <w:bCs/>
                <w:i/>
                <w:iCs/>
                <w:sz w:val="18"/>
                <w:szCs w:val="18"/>
                <w:lang w:eastAsia="en-AU"/>
              </w:rPr>
            </w:pPr>
            <w:r w:rsidRPr="00EF5127">
              <w:rPr>
                <w:rFonts w:eastAsia="Times New Roman" w:cs="Calibri"/>
                <w:b/>
                <w:bCs/>
                <w:i/>
                <w:iCs/>
                <w:sz w:val="18"/>
                <w:szCs w:val="18"/>
                <w:lang w:eastAsia="en-AU"/>
              </w:rPr>
              <w:t> </w:t>
            </w:r>
          </w:p>
        </w:tc>
        <w:tc>
          <w:tcPr>
            <w:tcW w:w="1207"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rPr>
                <w:rFonts w:eastAsia="Times New Roman" w:cs="Calibri"/>
                <w:b/>
                <w:bCs/>
                <w:i/>
                <w:iCs/>
                <w:sz w:val="18"/>
                <w:szCs w:val="18"/>
                <w:lang w:eastAsia="en-AU"/>
              </w:rPr>
            </w:pPr>
            <w:r w:rsidRPr="00EF5127">
              <w:rPr>
                <w:rFonts w:eastAsia="Times New Roman" w:cs="Calibri"/>
                <w:b/>
                <w:bCs/>
                <w:i/>
                <w:iCs/>
                <w:sz w:val="18"/>
                <w:szCs w:val="18"/>
                <w:lang w:eastAsia="en-AU"/>
              </w:rPr>
              <w:t> </w:t>
            </w:r>
          </w:p>
        </w:tc>
        <w:tc>
          <w:tcPr>
            <w:tcW w:w="1051"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rPr>
                <w:rFonts w:eastAsia="Times New Roman" w:cs="Calibri"/>
                <w:b/>
                <w:bCs/>
                <w:i/>
                <w:iCs/>
                <w:sz w:val="18"/>
                <w:szCs w:val="18"/>
                <w:lang w:eastAsia="en-AU"/>
              </w:rPr>
            </w:pPr>
            <w:r w:rsidRPr="00EF5127">
              <w:rPr>
                <w:rFonts w:eastAsia="Times New Roman" w:cs="Calibri"/>
                <w:b/>
                <w:bCs/>
                <w:i/>
                <w:iCs/>
                <w:sz w:val="18"/>
                <w:szCs w:val="18"/>
                <w:lang w:eastAsia="en-AU"/>
              </w:rPr>
              <w:t> </w:t>
            </w:r>
          </w:p>
        </w:tc>
        <w:tc>
          <w:tcPr>
            <w:tcW w:w="1130"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i/>
                <w:iCs/>
                <w:sz w:val="18"/>
                <w:szCs w:val="18"/>
                <w:lang w:eastAsia="en-AU"/>
              </w:rPr>
            </w:pPr>
            <w:r w:rsidRPr="00EF5127">
              <w:rPr>
                <w:rFonts w:eastAsia="Times New Roman" w:cs="Calibri"/>
                <w:b/>
                <w:bCs/>
                <w:i/>
                <w:iCs/>
                <w:sz w:val="18"/>
                <w:szCs w:val="18"/>
                <w:lang w:eastAsia="en-AU"/>
              </w:rPr>
              <w:t>$19,344,431</w:t>
            </w:r>
          </w:p>
        </w:tc>
        <w:tc>
          <w:tcPr>
            <w:tcW w:w="1039" w:type="dxa"/>
            <w:tcBorders>
              <w:top w:val="single" w:sz="4" w:space="0" w:color="1F4E78"/>
              <w:left w:val="nil"/>
              <w:bottom w:val="single" w:sz="4" w:space="0" w:color="1F4E78"/>
              <w:right w:val="nil"/>
            </w:tcBorders>
            <w:shd w:val="clear" w:color="000000" w:fill="FFFFFF"/>
            <w:noWrap/>
            <w:vAlign w:val="bottom"/>
            <w:hideMark/>
          </w:tcPr>
          <w:p w:rsidR="00EF5127" w:rsidRPr="00EF5127" w:rsidRDefault="00EF5127" w:rsidP="00EF5127">
            <w:pPr>
              <w:jc w:val="right"/>
              <w:rPr>
                <w:rFonts w:eastAsia="Times New Roman" w:cs="Calibri"/>
                <w:b/>
                <w:bCs/>
                <w:i/>
                <w:iCs/>
                <w:sz w:val="18"/>
                <w:szCs w:val="18"/>
                <w:lang w:eastAsia="en-AU"/>
              </w:rPr>
            </w:pPr>
            <w:r w:rsidRPr="00EF5127">
              <w:rPr>
                <w:rFonts w:eastAsia="Times New Roman" w:cs="Calibri"/>
                <w:b/>
                <w:bCs/>
                <w:i/>
                <w:iCs/>
                <w:sz w:val="18"/>
                <w:szCs w:val="18"/>
                <w:lang w:eastAsia="en-AU"/>
              </w:rPr>
              <w:t>$7,929,594</w:t>
            </w:r>
          </w:p>
        </w:tc>
        <w:tc>
          <w:tcPr>
            <w:tcW w:w="1130" w:type="dxa"/>
            <w:tcBorders>
              <w:top w:val="single" w:sz="4" w:space="0" w:color="1F4E78"/>
              <w:left w:val="nil"/>
              <w:bottom w:val="single" w:sz="4" w:space="0" w:color="1F4E78"/>
              <w:right w:val="nil"/>
            </w:tcBorders>
            <w:shd w:val="clear" w:color="auto" w:fill="DBE5F1" w:themeFill="accent1" w:themeFillTint="33"/>
            <w:noWrap/>
            <w:vAlign w:val="bottom"/>
            <w:hideMark/>
          </w:tcPr>
          <w:p w:rsidR="00EF5127" w:rsidRPr="00EF5127" w:rsidRDefault="00EF5127" w:rsidP="00EF5127">
            <w:pPr>
              <w:jc w:val="right"/>
              <w:rPr>
                <w:rFonts w:eastAsia="Times New Roman" w:cs="Calibri"/>
                <w:b/>
                <w:bCs/>
                <w:i/>
                <w:iCs/>
                <w:sz w:val="18"/>
                <w:szCs w:val="18"/>
                <w:lang w:eastAsia="en-AU"/>
              </w:rPr>
            </w:pPr>
            <w:r w:rsidRPr="00EF5127">
              <w:rPr>
                <w:rFonts w:eastAsia="Times New Roman" w:cs="Calibri"/>
                <w:b/>
                <w:bCs/>
                <w:i/>
                <w:iCs/>
                <w:sz w:val="18"/>
                <w:szCs w:val="18"/>
                <w:lang w:eastAsia="en-AU"/>
              </w:rPr>
              <w:t>$86,361,421</w:t>
            </w:r>
          </w:p>
        </w:tc>
      </w:tr>
    </w:tbl>
    <w:p w:rsidR="00143C8B" w:rsidRDefault="00143C8B" w:rsidP="00AA425C"/>
    <w:p w:rsidR="00143C8B" w:rsidRDefault="00143C8B" w:rsidP="00AA425C"/>
    <w:p w:rsidR="00AA425C" w:rsidRDefault="00AA425C">
      <w:pPr>
        <w:rPr>
          <w:i/>
          <w:color w:val="53565A"/>
          <w:sz w:val="24"/>
          <w:szCs w:val="24"/>
        </w:rPr>
      </w:pPr>
      <w:bookmarkStart w:id="291" w:name="_Toc469529244"/>
      <w:r>
        <w:br w:type="page"/>
      </w:r>
    </w:p>
    <w:p w:rsidR="003E578A" w:rsidRDefault="003E578A" w:rsidP="005E307C">
      <w:pPr>
        <w:pStyle w:val="Heading3"/>
      </w:pPr>
      <w:bookmarkStart w:id="292" w:name="_Toc477190268"/>
      <w:r>
        <w:lastRenderedPageBreak/>
        <w:t>A4</w:t>
      </w:r>
      <w:r w:rsidR="00EA26DD">
        <w:t>.17</w:t>
      </w:r>
      <w:r>
        <w:t>.12 Distribution of total incremental costs of Option 6</w:t>
      </w:r>
      <w:bookmarkEnd w:id="291"/>
      <w:bookmarkEnd w:id="292"/>
    </w:p>
    <w:p w:rsidR="003E578A" w:rsidRDefault="003E578A" w:rsidP="003E578A">
      <w:pPr>
        <w:jc w:val="both"/>
      </w:pPr>
      <w:r>
        <w:t>A total summary of the dist</w:t>
      </w:r>
      <w:r w:rsidR="00B13AD8">
        <w:t>ribution of costs under Option 6</w:t>
      </w:r>
      <w:r>
        <w:t xml:space="preserve"> is </w:t>
      </w:r>
      <w:r w:rsidR="00B13AD8">
        <w:t>provided for in Table A4.3</w:t>
      </w:r>
      <w:r w:rsidR="00F06448">
        <w:t>5</w:t>
      </w:r>
      <w:r>
        <w:t>.</w:t>
      </w:r>
      <w:r w:rsidR="007B521C">
        <w:t xml:space="preserve"> </w:t>
      </w:r>
      <w:r>
        <w:t>The largest share of 10-year present value cos</w:t>
      </w:r>
      <w:r w:rsidR="00997E45">
        <w:t>t is incurred by small owners (27.97</w:t>
      </w:r>
      <w:r>
        <w:t xml:space="preserve">%) followed by small </w:t>
      </w:r>
      <w:r w:rsidR="00997E45">
        <w:t>trainers (25.86</w:t>
      </w:r>
      <w:r>
        <w:t xml:space="preserve">%) small breeders </w:t>
      </w:r>
      <w:r w:rsidR="00997E45">
        <w:t>(18.52</w:t>
      </w:r>
      <w:r>
        <w:t>%)</w:t>
      </w:r>
      <w:r w:rsidR="00997E45">
        <w:t xml:space="preserve"> and GRV (15.79%)</w:t>
      </w:r>
      <w:r>
        <w:t>.</w:t>
      </w:r>
      <w:r w:rsidR="007B521C">
        <w:t xml:space="preserve"> </w:t>
      </w:r>
      <w:r>
        <w:t>Small owners are also likely to obtain the highest shar</w:t>
      </w:r>
      <w:r w:rsidR="00C9454A">
        <w:t>e of 56.</w:t>
      </w:r>
      <w:r w:rsidR="00CC24B0">
        <w:t>91</w:t>
      </w:r>
      <w:r>
        <w:t>% of all 10-year present value cost savings, followe</w:t>
      </w:r>
      <w:r w:rsidR="00C9454A">
        <w:t>d by GAP (4</w:t>
      </w:r>
      <w:r w:rsidR="00CC24B0">
        <w:t>1</w:t>
      </w:r>
      <w:r w:rsidR="00C9454A">
        <w:t>.</w:t>
      </w:r>
      <w:r w:rsidR="00CC24B0">
        <w:t>63</w:t>
      </w:r>
      <w:r w:rsidR="00B13AD8">
        <w:t>%) under Option 6</w:t>
      </w:r>
      <w:r>
        <w:t>.</w:t>
      </w:r>
    </w:p>
    <w:p w:rsidR="003E578A" w:rsidRDefault="003E578A" w:rsidP="003E578A">
      <w:pPr>
        <w:jc w:val="both"/>
      </w:pPr>
    </w:p>
    <w:p w:rsidR="003E578A" w:rsidRDefault="003E578A" w:rsidP="003E578A">
      <w:pPr>
        <w:jc w:val="center"/>
        <w:rPr>
          <w:b/>
          <w:sz w:val="20"/>
        </w:rPr>
      </w:pPr>
      <w:r w:rsidRPr="000A087D">
        <w:rPr>
          <w:b/>
          <w:sz w:val="20"/>
        </w:rPr>
        <w:t>Table A</w:t>
      </w:r>
      <w:r>
        <w:rPr>
          <w:b/>
          <w:sz w:val="20"/>
        </w:rPr>
        <w:t>4.3</w:t>
      </w:r>
      <w:r w:rsidR="00F06448">
        <w:rPr>
          <w:b/>
          <w:sz w:val="20"/>
        </w:rPr>
        <w:t>5</w:t>
      </w:r>
      <w:r w:rsidRPr="000A087D">
        <w:rPr>
          <w:b/>
          <w:sz w:val="20"/>
        </w:rPr>
        <w:t xml:space="preserve">: Distribution of 10-year additional cost of </w:t>
      </w:r>
      <w:r>
        <w:rPr>
          <w:b/>
          <w:sz w:val="20"/>
        </w:rPr>
        <w:t>Option 6</w:t>
      </w:r>
    </w:p>
    <w:p w:rsidR="00A05891" w:rsidRDefault="00A05891" w:rsidP="00AA425C"/>
    <w:tbl>
      <w:tblPr>
        <w:tblW w:w="8275" w:type="dxa"/>
        <w:tblLayout w:type="fixed"/>
        <w:tblLook w:val="04A0" w:firstRow="1" w:lastRow="0" w:firstColumn="1" w:lastColumn="0" w:noHBand="0" w:noVBand="1"/>
      </w:tblPr>
      <w:tblGrid>
        <w:gridCol w:w="1313"/>
        <w:gridCol w:w="1948"/>
        <w:gridCol w:w="2297"/>
        <w:gridCol w:w="1379"/>
        <w:gridCol w:w="1338"/>
      </w:tblGrid>
      <w:tr w:rsidR="00B13AD8" w:rsidRPr="00AA425C" w:rsidTr="00503B24">
        <w:trPr>
          <w:trHeight w:val="70"/>
          <w:tblHeader/>
        </w:trPr>
        <w:tc>
          <w:tcPr>
            <w:tcW w:w="1313" w:type="dxa"/>
            <w:tcBorders>
              <w:top w:val="single" w:sz="4" w:space="0" w:color="1F4E78"/>
              <w:left w:val="nil"/>
              <w:bottom w:val="double" w:sz="6" w:space="0" w:color="1F4E78"/>
              <w:right w:val="nil"/>
            </w:tcBorders>
            <w:shd w:val="clear" w:color="000000" w:fill="FFFFFF"/>
            <w:vAlign w:val="bottom"/>
            <w:hideMark/>
          </w:tcPr>
          <w:p w:rsidR="00B13AD8" w:rsidRPr="00AA425C" w:rsidRDefault="00B13AD8" w:rsidP="00B13AD8">
            <w:pPr>
              <w:rPr>
                <w:rFonts w:eastAsia="Times New Roman" w:cs="Calibri"/>
                <w:b/>
                <w:bCs/>
                <w:color w:val="53565A"/>
                <w:sz w:val="20"/>
                <w:szCs w:val="20"/>
                <w:lang w:eastAsia="en-AU"/>
              </w:rPr>
            </w:pPr>
            <w:r w:rsidRPr="00AA425C">
              <w:rPr>
                <w:rFonts w:eastAsia="Times New Roman" w:cs="Calibri"/>
                <w:b/>
                <w:bCs/>
                <w:color w:val="53565A"/>
                <w:sz w:val="20"/>
                <w:szCs w:val="20"/>
                <w:lang w:eastAsia="en-AU"/>
              </w:rPr>
              <w:t>Category of participant</w:t>
            </w:r>
          </w:p>
        </w:tc>
        <w:tc>
          <w:tcPr>
            <w:tcW w:w="1948" w:type="dxa"/>
            <w:tcBorders>
              <w:top w:val="single" w:sz="4" w:space="0" w:color="1F4E78"/>
              <w:left w:val="nil"/>
              <w:bottom w:val="double" w:sz="6" w:space="0" w:color="1F4E78"/>
              <w:right w:val="nil"/>
            </w:tcBorders>
            <w:shd w:val="clear" w:color="000000" w:fill="FFFFFF"/>
            <w:vAlign w:val="bottom"/>
            <w:hideMark/>
          </w:tcPr>
          <w:p w:rsidR="00B13AD8" w:rsidRPr="00AA425C" w:rsidRDefault="00B13AD8" w:rsidP="00B13AD8">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One-off cost</w:t>
            </w:r>
          </w:p>
        </w:tc>
        <w:tc>
          <w:tcPr>
            <w:tcW w:w="2297" w:type="dxa"/>
            <w:tcBorders>
              <w:top w:val="single" w:sz="4" w:space="0" w:color="1F4E78"/>
              <w:left w:val="nil"/>
              <w:bottom w:val="double" w:sz="6" w:space="0" w:color="1F4E78"/>
              <w:right w:val="nil"/>
            </w:tcBorders>
            <w:shd w:val="clear" w:color="000000" w:fill="FFFFFF"/>
            <w:vAlign w:val="bottom"/>
            <w:hideMark/>
          </w:tcPr>
          <w:p w:rsidR="00B13AD8" w:rsidRPr="00AA425C" w:rsidRDefault="00B13AD8" w:rsidP="00B13AD8">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Annual cost</w:t>
            </w:r>
          </w:p>
        </w:tc>
        <w:tc>
          <w:tcPr>
            <w:tcW w:w="1379" w:type="dxa"/>
            <w:tcBorders>
              <w:top w:val="single" w:sz="4" w:space="0" w:color="1F4E78"/>
              <w:left w:val="nil"/>
              <w:bottom w:val="double" w:sz="6" w:space="0" w:color="1F4E78"/>
              <w:right w:val="nil"/>
            </w:tcBorders>
            <w:shd w:val="clear" w:color="000000" w:fill="FFFFFF"/>
            <w:vAlign w:val="bottom"/>
            <w:hideMark/>
          </w:tcPr>
          <w:p w:rsidR="00B13AD8" w:rsidRPr="00AA425C" w:rsidRDefault="00B13AD8" w:rsidP="00B13AD8">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10-year PV cost</w:t>
            </w:r>
          </w:p>
        </w:tc>
        <w:tc>
          <w:tcPr>
            <w:tcW w:w="1338" w:type="dxa"/>
            <w:tcBorders>
              <w:top w:val="single" w:sz="4" w:space="0" w:color="1F4E78"/>
              <w:left w:val="nil"/>
              <w:bottom w:val="double" w:sz="6" w:space="0" w:color="1F4E78"/>
              <w:right w:val="nil"/>
            </w:tcBorders>
            <w:shd w:val="clear" w:color="auto" w:fill="DBE5F1" w:themeFill="accent1" w:themeFillTint="33"/>
            <w:vAlign w:val="bottom"/>
            <w:hideMark/>
          </w:tcPr>
          <w:p w:rsidR="00B13AD8" w:rsidRPr="00AA425C" w:rsidRDefault="00B13AD8" w:rsidP="00B13AD8">
            <w:pPr>
              <w:jc w:val="center"/>
              <w:rPr>
                <w:rFonts w:eastAsia="Times New Roman" w:cs="Calibri"/>
                <w:b/>
                <w:bCs/>
                <w:color w:val="53565A"/>
                <w:sz w:val="20"/>
                <w:szCs w:val="20"/>
                <w:lang w:eastAsia="en-AU"/>
              </w:rPr>
            </w:pPr>
            <w:r w:rsidRPr="00AA425C">
              <w:rPr>
                <w:rFonts w:eastAsia="Times New Roman" w:cs="Calibri"/>
                <w:b/>
                <w:bCs/>
                <w:color w:val="53565A"/>
                <w:sz w:val="20"/>
                <w:szCs w:val="20"/>
                <w:lang w:eastAsia="en-AU"/>
              </w:rPr>
              <w:t>% of 10-year PV cost</w:t>
            </w:r>
          </w:p>
        </w:tc>
      </w:tr>
      <w:tr w:rsidR="00B13AD8" w:rsidRPr="00B13AD8" w:rsidTr="00503B24">
        <w:trPr>
          <w:trHeight w:val="255"/>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Large breeder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$470,131</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$1,018,964</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$9,065,428</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7.31%</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Small breeder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$6,569,136</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$1,944,948</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$22,975,420</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18.52%</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Large trainer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$1,357,326</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$131,645</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$2,467,794</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1.99%</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Small trainer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$10,801,430</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$2,522,101</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$32,076,188</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25.86%</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Large owner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$0</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$105,457</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$889,565</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0.72%</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Small owner</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$0</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$4,112,930</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$34,693,928</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27.97%</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GAP</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$0</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$269,264</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$2,271,334</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1.83%</w:t>
            </w:r>
          </w:p>
        </w:tc>
      </w:tr>
      <w:tr w:rsidR="00B13AD8" w:rsidRPr="00B13AD8" w:rsidTr="00503B24">
        <w:trPr>
          <w:trHeight w:val="240"/>
        </w:trPr>
        <w:tc>
          <w:tcPr>
            <w:tcW w:w="1313" w:type="dxa"/>
            <w:tcBorders>
              <w:top w:val="nil"/>
              <w:left w:val="nil"/>
              <w:bottom w:val="nil"/>
              <w:right w:val="nil"/>
            </w:tcBorders>
            <w:shd w:val="clear" w:color="000000" w:fill="FFFFFF"/>
            <w:noWrap/>
            <w:vAlign w:val="bottom"/>
            <w:hideMark/>
          </w:tcPr>
          <w:p w:rsidR="00B13AD8" w:rsidRPr="00B13AD8" w:rsidRDefault="00B13AD8" w:rsidP="00B13AD8">
            <w:pPr>
              <w:rPr>
                <w:rFonts w:eastAsia="Times New Roman" w:cs="Calibri"/>
                <w:sz w:val="18"/>
                <w:szCs w:val="18"/>
                <w:lang w:eastAsia="en-AU"/>
              </w:rPr>
            </w:pPr>
            <w:r w:rsidRPr="00B13AD8">
              <w:rPr>
                <w:rFonts w:eastAsia="Times New Roman" w:cs="Calibri"/>
                <w:sz w:val="18"/>
                <w:szCs w:val="18"/>
                <w:lang w:eastAsia="en-AU"/>
              </w:rPr>
              <w:t>GRV</w:t>
            </w:r>
          </w:p>
        </w:tc>
        <w:tc>
          <w:tcPr>
            <w:tcW w:w="1948"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$146,407</w:t>
            </w:r>
          </w:p>
        </w:tc>
        <w:tc>
          <w:tcPr>
            <w:tcW w:w="2297"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$2,289,466</w:t>
            </w:r>
          </w:p>
        </w:tc>
        <w:tc>
          <w:tcPr>
            <w:tcW w:w="1379" w:type="dxa"/>
            <w:tcBorders>
              <w:top w:val="nil"/>
              <w:left w:val="nil"/>
              <w:bottom w:val="nil"/>
              <w:right w:val="nil"/>
            </w:tcBorders>
            <w:shd w:val="clear" w:color="000000" w:fill="FFFFFF"/>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$19,587,047</w:t>
            </w:r>
          </w:p>
        </w:tc>
        <w:tc>
          <w:tcPr>
            <w:tcW w:w="1338" w:type="dxa"/>
            <w:tcBorders>
              <w:top w:val="nil"/>
              <w:left w:val="nil"/>
              <w:bottom w:val="nil"/>
              <w:right w:val="nil"/>
            </w:tcBorders>
            <w:shd w:val="clear" w:color="auto" w:fill="DBE5F1" w:themeFill="accent1" w:themeFillTint="33"/>
            <w:noWrap/>
            <w:vAlign w:val="bottom"/>
            <w:hideMark/>
          </w:tcPr>
          <w:p w:rsidR="00B13AD8" w:rsidRPr="00B13AD8" w:rsidRDefault="00B13AD8" w:rsidP="00B13AD8">
            <w:pPr>
              <w:jc w:val="right"/>
              <w:rPr>
                <w:rFonts w:eastAsia="Times New Roman" w:cs="Calibri"/>
                <w:sz w:val="18"/>
                <w:szCs w:val="18"/>
                <w:lang w:eastAsia="en-AU"/>
              </w:rPr>
            </w:pPr>
            <w:r w:rsidRPr="00B13AD8">
              <w:rPr>
                <w:rFonts w:eastAsia="Times New Roman" w:cs="Calibri"/>
                <w:sz w:val="18"/>
                <w:szCs w:val="18"/>
                <w:lang w:eastAsia="en-AU"/>
              </w:rPr>
              <w:t>15.79%</w:t>
            </w:r>
          </w:p>
        </w:tc>
      </w:tr>
      <w:tr w:rsidR="00B13AD8" w:rsidRPr="00AA425C" w:rsidTr="00503B24">
        <w:trPr>
          <w:trHeight w:val="240"/>
        </w:trPr>
        <w:tc>
          <w:tcPr>
            <w:tcW w:w="1313" w:type="dxa"/>
            <w:tcBorders>
              <w:top w:val="single" w:sz="4" w:space="0" w:color="1F4E78"/>
              <w:left w:val="nil"/>
              <w:bottom w:val="single" w:sz="4" w:space="0" w:color="1F4E78"/>
              <w:right w:val="nil"/>
            </w:tcBorders>
            <w:shd w:val="clear" w:color="000000" w:fill="FFFFFF"/>
            <w:noWrap/>
            <w:vAlign w:val="bottom"/>
            <w:hideMark/>
          </w:tcPr>
          <w:p w:rsidR="00B13AD8" w:rsidRPr="00AA425C" w:rsidRDefault="00B13AD8" w:rsidP="00B13AD8">
            <w:pPr>
              <w:rPr>
                <w:rFonts w:eastAsia="Times New Roman" w:cs="Calibri"/>
                <w:b/>
                <w:bCs/>
                <w:color w:val="53565A"/>
                <w:sz w:val="18"/>
                <w:szCs w:val="18"/>
                <w:lang w:eastAsia="en-AU"/>
              </w:rPr>
            </w:pPr>
            <w:r w:rsidRPr="00AA425C">
              <w:rPr>
                <w:rFonts w:eastAsia="Times New Roman" w:cs="Calibri"/>
                <w:b/>
                <w:bCs/>
                <w:color w:val="53565A"/>
                <w:sz w:val="18"/>
                <w:szCs w:val="18"/>
                <w:lang w:eastAsia="en-AU"/>
              </w:rPr>
              <w:t>Total costs</w:t>
            </w:r>
          </w:p>
        </w:tc>
        <w:tc>
          <w:tcPr>
            <w:tcW w:w="1948" w:type="dxa"/>
            <w:tcBorders>
              <w:top w:val="single" w:sz="4" w:space="0" w:color="1F4E78"/>
              <w:left w:val="nil"/>
              <w:bottom w:val="single" w:sz="4" w:space="0" w:color="1F4E78"/>
              <w:right w:val="nil"/>
            </w:tcBorders>
            <w:shd w:val="clear" w:color="000000" w:fill="FFFFFF"/>
            <w:noWrap/>
            <w:vAlign w:val="bottom"/>
            <w:hideMark/>
          </w:tcPr>
          <w:p w:rsidR="00B13AD8" w:rsidRPr="00AA425C" w:rsidRDefault="00B13AD8" w:rsidP="00B13AD8">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$19,344,431</w:t>
            </w:r>
          </w:p>
        </w:tc>
        <w:tc>
          <w:tcPr>
            <w:tcW w:w="2297" w:type="dxa"/>
            <w:tcBorders>
              <w:top w:val="single" w:sz="4" w:space="0" w:color="1F4E78"/>
              <w:left w:val="nil"/>
              <w:bottom w:val="single" w:sz="4" w:space="0" w:color="1F4E78"/>
              <w:right w:val="nil"/>
            </w:tcBorders>
            <w:shd w:val="clear" w:color="000000" w:fill="FFFFFF"/>
            <w:noWrap/>
            <w:vAlign w:val="bottom"/>
            <w:hideMark/>
          </w:tcPr>
          <w:p w:rsidR="00B13AD8" w:rsidRPr="00AA425C" w:rsidRDefault="00B13AD8" w:rsidP="00B13AD8">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$12,394,775</w:t>
            </w:r>
          </w:p>
        </w:tc>
        <w:tc>
          <w:tcPr>
            <w:tcW w:w="1379" w:type="dxa"/>
            <w:tcBorders>
              <w:top w:val="single" w:sz="4" w:space="0" w:color="1F4E78"/>
              <w:left w:val="nil"/>
              <w:bottom w:val="single" w:sz="4" w:space="0" w:color="1F4E78"/>
              <w:right w:val="nil"/>
            </w:tcBorders>
            <w:shd w:val="clear" w:color="000000" w:fill="FFFFFF"/>
            <w:noWrap/>
            <w:vAlign w:val="bottom"/>
            <w:hideMark/>
          </w:tcPr>
          <w:p w:rsidR="00B13AD8" w:rsidRPr="00AA425C" w:rsidRDefault="00B13AD8" w:rsidP="00B13AD8">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$124,026,704</w:t>
            </w:r>
          </w:p>
        </w:tc>
        <w:tc>
          <w:tcPr>
            <w:tcW w:w="1338" w:type="dxa"/>
            <w:tcBorders>
              <w:top w:val="single" w:sz="4" w:space="0" w:color="1F4E78"/>
              <w:left w:val="nil"/>
              <w:bottom w:val="single" w:sz="4" w:space="0" w:color="1F4E78"/>
              <w:right w:val="nil"/>
            </w:tcBorders>
            <w:shd w:val="clear" w:color="auto" w:fill="DBE5F1" w:themeFill="accent1" w:themeFillTint="33"/>
            <w:noWrap/>
            <w:vAlign w:val="bottom"/>
            <w:hideMark/>
          </w:tcPr>
          <w:p w:rsidR="00B13AD8" w:rsidRPr="00AA425C" w:rsidRDefault="00B13AD8" w:rsidP="00B13AD8">
            <w:pPr>
              <w:jc w:val="right"/>
              <w:rPr>
                <w:rFonts w:eastAsia="Times New Roman" w:cs="Calibri"/>
                <w:b/>
                <w:bCs/>
                <w:color w:val="53565A"/>
                <w:sz w:val="18"/>
                <w:szCs w:val="18"/>
                <w:lang w:eastAsia="en-AU"/>
              </w:rPr>
            </w:pPr>
            <w:r w:rsidRPr="00AA425C">
              <w:rPr>
                <w:rFonts w:eastAsia="Times New Roman" w:cs="Calibri"/>
                <w:b/>
                <w:bCs/>
                <w:color w:val="53565A"/>
                <w:sz w:val="18"/>
                <w:szCs w:val="18"/>
                <w:lang w:eastAsia="en-AU"/>
              </w:rPr>
              <w:t>100.00%</w:t>
            </w:r>
          </w:p>
        </w:tc>
      </w:tr>
      <w:tr w:rsidR="00C9454A" w:rsidRPr="00B13AD8" w:rsidTr="00503B24">
        <w:trPr>
          <w:trHeight w:val="240"/>
        </w:trPr>
        <w:tc>
          <w:tcPr>
            <w:tcW w:w="1313" w:type="dxa"/>
            <w:tcBorders>
              <w:top w:val="nil"/>
              <w:left w:val="nil"/>
              <w:bottom w:val="nil"/>
              <w:right w:val="nil"/>
            </w:tcBorders>
            <w:shd w:val="clear" w:color="000000" w:fill="FFFFFF"/>
            <w:noWrap/>
            <w:vAlign w:val="bottom"/>
            <w:hideMark/>
          </w:tcPr>
          <w:p w:rsidR="00C9454A" w:rsidRPr="00B13AD8" w:rsidRDefault="00C9454A" w:rsidP="00C9454A">
            <w:pPr>
              <w:rPr>
                <w:rFonts w:eastAsia="Times New Roman" w:cs="Calibri"/>
                <w:sz w:val="18"/>
                <w:szCs w:val="18"/>
                <w:lang w:eastAsia="en-AU"/>
              </w:rPr>
            </w:pPr>
            <w:r w:rsidRPr="00B13AD8">
              <w:rPr>
                <w:rFonts w:eastAsia="Times New Roman" w:cs="Calibri"/>
                <w:sz w:val="18"/>
                <w:szCs w:val="18"/>
                <w:lang w:eastAsia="en-AU"/>
              </w:rPr>
              <w:t>Large owner</w:t>
            </w:r>
          </w:p>
        </w:tc>
        <w:tc>
          <w:tcPr>
            <w:tcW w:w="1948"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sidRPr="00B13AD8">
              <w:rPr>
                <w:rFonts w:eastAsia="Times New Roman" w:cs="Calibri"/>
                <w:color w:val="FF0000"/>
                <w:sz w:val="18"/>
                <w:szCs w:val="18"/>
                <w:lang w:eastAsia="en-AU"/>
              </w:rPr>
              <w:t>$0</w:t>
            </w:r>
          </w:p>
        </w:tc>
        <w:tc>
          <w:tcPr>
            <w:tcW w:w="2297"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Pr>
                <w:rFonts w:cs="Calibri"/>
                <w:color w:val="FF0000"/>
                <w:sz w:val="18"/>
                <w:szCs w:val="18"/>
              </w:rPr>
              <w:t>-$41,617</w:t>
            </w:r>
          </w:p>
        </w:tc>
        <w:tc>
          <w:tcPr>
            <w:tcW w:w="1379"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Pr>
                <w:rFonts w:cs="Calibri"/>
                <w:color w:val="FF0000"/>
                <w:sz w:val="18"/>
                <w:szCs w:val="18"/>
              </w:rPr>
              <w:t>-$351,056</w:t>
            </w:r>
          </w:p>
        </w:tc>
        <w:tc>
          <w:tcPr>
            <w:tcW w:w="1338" w:type="dxa"/>
            <w:tcBorders>
              <w:top w:val="nil"/>
              <w:left w:val="nil"/>
              <w:bottom w:val="nil"/>
              <w:right w:val="nil"/>
            </w:tcBorders>
            <w:shd w:val="clear" w:color="auto" w:fill="DBE5F1" w:themeFill="accent1" w:themeFillTint="33"/>
            <w:noWrap/>
            <w:vAlign w:val="bottom"/>
            <w:hideMark/>
          </w:tcPr>
          <w:p w:rsidR="00C9454A" w:rsidRPr="00B13AD8" w:rsidRDefault="00C9454A" w:rsidP="00C9454A">
            <w:pPr>
              <w:jc w:val="right"/>
              <w:rPr>
                <w:rFonts w:eastAsia="Times New Roman" w:cs="Calibri"/>
                <w:sz w:val="18"/>
                <w:szCs w:val="18"/>
                <w:lang w:eastAsia="en-AU"/>
              </w:rPr>
            </w:pPr>
            <w:r>
              <w:rPr>
                <w:rFonts w:cs="Calibri"/>
                <w:sz w:val="18"/>
                <w:szCs w:val="18"/>
              </w:rPr>
              <w:t>1.4</w:t>
            </w:r>
            <w:r w:rsidR="00CC24B0">
              <w:rPr>
                <w:rFonts w:cs="Calibri"/>
                <w:sz w:val="18"/>
                <w:szCs w:val="18"/>
              </w:rPr>
              <w:t>6</w:t>
            </w:r>
            <w:r>
              <w:rPr>
                <w:rFonts w:cs="Calibri"/>
                <w:sz w:val="18"/>
                <w:szCs w:val="18"/>
              </w:rPr>
              <w:t>%</w:t>
            </w:r>
          </w:p>
        </w:tc>
      </w:tr>
      <w:tr w:rsidR="00C9454A" w:rsidRPr="00B13AD8" w:rsidTr="00503B24">
        <w:trPr>
          <w:trHeight w:val="240"/>
        </w:trPr>
        <w:tc>
          <w:tcPr>
            <w:tcW w:w="1313" w:type="dxa"/>
            <w:tcBorders>
              <w:top w:val="nil"/>
              <w:left w:val="nil"/>
              <w:bottom w:val="nil"/>
              <w:right w:val="nil"/>
            </w:tcBorders>
            <w:shd w:val="clear" w:color="000000" w:fill="FFFFFF"/>
            <w:noWrap/>
            <w:vAlign w:val="bottom"/>
            <w:hideMark/>
          </w:tcPr>
          <w:p w:rsidR="00C9454A" w:rsidRPr="00B13AD8" w:rsidRDefault="00C9454A" w:rsidP="00C9454A">
            <w:pPr>
              <w:rPr>
                <w:rFonts w:eastAsia="Times New Roman" w:cs="Calibri"/>
                <w:sz w:val="18"/>
                <w:szCs w:val="18"/>
                <w:lang w:eastAsia="en-AU"/>
              </w:rPr>
            </w:pPr>
            <w:r w:rsidRPr="00B13AD8">
              <w:rPr>
                <w:rFonts w:eastAsia="Times New Roman" w:cs="Calibri"/>
                <w:sz w:val="18"/>
                <w:szCs w:val="18"/>
                <w:lang w:eastAsia="en-AU"/>
              </w:rPr>
              <w:t>Small owner</w:t>
            </w:r>
          </w:p>
        </w:tc>
        <w:tc>
          <w:tcPr>
            <w:tcW w:w="1948"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sidRPr="00B13AD8">
              <w:rPr>
                <w:rFonts w:eastAsia="Times New Roman" w:cs="Calibri"/>
                <w:color w:val="FF0000"/>
                <w:sz w:val="18"/>
                <w:szCs w:val="18"/>
                <w:lang w:eastAsia="en-AU"/>
              </w:rPr>
              <w:t>$0</w:t>
            </w:r>
          </w:p>
        </w:tc>
        <w:tc>
          <w:tcPr>
            <w:tcW w:w="2297"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Pr>
                <w:rFonts w:cs="Calibri"/>
                <w:color w:val="FF0000"/>
                <w:sz w:val="18"/>
                <w:szCs w:val="18"/>
              </w:rPr>
              <w:t>-$1,622,918</w:t>
            </w:r>
          </w:p>
        </w:tc>
        <w:tc>
          <w:tcPr>
            <w:tcW w:w="1379" w:type="dxa"/>
            <w:tcBorders>
              <w:top w:val="nil"/>
              <w:left w:val="nil"/>
              <w:bottom w:val="nil"/>
              <w:right w:val="nil"/>
            </w:tcBorders>
            <w:shd w:val="clear" w:color="000000" w:fill="FFFFFF"/>
            <w:noWrap/>
            <w:vAlign w:val="bottom"/>
            <w:hideMark/>
          </w:tcPr>
          <w:p w:rsidR="00C9454A" w:rsidRPr="00B13AD8" w:rsidRDefault="00C9454A" w:rsidP="00C9454A">
            <w:pPr>
              <w:jc w:val="right"/>
              <w:rPr>
                <w:rFonts w:eastAsia="Times New Roman" w:cs="Calibri"/>
                <w:color w:val="FF0000"/>
                <w:sz w:val="18"/>
                <w:szCs w:val="18"/>
                <w:lang w:eastAsia="en-AU"/>
              </w:rPr>
            </w:pPr>
            <w:r>
              <w:rPr>
                <w:rFonts w:cs="Calibri"/>
                <w:color w:val="FF0000"/>
                <w:sz w:val="18"/>
                <w:szCs w:val="18"/>
              </w:rPr>
              <w:t>-$13,689,847</w:t>
            </w:r>
          </w:p>
        </w:tc>
        <w:tc>
          <w:tcPr>
            <w:tcW w:w="1338" w:type="dxa"/>
            <w:tcBorders>
              <w:top w:val="nil"/>
              <w:left w:val="nil"/>
              <w:bottom w:val="nil"/>
              <w:right w:val="nil"/>
            </w:tcBorders>
            <w:shd w:val="clear" w:color="auto" w:fill="DBE5F1" w:themeFill="accent1" w:themeFillTint="33"/>
            <w:noWrap/>
            <w:vAlign w:val="bottom"/>
            <w:hideMark/>
          </w:tcPr>
          <w:p w:rsidR="00C9454A" w:rsidRPr="00B13AD8" w:rsidRDefault="00C9454A" w:rsidP="00C9454A">
            <w:pPr>
              <w:jc w:val="right"/>
              <w:rPr>
                <w:rFonts w:eastAsia="Times New Roman" w:cs="Calibri"/>
                <w:sz w:val="18"/>
                <w:szCs w:val="18"/>
                <w:lang w:eastAsia="en-AU"/>
              </w:rPr>
            </w:pPr>
            <w:r>
              <w:rPr>
                <w:rFonts w:cs="Calibri"/>
                <w:sz w:val="18"/>
                <w:szCs w:val="18"/>
              </w:rPr>
              <w:t>56.</w:t>
            </w:r>
            <w:r w:rsidR="00CC24B0">
              <w:rPr>
                <w:rFonts w:cs="Calibri"/>
                <w:sz w:val="18"/>
                <w:szCs w:val="18"/>
              </w:rPr>
              <w:t>91</w:t>
            </w:r>
            <w:r>
              <w:rPr>
                <w:rFonts w:cs="Calibri"/>
                <w:sz w:val="18"/>
                <w:szCs w:val="18"/>
              </w:rPr>
              <w:t>%</w:t>
            </w:r>
          </w:p>
        </w:tc>
      </w:tr>
      <w:tr w:rsidR="00CC24B0" w:rsidRPr="00B13AD8" w:rsidTr="00503B24">
        <w:trPr>
          <w:trHeight w:val="240"/>
        </w:trPr>
        <w:tc>
          <w:tcPr>
            <w:tcW w:w="1313" w:type="dxa"/>
            <w:tcBorders>
              <w:top w:val="nil"/>
              <w:left w:val="nil"/>
              <w:bottom w:val="nil"/>
              <w:right w:val="nil"/>
            </w:tcBorders>
            <w:shd w:val="clear" w:color="000000" w:fill="FFFFFF"/>
            <w:noWrap/>
            <w:vAlign w:val="bottom"/>
            <w:hideMark/>
          </w:tcPr>
          <w:p w:rsidR="00CC24B0" w:rsidRPr="00B13AD8" w:rsidRDefault="00CC24B0" w:rsidP="00CC24B0">
            <w:pPr>
              <w:rPr>
                <w:rFonts w:eastAsia="Times New Roman" w:cs="Calibri"/>
                <w:sz w:val="18"/>
                <w:szCs w:val="18"/>
                <w:lang w:eastAsia="en-AU"/>
              </w:rPr>
            </w:pPr>
            <w:r w:rsidRPr="00B13AD8">
              <w:rPr>
                <w:rFonts w:eastAsia="Times New Roman" w:cs="Calibri"/>
                <w:sz w:val="18"/>
                <w:szCs w:val="18"/>
                <w:lang w:eastAsia="en-AU"/>
              </w:rPr>
              <w:t>GAP</w:t>
            </w:r>
          </w:p>
        </w:tc>
        <w:tc>
          <w:tcPr>
            <w:tcW w:w="1948" w:type="dxa"/>
            <w:tcBorders>
              <w:top w:val="nil"/>
              <w:left w:val="nil"/>
              <w:bottom w:val="nil"/>
              <w:right w:val="nil"/>
            </w:tcBorders>
            <w:shd w:val="clear" w:color="000000" w:fill="FFFFFF"/>
            <w:noWrap/>
            <w:vAlign w:val="bottom"/>
            <w:hideMark/>
          </w:tcPr>
          <w:p w:rsidR="00CC24B0" w:rsidRPr="00B13AD8" w:rsidRDefault="00CC24B0" w:rsidP="00CC24B0">
            <w:pPr>
              <w:jc w:val="right"/>
              <w:rPr>
                <w:rFonts w:eastAsia="Times New Roman" w:cs="Calibri"/>
                <w:color w:val="FF0000"/>
                <w:sz w:val="18"/>
                <w:szCs w:val="18"/>
                <w:lang w:eastAsia="en-AU"/>
              </w:rPr>
            </w:pPr>
            <w:r w:rsidRPr="00B13AD8">
              <w:rPr>
                <w:rFonts w:eastAsia="Times New Roman" w:cs="Calibri"/>
                <w:color w:val="FF0000"/>
                <w:sz w:val="18"/>
                <w:szCs w:val="18"/>
                <w:lang w:eastAsia="en-AU"/>
              </w:rPr>
              <w:t>$0</w:t>
            </w:r>
          </w:p>
        </w:tc>
        <w:tc>
          <w:tcPr>
            <w:tcW w:w="2297" w:type="dxa"/>
            <w:tcBorders>
              <w:top w:val="nil"/>
              <w:left w:val="nil"/>
              <w:bottom w:val="nil"/>
              <w:right w:val="nil"/>
            </w:tcBorders>
            <w:shd w:val="clear" w:color="000000" w:fill="FFFFFF"/>
            <w:noWrap/>
            <w:vAlign w:val="bottom"/>
            <w:hideMark/>
          </w:tcPr>
          <w:p w:rsidR="00CC24B0" w:rsidRPr="00B13AD8" w:rsidRDefault="00CC24B0" w:rsidP="00CC24B0">
            <w:pPr>
              <w:jc w:val="right"/>
              <w:rPr>
                <w:rFonts w:eastAsia="Times New Roman" w:cs="Calibri"/>
                <w:color w:val="FF0000"/>
                <w:sz w:val="18"/>
                <w:szCs w:val="18"/>
                <w:lang w:eastAsia="en-AU"/>
              </w:rPr>
            </w:pPr>
            <w:r>
              <w:rPr>
                <w:rFonts w:cs="Calibri"/>
                <w:color w:val="FF0000"/>
                <w:sz w:val="18"/>
                <w:szCs w:val="18"/>
              </w:rPr>
              <w:t>-$1,187,075</w:t>
            </w:r>
          </w:p>
        </w:tc>
        <w:tc>
          <w:tcPr>
            <w:tcW w:w="1379" w:type="dxa"/>
            <w:tcBorders>
              <w:top w:val="nil"/>
              <w:left w:val="nil"/>
              <w:bottom w:val="nil"/>
              <w:right w:val="nil"/>
            </w:tcBorders>
            <w:shd w:val="clear" w:color="000000" w:fill="FFFFFF"/>
            <w:noWrap/>
            <w:vAlign w:val="bottom"/>
            <w:hideMark/>
          </w:tcPr>
          <w:p w:rsidR="00CC24B0" w:rsidRPr="00B13AD8" w:rsidRDefault="00CC24B0" w:rsidP="00CC24B0">
            <w:pPr>
              <w:jc w:val="right"/>
              <w:rPr>
                <w:rFonts w:eastAsia="Times New Roman" w:cs="Calibri"/>
                <w:color w:val="FF0000"/>
                <w:sz w:val="18"/>
                <w:szCs w:val="18"/>
                <w:lang w:eastAsia="en-AU"/>
              </w:rPr>
            </w:pPr>
            <w:r>
              <w:rPr>
                <w:rFonts w:cs="Calibri"/>
                <w:color w:val="FF0000"/>
                <w:sz w:val="18"/>
                <w:szCs w:val="18"/>
              </w:rPr>
              <w:t>-$10,013,368</w:t>
            </w:r>
          </w:p>
        </w:tc>
        <w:tc>
          <w:tcPr>
            <w:tcW w:w="1338" w:type="dxa"/>
            <w:tcBorders>
              <w:top w:val="nil"/>
              <w:left w:val="nil"/>
              <w:bottom w:val="nil"/>
              <w:right w:val="nil"/>
            </w:tcBorders>
            <w:shd w:val="clear" w:color="auto" w:fill="DBE5F1" w:themeFill="accent1" w:themeFillTint="33"/>
            <w:noWrap/>
            <w:vAlign w:val="bottom"/>
            <w:hideMark/>
          </w:tcPr>
          <w:p w:rsidR="00CC24B0" w:rsidRPr="00B13AD8" w:rsidRDefault="00CC24B0" w:rsidP="00CC24B0">
            <w:pPr>
              <w:jc w:val="right"/>
              <w:rPr>
                <w:rFonts w:eastAsia="Times New Roman" w:cs="Calibri"/>
                <w:sz w:val="18"/>
                <w:szCs w:val="18"/>
                <w:lang w:eastAsia="en-AU"/>
              </w:rPr>
            </w:pPr>
            <w:r>
              <w:rPr>
                <w:rFonts w:cs="Calibri"/>
                <w:sz w:val="18"/>
                <w:szCs w:val="18"/>
              </w:rPr>
              <w:t>41.63%</w:t>
            </w:r>
          </w:p>
        </w:tc>
      </w:tr>
      <w:tr w:rsidR="00CC24B0" w:rsidRPr="00AA425C" w:rsidTr="00503B24">
        <w:trPr>
          <w:trHeight w:val="240"/>
        </w:trPr>
        <w:tc>
          <w:tcPr>
            <w:tcW w:w="1313"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rPr>
                <w:rFonts w:eastAsia="Times New Roman" w:cs="Calibri"/>
                <w:b/>
                <w:bCs/>
                <w:color w:val="1F4E78"/>
                <w:sz w:val="18"/>
                <w:szCs w:val="18"/>
                <w:lang w:eastAsia="en-AU"/>
              </w:rPr>
            </w:pPr>
            <w:r w:rsidRPr="00AA425C">
              <w:rPr>
                <w:rFonts w:eastAsia="Times New Roman" w:cs="Calibri"/>
                <w:b/>
                <w:bCs/>
                <w:color w:val="53565A"/>
                <w:sz w:val="18"/>
                <w:szCs w:val="18"/>
                <w:lang w:eastAsia="en-AU"/>
              </w:rPr>
              <w:t>Total cost savings</w:t>
            </w:r>
          </w:p>
        </w:tc>
        <w:tc>
          <w:tcPr>
            <w:tcW w:w="1948"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color w:val="FF0000"/>
                <w:sz w:val="18"/>
                <w:szCs w:val="18"/>
                <w:lang w:eastAsia="en-AU"/>
              </w:rPr>
            </w:pPr>
            <w:r w:rsidRPr="00B13AD8">
              <w:rPr>
                <w:rFonts w:eastAsia="Times New Roman" w:cs="Calibri"/>
                <w:b/>
                <w:bCs/>
                <w:color w:val="FF0000"/>
                <w:sz w:val="18"/>
                <w:szCs w:val="18"/>
                <w:lang w:eastAsia="en-AU"/>
              </w:rPr>
              <w:t>$0</w:t>
            </w:r>
          </w:p>
        </w:tc>
        <w:tc>
          <w:tcPr>
            <w:tcW w:w="2297"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color w:val="FF0000"/>
                <w:sz w:val="18"/>
                <w:szCs w:val="18"/>
                <w:lang w:eastAsia="en-AU"/>
              </w:rPr>
            </w:pPr>
            <w:r>
              <w:rPr>
                <w:rFonts w:cs="Calibri"/>
                <w:b/>
                <w:bCs/>
                <w:color w:val="FF0000"/>
                <w:sz w:val="18"/>
                <w:szCs w:val="18"/>
              </w:rPr>
              <w:t>-$2,851,609</w:t>
            </w:r>
          </w:p>
        </w:tc>
        <w:tc>
          <w:tcPr>
            <w:tcW w:w="1379" w:type="dxa"/>
            <w:tcBorders>
              <w:top w:val="single" w:sz="4" w:space="0" w:color="1F4E78"/>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color w:val="FF0000"/>
                <w:sz w:val="18"/>
                <w:szCs w:val="18"/>
                <w:lang w:eastAsia="en-AU"/>
              </w:rPr>
            </w:pPr>
            <w:r>
              <w:rPr>
                <w:rFonts w:cs="Calibri"/>
                <w:b/>
                <w:bCs/>
                <w:color w:val="FF0000"/>
                <w:sz w:val="18"/>
                <w:szCs w:val="18"/>
              </w:rPr>
              <w:t>-$24,054,271</w:t>
            </w:r>
          </w:p>
        </w:tc>
        <w:tc>
          <w:tcPr>
            <w:tcW w:w="1338" w:type="dxa"/>
            <w:tcBorders>
              <w:top w:val="single" w:sz="4" w:space="0" w:color="1F4E78"/>
              <w:left w:val="nil"/>
              <w:bottom w:val="single" w:sz="4" w:space="0" w:color="244061" w:themeColor="accent1" w:themeShade="80"/>
              <w:right w:val="nil"/>
            </w:tcBorders>
            <w:shd w:val="clear" w:color="auto" w:fill="DBE5F1" w:themeFill="accent1" w:themeFillTint="33"/>
            <w:noWrap/>
            <w:vAlign w:val="bottom"/>
            <w:hideMark/>
          </w:tcPr>
          <w:p w:rsidR="00CC24B0" w:rsidRPr="00AA425C" w:rsidRDefault="00CC24B0" w:rsidP="00CC24B0">
            <w:pPr>
              <w:jc w:val="right"/>
              <w:rPr>
                <w:rFonts w:eastAsia="Times New Roman" w:cs="Calibri"/>
                <w:b/>
                <w:bCs/>
                <w:color w:val="53565A"/>
                <w:sz w:val="18"/>
                <w:szCs w:val="18"/>
                <w:lang w:eastAsia="en-AU"/>
              </w:rPr>
            </w:pPr>
            <w:r w:rsidRPr="00AA425C">
              <w:rPr>
                <w:rFonts w:cs="Calibri"/>
                <w:b/>
                <w:bCs/>
                <w:color w:val="53565A"/>
                <w:sz w:val="18"/>
                <w:szCs w:val="18"/>
              </w:rPr>
              <w:t>100.00%</w:t>
            </w:r>
          </w:p>
        </w:tc>
      </w:tr>
      <w:tr w:rsidR="00CC24B0" w:rsidRPr="00B13AD8" w:rsidTr="00503B24">
        <w:trPr>
          <w:trHeight w:val="240"/>
        </w:trPr>
        <w:tc>
          <w:tcPr>
            <w:tcW w:w="1313"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rPr>
                <w:rFonts w:eastAsia="Times New Roman" w:cs="Calibri"/>
                <w:b/>
                <w:bCs/>
                <w:i/>
                <w:iCs/>
                <w:sz w:val="18"/>
                <w:szCs w:val="18"/>
                <w:lang w:eastAsia="en-AU"/>
              </w:rPr>
            </w:pPr>
            <w:r w:rsidRPr="00B13AD8">
              <w:rPr>
                <w:rFonts w:eastAsia="Times New Roman" w:cs="Calibri"/>
                <w:b/>
                <w:bCs/>
                <w:i/>
                <w:iCs/>
                <w:sz w:val="18"/>
                <w:szCs w:val="18"/>
                <w:lang w:eastAsia="en-AU"/>
              </w:rPr>
              <w:t>Total net costs</w:t>
            </w:r>
          </w:p>
        </w:tc>
        <w:tc>
          <w:tcPr>
            <w:tcW w:w="1948"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i/>
                <w:iCs/>
                <w:sz w:val="18"/>
                <w:szCs w:val="18"/>
                <w:lang w:eastAsia="en-AU"/>
              </w:rPr>
            </w:pPr>
            <w:r w:rsidRPr="00B13AD8">
              <w:rPr>
                <w:rFonts w:eastAsia="Times New Roman" w:cs="Calibri"/>
                <w:b/>
                <w:bCs/>
                <w:i/>
                <w:iCs/>
                <w:sz w:val="18"/>
                <w:szCs w:val="18"/>
                <w:lang w:eastAsia="en-AU"/>
              </w:rPr>
              <w:t>$19,344,431</w:t>
            </w:r>
          </w:p>
        </w:tc>
        <w:tc>
          <w:tcPr>
            <w:tcW w:w="2297"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i/>
                <w:iCs/>
                <w:sz w:val="18"/>
                <w:szCs w:val="18"/>
                <w:lang w:eastAsia="en-AU"/>
              </w:rPr>
            </w:pPr>
            <w:r>
              <w:rPr>
                <w:rFonts w:cs="Calibri"/>
                <w:b/>
                <w:bCs/>
                <w:i/>
                <w:iCs/>
                <w:sz w:val="18"/>
                <w:szCs w:val="18"/>
              </w:rPr>
              <w:t>$9,543,165</w:t>
            </w:r>
          </w:p>
        </w:tc>
        <w:tc>
          <w:tcPr>
            <w:tcW w:w="1379" w:type="dxa"/>
            <w:tcBorders>
              <w:top w:val="single" w:sz="4" w:space="0" w:color="244061" w:themeColor="accent1" w:themeShade="80"/>
              <w:left w:val="nil"/>
              <w:bottom w:val="single" w:sz="4" w:space="0" w:color="244061" w:themeColor="accent1" w:themeShade="80"/>
              <w:right w:val="nil"/>
            </w:tcBorders>
            <w:shd w:val="clear" w:color="000000" w:fill="FFFFFF"/>
            <w:noWrap/>
            <w:vAlign w:val="bottom"/>
            <w:hideMark/>
          </w:tcPr>
          <w:p w:rsidR="00CC24B0" w:rsidRPr="00B13AD8" w:rsidRDefault="00CC24B0" w:rsidP="00CC24B0">
            <w:pPr>
              <w:jc w:val="right"/>
              <w:rPr>
                <w:rFonts w:eastAsia="Times New Roman" w:cs="Calibri"/>
                <w:b/>
                <w:bCs/>
                <w:i/>
                <w:iCs/>
                <w:sz w:val="18"/>
                <w:szCs w:val="18"/>
                <w:lang w:eastAsia="en-AU"/>
              </w:rPr>
            </w:pPr>
            <w:r>
              <w:rPr>
                <w:rFonts w:cs="Calibri"/>
                <w:b/>
                <w:bCs/>
                <w:i/>
                <w:iCs/>
                <w:sz w:val="18"/>
                <w:szCs w:val="18"/>
              </w:rPr>
              <w:t>$99,972,433</w:t>
            </w:r>
          </w:p>
        </w:tc>
        <w:tc>
          <w:tcPr>
            <w:tcW w:w="1338" w:type="dxa"/>
            <w:tcBorders>
              <w:top w:val="single" w:sz="4" w:space="0" w:color="244061" w:themeColor="accent1" w:themeShade="80"/>
              <w:left w:val="nil"/>
              <w:bottom w:val="single" w:sz="4" w:space="0" w:color="244061" w:themeColor="accent1" w:themeShade="80"/>
              <w:right w:val="nil"/>
            </w:tcBorders>
            <w:shd w:val="clear" w:color="auto" w:fill="DBE5F1" w:themeFill="accent1" w:themeFillTint="33"/>
            <w:noWrap/>
            <w:vAlign w:val="bottom"/>
            <w:hideMark/>
          </w:tcPr>
          <w:p w:rsidR="00CC24B0" w:rsidRPr="00B13AD8" w:rsidRDefault="00CC24B0" w:rsidP="00CC24B0">
            <w:pPr>
              <w:rPr>
                <w:rFonts w:eastAsia="Times New Roman" w:cs="Calibri"/>
                <w:b/>
                <w:bCs/>
                <w:i/>
                <w:iCs/>
                <w:sz w:val="18"/>
                <w:szCs w:val="18"/>
                <w:lang w:eastAsia="en-AU"/>
              </w:rPr>
            </w:pPr>
            <w:r>
              <w:rPr>
                <w:rFonts w:cs="Calibri"/>
                <w:b/>
                <w:bCs/>
                <w:i/>
                <w:iCs/>
                <w:sz w:val="18"/>
                <w:szCs w:val="18"/>
              </w:rPr>
              <w:t> </w:t>
            </w:r>
          </w:p>
        </w:tc>
      </w:tr>
    </w:tbl>
    <w:p w:rsidR="00A05891" w:rsidRDefault="00A05891" w:rsidP="00AA425C"/>
    <w:p w:rsidR="00AA425C" w:rsidRDefault="00AA425C">
      <w:pPr>
        <w:rPr>
          <w:i/>
          <w:color w:val="53565A"/>
          <w:sz w:val="24"/>
          <w:szCs w:val="24"/>
        </w:rPr>
      </w:pPr>
      <w:bookmarkStart w:id="293" w:name="_Toc469529245"/>
      <w:r>
        <w:br w:type="page"/>
      </w:r>
    </w:p>
    <w:p w:rsidR="008E01B1" w:rsidRDefault="00EA26DD" w:rsidP="005E307C">
      <w:pPr>
        <w:pStyle w:val="Heading3"/>
      </w:pPr>
      <w:bookmarkStart w:id="294" w:name="_Toc477190269"/>
      <w:r>
        <w:lastRenderedPageBreak/>
        <w:t>A4.17</w:t>
      </w:r>
      <w:r w:rsidR="008E01B1">
        <w:t>.13 Summary of all incremental cost – Options 1 to 6</w:t>
      </w:r>
      <w:bookmarkEnd w:id="293"/>
      <w:bookmarkEnd w:id="294"/>
    </w:p>
    <w:p w:rsidR="00927925" w:rsidRDefault="008E01B1" w:rsidP="008E01B1">
      <w:r>
        <w:t>Finally, Table A4.3</w:t>
      </w:r>
      <w:r w:rsidR="00F06448">
        <w:t>6</w:t>
      </w:r>
      <w:r>
        <w:t xml:space="preserve"> provides a summary of all incremental costs as a comparison against all Options 1 to 6 and all estimates are obtained from Sections A4.3 to A4.13 in Appendix 4. </w:t>
      </w:r>
    </w:p>
    <w:p w:rsidR="00927925" w:rsidRDefault="00927925" w:rsidP="008E01B1"/>
    <w:p w:rsidR="008E01B1" w:rsidRDefault="008E01B1" w:rsidP="008E01B1">
      <w:pPr>
        <w:jc w:val="center"/>
        <w:rPr>
          <w:b/>
          <w:sz w:val="20"/>
        </w:rPr>
      </w:pPr>
      <w:r w:rsidRPr="000A087D">
        <w:rPr>
          <w:b/>
          <w:sz w:val="20"/>
        </w:rPr>
        <w:t>Table A</w:t>
      </w:r>
      <w:r>
        <w:rPr>
          <w:b/>
          <w:sz w:val="20"/>
        </w:rPr>
        <w:t>4.3</w:t>
      </w:r>
      <w:r w:rsidR="00F06448">
        <w:rPr>
          <w:b/>
          <w:sz w:val="20"/>
        </w:rPr>
        <w:t>6</w:t>
      </w:r>
      <w:r w:rsidRPr="000A087D">
        <w:rPr>
          <w:b/>
          <w:sz w:val="20"/>
        </w:rPr>
        <w:t xml:space="preserve">: </w:t>
      </w:r>
      <w:r>
        <w:rPr>
          <w:b/>
          <w:sz w:val="20"/>
        </w:rPr>
        <w:t>Summary of all incremental costs</w:t>
      </w:r>
      <w:r w:rsidR="00F32060">
        <w:rPr>
          <w:b/>
          <w:sz w:val="20"/>
        </w:rPr>
        <w:t xml:space="preserve"> $m</w:t>
      </w:r>
      <w:r>
        <w:rPr>
          <w:b/>
          <w:sz w:val="20"/>
        </w:rPr>
        <w:t xml:space="preserve"> – Options 1 to 6</w:t>
      </w:r>
    </w:p>
    <w:tbl>
      <w:tblPr>
        <w:tblpPr w:leftFromText="180" w:rightFromText="180" w:vertAnchor="text" w:horzAnchor="margin" w:tblpXSpec="center" w:tblpY="200"/>
        <w:tblW w:w="9206" w:type="dxa"/>
        <w:tblLayout w:type="fixed"/>
        <w:tblLook w:val="04A0" w:firstRow="1" w:lastRow="0" w:firstColumn="1" w:lastColumn="0" w:noHBand="0" w:noVBand="1"/>
      </w:tblPr>
      <w:tblGrid>
        <w:gridCol w:w="672"/>
        <w:gridCol w:w="2980"/>
        <w:gridCol w:w="992"/>
        <w:gridCol w:w="872"/>
        <w:gridCol w:w="903"/>
        <w:gridCol w:w="942"/>
        <w:gridCol w:w="903"/>
        <w:gridCol w:w="942"/>
      </w:tblGrid>
      <w:tr w:rsidR="00EF5127" w:rsidRPr="00F5127B" w:rsidTr="00C357B6">
        <w:trPr>
          <w:trHeight w:val="300"/>
        </w:trPr>
        <w:tc>
          <w:tcPr>
            <w:tcW w:w="67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2980"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rPr>
                <w:rFonts w:eastAsia="Times New Roman" w:cs="Calibri"/>
                <w:b/>
                <w:color w:val="53565A"/>
                <w:szCs w:val="18"/>
                <w:lang w:eastAsia="en-AU"/>
              </w:rPr>
            </w:pPr>
            <w:r w:rsidRPr="00AA425C">
              <w:rPr>
                <w:rFonts w:eastAsia="Times New Roman" w:cs="Calibri"/>
                <w:b/>
                <w:color w:val="53565A"/>
                <w:szCs w:val="18"/>
                <w:lang w:eastAsia="en-AU"/>
              </w:rPr>
              <w:t>Option</w:t>
            </w:r>
          </w:p>
        </w:tc>
        <w:tc>
          <w:tcPr>
            <w:tcW w:w="992"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1</w:t>
            </w:r>
          </w:p>
        </w:tc>
        <w:tc>
          <w:tcPr>
            <w:tcW w:w="872"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2</w:t>
            </w:r>
          </w:p>
        </w:tc>
        <w:tc>
          <w:tcPr>
            <w:tcW w:w="903"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3</w:t>
            </w:r>
          </w:p>
        </w:tc>
        <w:tc>
          <w:tcPr>
            <w:tcW w:w="942"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4</w:t>
            </w:r>
          </w:p>
        </w:tc>
        <w:tc>
          <w:tcPr>
            <w:tcW w:w="903"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5</w:t>
            </w:r>
          </w:p>
        </w:tc>
        <w:tc>
          <w:tcPr>
            <w:tcW w:w="942" w:type="dxa"/>
            <w:tcBorders>
              <w:top w:val="single" w:sz="4" w:space="0" w:color="244061" w:themeColor="accent1" w:themeShade="80"/>
              <w:left w:val="nil"/>
              <w:bottom w:val="double" w:sz="4" w:space="0" w:color="244061" w:themeColor="accent1" w:themeShade="80"/>
              <w:right w:val="nil"/>
            </w:tcBorders>
            <w:shd w:val="clear" w:color="auto" w:fill="auto"/>
            <w:vAlign w:val="bottom"/>
            <w:hideMark/>
          </w:tcPr>
          <w:p w:rsidR="00EF5127" w:rsidRPr="00AA425C" w:rsidRDefault="00EF5127" w:rsidP="00EF5127">
            <w:pPr>
              <w:jc w:val="center"/>
              <w:rPr>
                <w:rFonts w:eastAsia="Times New Roman" w:cs="Calibri"/>
                <w:b/>
                <w:color w:val="53565A"/>
                <w:szCs w:val="18"/>
                <w:lang w:eastAsia="en-AU"/>
              </w:rPr>
            </w:pPr>
            <w:r w:rsidRPr="00AA425C">
              <w:rPr>
                <w:rFonts w:eastAsia="Times New Roman" w:cs="Calibri"/>
                <w:b/>
                <w:color w:val="53565A"/>
                <w:szCs w:val="18"/>
                <w:lang w:eastAsia="en-AU"/>
              </w:rPr>
              <w:t>6</w:t>
            </w:r>
          </w:p>
        </w:tc>
      </w:tr>
      <w:tr w:rsidR="00EF5127" w:rsidRPr="00F5127B" w:rsidTr="00C357B6">
        <w:trPr>
          <w:trHeight w:val="80"/>
        </w:trPr>
        <w:tc>
          <w:tcPr>
            <w:tcW w:w="67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p>
        </w:tc>
        <w:tc>
          <w:tcPr>
            <w:tcW w:w="2980"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Change in behaviour from base case (32.3%)</w:t>
            </w:r>
          </w:p>
        </w:tc>
        <w:tc>
          <w:tcPr>
            <w:tcW w:w="992"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c>
          <w:tcPr>
            <w:tcW w:w="872"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c>
          <w:tcPr>
            <w:tcW w:w="903"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c>
          <w:tcPr>
            <w:tcW w:w="942"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c>
          <w:tcPr>
            <w:tcW w:w="903"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c>
          <w:tcPr>
            <w:tcW w:w="942" w:type="dxa"/>
            <w:tcBorders>
              <w:top w:val="double" w:sz="4" w:space="0" w:color="244061" w:themeColor="accent1" w:themeShade="80"/>
              <w:left w:val="nil"/>
              <w:bottom w:val="nil"/>
              <w:right w:val="nil"/>
            </w:tcBorders>
            <w:shd w:val="clear" w:color="auto" w:fill="auto"/>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0.0%</w:t>
            </w:r>
          </w:p>
        </w:tc>
      </w:tr>
      <w:tr w:rsidR="00EF5127" w:rsidRPr="00F5127B" w:rsidTr="00C357B6">
        <w:trPr>
          <w:trHeight w:val="80"/>
        </w:trPr>
        <w:tc>
          <w:tcPr>
            <w:tcW w:w="6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p>
        </w:tc>
        <w:tc>
          <w:tcPr>
            <w:tcW w:w="2980"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Compliance rate under each option</w:t>
            </w:r>
          </w:p>
        </w:tc>
        <w:tc>
          <w:tcPr>
            <w:tcW w:w="99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35%</w:t>
            </w:r>
          </w:p>
        </w:tc>
        <w:tc>
          <w:tcPr>
            <w:tcW w:w="8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50%</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100%</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75%</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100%</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100%</w:t>
            </w:r>
          </w:p>
        </w:tc>
      </w:tr>
      <w:tr w:rsidR="00EF5127" w:rsidRPr="00F5127B" w:rsidTr="00AA425C">
        <w:trPr>
          <w:trHeight w:val="413"/>
        </w:trPr>
        <w:tc>
          <w:tcPr>
            <w:tcW w:w="67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Std.</w:t>
            </w:r>
          </w:p>
        </w:tc>
        <w:tc>
          <w:tcPr>
            <w:tcW w:w="2980"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Nature of quantifiable cost</w:t>
            </w:r>
          </w:p>
        </w:tc>
        <w:tc>
          <w:tcPr>
            <w:tcW w:w="99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c>
          <w:tcPr>
            <w:tcW w:w="87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c>
          <w:tcPr>
            <w:tcW w:w="903"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c>
          <w:tcPr>
            <w:tcW w:w="94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c>
          <w:tcPr>
            <w:tcW w:w="903"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c>
          <w:tcPr>
            <w:tcW w:w="942" w:type="dxa"/>
            <w:tcBorders>
              <w:top w:val="single" w:sz="4" w:space="0" w:color="244061" w:themeColor="accent1" w:themeShade="80"/>
              <w:left w:val="nil"/>
              <w:bottom w:val="double" w:sz="4" w:space="0" w:color="244061" w:themeColor="accent1" w:themeShade="80"/>
              <w:right w:val="nil"/>
            </w:tcBorders>
            <w:shd w:val="clear" w:color="auto" w:fill="auto"/>
            <w:noWrap/>
            <w:vAlign w:val="bottom"/>
            <w:hideMark/>
          </w:tcPr>
          <w:p w:rsidR="00EF5127" w:rsidRPr="00AA425C" w:rsidRDefault="00EF5127" w:rsidP="00EF5127">
            <w:pPr>
              <w:jc w:val="center"/>
              <w:rPr>
                <w:rFonts w:eastAsia="Times New Roman" w:cs="Calibri"/>
                <w:b/>
                <w:color w:val="53565A"/>
                <w:sz w:val="18"/>
                <w:szCs w:val="18"/>
                <w:lang w:eastAsia="en-AU"/>
              </w:rPr>
            </w:pPr>
            <w:r w:rsidRPr="00AA425C">
              <w:rPr>
                <w:rFonts w:eastAsia="Times New Roman" w:cs="Calibri"/>
                <w:b/>
                <w:color w:val="53565A"/>
                <w:sz w:val="18"/>
                <w:szCs w:val="18"/>
                <w:lang w:eastAsia="en-AU"/>
              </w:rPr>
              <w:t>10-year PV</w:t>
            </w:r>
          </w:p>
        </w:tc>
      </w:tr>
      <w:tr w:rsidR="00EF5127" w:rsidRPr="00F5127B" w:rsidTr="00C357B6">
        <w:trPr>
          <w:trHeight w:val="317"/>
        </w:trPr>
        <w:tc>
          <w:tcPr>
            <w:tcW w:w="67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N/A</w:t>
            </w:r>
          </w:p>
        </w:tc>
        <w:tc>
          <w:tcPr>
            <w:tcW w:w="2980" w:type="dxa"/>
            <w:tcBorders>
              <w:top w:val="double" w:sz="4" w:space="0" w:color="244061" w:themeColor="accent1" w:themeShade="80"/>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Media</w:t>
            </w:r>
          </w:p>
        </w:tc>
        <w:tc>
          <w:tcPr>
            <w:tcW w:w="99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$0.965</w:t>
            </w:r>
          </w:p>
        </w:tc>
        <w:tc>
          <w:tcPr>
            <w:tcW w:w="87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03"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N/A</w:t>
            </w:r>
          </w:p>
        </w:tc>
        <w:tc>
          <w:tcPr>
            <w:tcW w:w="942" w:type="dxa"/>
            <w:tcBorders>
              <w:top w:val="doub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N/A</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3.1</w:t>
            </w:r>
          </w:p>
        </w:tc>
        <w:tc>
          <w:tcPr>
            <w:tcW w:w="2980" w:type="dxa"/>
            <w:tcBorders>
              <w:top w:val="nil"/>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Staff Ratio 1:25</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$2.074</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$5.006</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$7.938</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$7.938</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3.6</w:t>
            </w:r>
          </w:p>
        </w:tc>
        <w:tc>
          <w:tcPr>
            <w:tcW w:w="2980" w:type="dxa"/>
            <w:tcBorders>
              <w:top w:val="nil"/>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Independent VET</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$0.001</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$0.003</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$0.004</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4.1</w:t>
            </w:r>
          </w:p>
        </w:tc>
        <w:tc>
          <w:tcPr>
            <w:tcW w:w="2980" w:type="dxa"/>
            <w:tcBorders>
              <w:top w:val="nil"/>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Health management plans</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$0.668</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$0.939</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$1.387</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$1.835</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$1.835</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5</w:t>
            </w:r>
          </w:p>
        </w:tc>
        <w:tc>
          <w:tcPr>
            <w:tcW w:w="2980" w:type="dxa"/>
            <w:tcBorders>
              <w:top w:val="nil"/>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Record keeping</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$0.027</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$0.178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$0.428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$0.679</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$0.679</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5.2.1</w:t>
            </w:r>
          </w:p>
        </w:tc>
        <w:tc>
          <w:tcPr>
            <w:tcW w:w="2980" w:type="dxa"/>
            <w:tcBorders>
              <w:top w:val="nil"/>
              <w:left w:val="nil"/>
              <w:bottom w:val="nil"/>
              <w:right w:val="nil"/>
            </w:tcBorders>
            <w:shd w:val="clear" w:color="auto" w:fill="auto"/>
            <w:noWrap/>
            <w:vAlign w:val="bottom"/>
            <w:hideMark/>
          </w:tcPr>
          <w:p w:rsidR="00EF5127" w:rsidRPr="00AA425C" w:rsidRDefault="00EF5127" w:rsidP="00EF5127">
            <w:pPr>
              <w:rPr>
                <w:rFonts w:eastAsia="Times New Roman" w:cs="Calibri"/>
                <w:b/>
                <w:color w:val="53565A"/>
                <w:sz w:val="18"/>
                <w:szCs w:val="18"/>
                <w:lang w:eastAsia="en-AU"/>
              </w:rPr>
            </w:pPr>
            <w:r w:rsidRPr="00AA425C">
              <w:rPr>
                <w:rFonts w:eastAsia="Times New Roman" w:cs="Calibri"/>
                <w:b/>
                <w:color w:val="53565A"/>
                <w:sz w:val="18"/>
                <w:szCs w:val="18"/>
                <w:lang w:eastAsia="en-AU"/>
              </w:rPr>
              <w:t>Records of health &amp; transfer</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$0.043</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$0.284</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$0.685</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$1.087</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$1.087</w:t>
            </w:r>
          </w:p>
        </w:tc>
      </w:tr>
      <w:tr w:rsidR="00EF5127" w:rsidRPr="00F5127B" w:rsidTr="00C357B6">
        <w:trPr>
          <w:trHeight w:val="70"/>
        </w:trPr>
        <w:tc>
          <w:tcPr>
            <w:tcW w:w="6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2980"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b/>
                <w:sz w:val="18"/>
                <w:szCs w:val="18"/>
                <w:lang w:eastAsia="en-AU"/>
              </w:rPr>
            </w:pPr>
            <w:r w:rsidRPr="00AA425C">
              <w:rPr>
                <w:rFonts w:eastAsia="Times New Roman" w:cs="Calibri"/>
                <w:b/>
                <w:color w:val="53565A"/>
                <w:sz w:val="18"/>
                <w:szCs w:val="18"/>
                <w:lang w:eastAsia="en-AU"/>
              </w:rPr>
              <w:t>Food</w:t>
            </w:r>
          </w:p>
        </w:tc>
        <w:tc>
          <w:tcPr>
            <w:tcW w:w="99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6.1.1</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Food receptacle and hygiene</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$0.027</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$0.181</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$0.695</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$0.438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$0.695</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$0.695</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6.1.1</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Food storage</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$0.000</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$0.003</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$0.013</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$0.013</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$0.013</w:t>
            </w:r>
          </w:p>
        </w:tc>
      </w:tr>
      <w:tr w:rsidR="00EF5127" w:rsidRPr="00F5127B" w:rsidTr="00C357B6">
        <w:trPr>
          <w:trHeight w:val="80"/>
        </w:trPr>
        <w:tc>
          <w:tcPr>
            <w:tcW w:w="6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p>
        </w:tc>
        <w:tc>
          <w:tcPr>
            <w:tcW w:w="2980"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6.1.1</w:t>
            </w:r>
          </w:p>
        </w:tc>
        <w:tc>
          <w:tcPr>
            <w:tcW w:w="99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$0.027</w:t>
            </w:r>
          </w:p>
        </w:tc>
        <w:tc>
          <w:tcPr>
            <w:tcW w:w="8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$0.185</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$0.707</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$0.446</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$0.707</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$0.707</w:t>
            </w:r>
          </w:p>
        </w:tc>
      </w:tr>
      <w:tr w:rsidR="00EF5127" w:rsidRPr="00F5127B" w:rsidTr="00C357B6">
        <w:trPr>
          <w:trHeight w:val="70"/>
        </w:trPr>
        <w:tc>
          <w:tcPr>
            <w:tcW w:w="6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2980"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b/>
                <w:sz w:val="18"/>
                <w:szCs w:val="18"/>
                <w:lang w:eastAsia="en-AU"/>
              </w:rPr>
            </w:pPr>
            <w:r w:rsidRPr="00AA425C">
              <w:rPr>
                <w:rFonts w:eastAsia="Times New Roman" w:cs="Calibri"/>
                <w:b/>
                <w:color w:val="53565A"/>
                <w:sz w:val="18"/>
                <w:szCs w:val="18"/>
                <w:lang w:eastAsia="en-AU"/>
              </w:rPr>
              <w:t>Health checks</w:t>
            </w:r>
          </w:p>
        </w:tc>
        <w:tc>
          <w:tcPr>
            <w:tcW w:w="99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6.2.3</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Health checks (breeding females)</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$0.053</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$0.358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$1.368</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$0.863</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$0.000</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$1.368</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6.2.3</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Health checks (all greyhounds)</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$0.567</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$3.752</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$14.359</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$9.055</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$0.000</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$14.359</w:t>
            </w:r>
          </w:p>
        </w:tc>
      </w:tr>
      <w:tr w:rsidR="00EF5127" w:rsidRPr="00F5127B" w:rsidTr="00C357B6">
        <w:trPr>
          <w:trHeight w:val="80"/>
        </w:trPr>
        <w:tc>
          <w:tcPr>
            <w:tcW w:w="6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6.2.3</w:t>
            </w:r>
          </w:p>
        </w:tc>
        <w:tc>
          <w:tcPr>
            <w:tcW w:w="99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$0.620</w:t>
            </w:r>
          </w:p>
        </w:tc>
        <w:tc>
          <w:tcPr>
            <w:tcW w:w="8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$4.110</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$15.727</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$9.918</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$15.727</w:t>
            </w:r>
          </w:p>
        </w:tc>
      </w:tr>
      <w:tr w:rsidR="00EF5127" w:rsidRPr="00F5127B" w:rsidTr="00C357B6">
        <w:trPr>
          <w:trHeight w:val="70"/>
        </w:trPr>
        <w:tc>
          <w:tcPr>
            <w:tcW w:w="6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2980"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b/>
                <w:sz w:val="18"/>
                <w:szCs w:val="18"/>
                <w:lang w:eastAsia="en-AU"/>
              </w:rPr>
            </w:pPr>
            <w:r w:rsidRPr="00AA425C">
              <w:rPr>
                <w:rFonts w:eastAsia="Times New Roman" w:cs="Calibri"/>
                <w:b/>
                <w:color w:val="53565A"/>
                <w:sz w:val="18"/>
                <w:szCs w:val="18"/>
                <w:lang w:eastAsia="en-AU"/>
              </w:rPr>
              <w:t>Rearing</w:t>
            </w:r>
          </w:p>
        </w:tc>
        <w:tc>
          <w:tcPr>
            <w:tcW w:w="99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p>
        </w:tc>
        <w:tc>
          <w:tcPr>
            <w:tcW w:w="8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6.3.9</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Rearing (8 to 16 weeks)</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$0.007</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$0.050</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$0.190</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$0.120</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$0.190</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$0.190</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6.3.9</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Rearing (16 weeks to 18 months)</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$1.523</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$9.728</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$37.226</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$23.476</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$37.226</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r w:rsidRPr="00F5127B">
              <w:rPr>
                <w:rFonts w:eastAsia="Times New Roman" w:cs="Calibri"/>
                <w:sz w:val="18"/>
                <w:szCs w:val="18"/>
                <w:lang w:eastAsia="en-AU"/>
              </w:rPr>
              <w:t>$19.408</w:t>
            </w:r>
          </w:p>
        </w:tc>
      </w:tr>
      <w:tr w:rsidR="00EF5127" w:rsidRPr="00F5127B" w:rsidTr="00C357B6">
        <w:trPr>
          <w:trHeight w:val="80"/>
        </w:trPr>
        <w:tc>
          <w:tcPr>
            <w:tcW w:w="6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6.3.9</w:t>
            </w:r>
          </w:p>
        </w:tc>
        <w:tc>
          <w:tcPr>
            <w:tcW w:w="99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$1.531</w:t>
            </w:r>
          </w:p>
        </w:tc>
        <w:tc>
          <w:tcPr>
            <w:tcW w:w="8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$9.777</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$37.416</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$23.596</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$37.416</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$19.599</w:t>
            </w:r>
          </w:p>
        </w:tc>
      </w:tr>
      <w:tr w:rsidR="00EF5127" w:rsidRPr="00F5127B" w:rsidTr="00C357B6">
        <w:trPr>
          <w:trHeight w:val="300"/>
        </w:trPr>
        <w:tc>
          <w:tcPr>
            <w:tcW w:w="672"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2980"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eastAsia="Times New Roman" w:cs="Calibri"/>
                <w:b/>
                <w:sz w:val="18"/>
                <w:szCs w:val="18"/>
                <w:lang w:eastAsia="en-AU"/>
              </w:rPr>
            </w:pPr>
            <w:r w:rsidRPr="00AA425C">
              <w:rPr>
                <w:rFonts w:eastAsia="Times New Roman" w:cs="Calibri"/>
                <w:b/>
                <w:color w:val="53565A"/>
                <w:sz w:val="18"/>
                <w:szCs w:val="18"/>
                <w:lang w:eastAsia="en-AU"/>
              </w:rPr>
              <w:t>Gap reform</w:t>
            </w:r>
          </w:p>
        </w:tc>
        <w:tc>
          <w:tcPr>
            <w:tcW w:w="992"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p>
        </w:tc>
        <w:tc>
          <w:tcPr>
            <w:tcW w:w="872"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03"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c>
          <w:tcPr>
            <w:tcW w:w="942" w:type="dxa"/>
            <w:tcBorders>
              <w:top w:val="single" w:sz="4" w:space="0" w:color="244061" w:themeColor="accent1" w:themeShade="80"/>
              <w:left w:val="nil"/>
              <w:right w:val="nil"/>
            </w:tcBorders>
            <w:shd w:val="clear" w:color="auto" w:fill="auto"/>
            <w:noWrap/>
            <w:vAlign w:val="bottom"/>
            <w:hideMark/>
          </w:tcPr>
          <w:p w:rsidR="00EF5127" w:rsidRPr="00F5127B" w:rsidRDefault="00EF5127" w:rsidP="00EF5127">
            <w:pPr>
              <w:rPr>
                <w:rFonts w:ascii="Times New Roman" w:eastAsia="Times New Roman" w:hAnsi="Times New Roman" w:cs="Times New Roman"/>
                <w:sz w:val="18"/>
                <w:szCs w:val="18"/>
                <w:lang w:eastAsia="en-AU"/>
              </w:rPr>
            </w:pPr>
          </w:p>
        </w:tc>
      </w:tr>
      <w:tr w:rsidR="00EF5127" w:rsidRPr="00F5127B" w:rsidTr="00C357B6">
        <w:trPr>
          <w:trHeight w:val="80"/>
        </w:trPr>
        <w:tc>
          <w:tcPr>
            <w:tcW w:w="672" w:type="dxa"/>
            <w:tcBorders>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Food and shelter savings for owners</w:t>
            </w:r>
          </w:p>
        </w:tc>
        <w:tc>
          <w:tcPr>
            <w:tcW w:w="99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c>
          <w:tcPr>
            <w:tcW w:w="87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-$4.087</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Euthanasia savings for owners</w:t>
            </w:r>
          </w:p>
        </w:tc>
        <w:tc>
          <w:tcPr>
            <w:tcW w:w="99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c>
          <w:tcPr>
            <w:tcW w:w="87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c>
          <w:tcPr>
            <w:tcW w:w="903"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c>
          <w:tcPr>
            <w:tcW w:w="94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c>
          <w:tcPr>
            <w:tcW w:w="903"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c>
          <w:tcPr>
            <w:tcW w:w="94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-$2.982</w:t>
            </w:r>
          </w:p>
        </w:tc>
      </w:tr>
      <w:tr w:rsidR="00EF5127" w:rsidRPr="00F5127B" w:rsidTr="00C357B6">
        <w:trPr>
          <w:trHeight w:val="80"/>
        </w:trPr>
        <w:tc>
          <w:tcPr>
            <w:tcW w:w="672" w:type="dxa"/>
            <w:tcBorders>
              <w:top w:val="nil"/>
              <w:left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 xml:space="preserve">Rehoming savings for owners </w:t>
            </w:r>
          </w:p>
        </w:tc>
        <w:tc>
          <w:tcPr>
            <w:tcW w:w="99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c>
          <w:tcPr>
            <w:tcW w:w="87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-$6.972</w:t>
            </w:r>
          </w:p>
        </w:tc>
      </w:tr>
      <w:tr w:rsidR="00EF5127" w:rsidRPr="00F5127B" w:rsidTr="00C357B6">
        <w:trPr>
          <w:trHeight w:val="112"/>
        </w:trPr>
        <w:tc>
          <w:tcPr>
            <w:tcW w:w="672" w:type="dxa"/>
            <w:tcBorders>
              <w:left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Savings for owners</w:t>
            </w:r>
          </w:p>
        </w:tc>
        <w:tc>
          <w:tcPr>
            <w:tcW w:w="99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c>
          <w:tcPr>
            <w:tcW w:w="87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-$14.041</w:t>
            </w:r>
          </w:p>
        </w:tc>
      </w:tr>
      <w:tr w:rsidR="00EF5127" w:rsidRPr="00F5127B" w:rsidTr="00C357B6">
        <w:trPr>
          <w:trHeight w:val="313"/>
        </w:trPr>
        <w:tc>
          <w:tcPr>
            <w:tcW w:w="672" w:type="dxa"/>
            <w:tcBorders>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Euthanasia savings for GAP</w:t>
            </w:r>
          </w:p>
        </w:tc>
        <w:tc>
          <w:tcPr>
            <w:tcW w:w="99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c>
          <w:tcPr>
            <w:tcW w:w="87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-$0.161</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Rehoming savings for GAP</w:t>
            </w:r>
          </w:p>
        </w:tc>
        <w:tc>
          <w:tcPr>
            <w:tcW w:w="992"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c>
          <w:tcPr>
            <w:tcW w:w="872"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c>
          <w:tcPr>
            <w:tcW w:w="903"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c>
          <w:tcPr>
            <w:tcW w:w="942"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c>
          <w:tcPr>
            <w:tcW w:w="903"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c>
          <w:tcPr>
            <w:tcW w:w="942" w:type="dxa"/>
            <w:tcBorders>
              <w:top w:val="nil"/>
              <w:left w:val="nil"/>
              <w:bottom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-$3.594</w:t>
            </w:r>
          </w:p>
        </w:tc>
      </w:tr>
      <w:tr w:rsidR="00EF5127" w:rsidRPr="00F5127B" w:rsidTr="00C357B6">
        <w:trPr>
          <w:trHeight w:val="80"/>
        </w:trPr>
        <w:tc>
          <w:tcPr>
            <w:tcW w:w="672" w:type="dxa"/>
            <w:tcBorders>
              <w:top w:val="nil"/>
              <w:left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Rehabilitation savings for GAP</w:t>
            </w:r>
          </w:p>
        </w:tc>
        <w:tc>
          <w:tcPr>
            <w:tcW w:w="99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c>
          <w:tcPr>
            <w:tcW w:w="87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color w:val="FF0000"/>
                <w:sz w:val="18"/>
              </w:rPr>
              <w:t>-$6.258</w:t>
            </w:r>
          </w:p>
        </w:tc>
      </w:tr>
      <w:tr w:rsidR="00EF5127" w:rsidRPr="00F5127B" w:rsidTr="00C357B6">
        <w:trPr>
          <w:trHeight w:val="80"/>
        </w:trPr>
        <w:tc>
          <w:tcPr>
            <w:tcW w:w="672" w:type="dxa"/>
            <w:tcBorders>
              <w:left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Savings for GAP</w:t>
            </w:r>
          </w:p>
        </w:tc>
        <w:tc>
          <w:tcPr>
            <w:tcW w:w="99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c>
          <w:tcPr>
            <w:tcW w:w="87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c>
          <w:tcPr>
            <w:tcW w:w="903"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c>
          <w:tcPr>
            <w:tcW w:w="94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c>
          <w:tcPr>
            <w:tcW w:w="903"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c>
          <w:tcPr>
            <w:tcW w:w="94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sz w:val="18"/>
                <w:szCs w:val="18"/>
                <w:lang w:eastAsia="en-AU"/>
              </w:rPr>
            </w:pPr>
            <w:r w:rsidRPr="00503B24">
              <w:rPr>
                <w:rFonts w:cs="Calibri"/>
                <w:color w:val="FF0000"/>
                <w:sz w:val="18"/>
                <w:szCs w:val="18"/>
              </w:rPr>
              <w:t>-$10.013</w:t>
            </w:r>
          </w:p>
        </w:tc>
      </w:tr>
      <w:tr w:rsidR="00EF5127" w:rsidRPr="00F5127B" w:rsidTr="00C357B6">
        <w:trPr>
          <w:trHeight w:val="327"/>
        </w:trPr>
        <w:tc>
          <w:tcPr>
            <w:tcW w:w="672" w:type="dxa"/>
            <w:tcBorders>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Rehabilitation costs for owners</w:t>
            </w:r>
          </w:p>
        </w:tc>
        <w:tc>
          <w:tcPr>
            <w:tcW w:w="99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$4.729</w:t>
            </w:r>
          </w:p>
        </w:tc>
        <w:tc>
          <w:tcPr>
            <w:tcW w:w="87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$8.972</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$23.116</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$16.044</w:t>
            </w:r>
          </w:p>
        </w:tc>
        <w:tc>
          <w:tcPr>
            <w:tcW w:w="903"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$23.116</w:t>
            </w:r>
          </w:p>
        </w:tc>
        <w:tc>
          <w:tcPr>
            <w:tcW w:w="942" w:type="dxa"/>
            <w:tcBorders>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$23.116</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Rehoming costs for owners</w:t>
            </w:r>
          </w:p>
        </w:tc>
        <w:tc>
          <w:tcPr>
            <w:tcW w:w="99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$2.550</w:t>
            </w:r>
          </w:p>
        </w:tc>
        <w:tc>
          <w:tcPr>
            <w:tcW w:w="87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$4.838</w:t>
            </w:r>
          </w:p>
        </w:tc>
        <w:tc>
          <w:tcPr>
            <w:tcW w:w="903"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$12.463</w:t>
            </w:r>
          </w:p>
        </w:tc>
        <w:tc>
          <w:tcPr>
            <w:tcW w:w="94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$8.650</w:t>
            </w:r>
          </w:p>
        </w:tc>
        <w:tc>
          <w:tcPr>
            <w:tcW w:w="903"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$12.463</w:t>
            </w:r>
          </w:p>
        </w:tc>
        <w:tc>
          <w:tcPr>
            <w:tcW w:w="942" w:type="dxa"/>
            <w:tcBorders>
              <w:top w:val="nil"/>
              <w:left w:val="nil"/>
              <w:bottom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$12.463</w:t>
            </w:r>
          </w:p>
        </w:tc>
      </w:tr>
      <w:tr w:rsidR="00EF5127" w:rsidRPr="00F5127B" w:rsidTr="00C357B6">
        <w:trPr>
          <w:trHeight w:val="80"/>
        </w:trPr>
        <w:tc>
          <w:tcPr>
            <w:tcW w:w="672" w:type="dxa"/>
            <w:tcBorders>
              <w:top w:val="nil"/>
              <w:left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top w:val="nil"/>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Euthanasia costs for owners</w:t>
            </w:r>
          </w:p>
        </w:tc>
        <w:tc>
          <w:tcPr>
            <w:tcW w:w="99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$3.965</w:t>
            </w:r>
          </w:p>
        </w:tc>
        <w:tc>
          <w:tcPr>
            <w:tcW w:w="87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$3.050</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$0.000</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$1.525</w:t>
            </w:r>
          </w:p>
        </w:tc>
        <w:tc>
          <w:tcPr>
            <w:tcW w:w="903"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$0.000</w:t>
            </w:r>
          </w:p>
        </w:tc>
        <w:tc>
          <w:tcPr>
            <w:tcW w:w="942" w:type="dxa"/>
            <w:tcBorders>
              <w:top w:val="nil"/>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$0.000</w:t>
            </w:r>
          </w:p>
        </w:tc>
      </w:tr>
      <w:tr w:rsidR="00EF5127" w:rsidRPr="00F5127B" w:rsidTr="00C357B6">
        <w:trPr>
          <w:trHeight w:val="80"/>
        </w:trPr>
        <w:tc>
          <w:tcPr>
            <w:tcW w:w="672" w:type="dxa"/>
            <w:tcBorders>
              <w:left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Costs for owners</w:t>
            </w:r>
          </w:p>
        </w:tc>
        <w:tc>
          <w:tcPr>
            <w:tcW w:w="99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$11.244</w:t>
            </w:r>
          </w:p>
        </w:tc>
        <w:tc>
          <w:tcPr>
            <w:tcW w:w="87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$16.860</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$35.579</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$26.219</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$35.579</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$35.579</w:t>
            </w:r>
          </w:p>
        </w:tc>
      </w:tr>
      <w:tr w:rsidR="00EF5127" w:rsidRPr="00F5127B" w:rsidTr="00C357B6">
        <w:trPr>
          <w:trHeight w:val="341"/>
        </w:trPr>
        <w:tc>
          <w:tcPr>
            <w:tcW w:w="672" w:type="dxa"/>
            <w:tcBorders>
              <w:left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6.3.12</w:t>
            </w: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sidRPr="00F5127B">
              <w:rPr>
                <w:rFonts w:eastAsia="Times New Roman" w:cs="Calibri"/>
                <w:sz w:val="18"/>
                <w:szCs w:val="18"/>
                <w:lang w:eastAsia="en-AU"/>
              </w:rPr>
              <w:t>Food and shelter/euthanasia costs for GAP</w:t>
            </w:r>
          </w:p>
        </w:tc>
        <w:tc>
          <w:tcPr>
            <w:tcW w:w="99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$0.465</w:t>
            </w:r>
          </w:p>
        </w:tc>
        <w:tc>
          <w:tcPr>
            <w:tcW w:w="87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$0.882</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$1.576</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r>
      <w:tr w:rsidR="00EF5127" w:rsidRPr="00F5127B" w:rsidTr="00C357B6">
        <w:trPr>
          <w:trHeight w:val="80"/>
        </w:trPr>
        <w:tc>
          <w:tcPr>
            <w:tcW w:w="672" w:type="dxa"/>
            <w:tcBorders>
              <w:left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sz w:val="18"/>
                <w:szCs w:val="18"/>
                <w:lang w:eastAsia="en-AU"/>
              </w:rPr>
            </w:pPr>
            <w:r>
              <w:rPr>
                <w:rFonts w:eastAsia="Times New Roman" w:cs="Calibri"/>
                <w:sz w:val="18"/>
                <w:szCs w:val="18"/>
                <w:lang w:eastAsia="en-AU"/>
              </w:rPr>
              <w:t>C</w:t>
            </w:r>
            <w:r w:rsidRPr="00F5127B">
              <w:rPr>
                <w:rFonts w:eastAsia="Times New Roman" w:cs="Calibri"/>
                <w:sz w:val="18"/>
                <w:szCs w:val="18"/>
                <w:lang w:eastAsia="en-AU"/>
              </w:rPr>
              <w:t>osts for GAP</w:t>
            </w:r>
          </w:p>
        </w:tc>
        <w:tc>
          <w:tcPr>
            <w:tcW w:w="99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$0.465</w:t>
            </w:r>
          </w:p>
        </w:tc>
        <w:tc>
          <w:tcPr>
            <w:tcW w:w="87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$0.882</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$1.576</w:t>
            </w:r>
          </w:p>
        </w:tc>
        <w:tc>
          <w:tcPr>
            <w:tcW w:w="903"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c>
          <w:tcPr>
            <w:tcW w:w="942" w:type="dxa"/>
            <w:tcBorders>
              <w:left w:val="nil"/>
              <w:right w:val="nil"/>
            </w:tcBorders>
            <w:shd w:val="clear" w:color="auto" w:fill="auto"/>
            <w:noWrap/>
            <w:vAlign w:val="bottom"/>
            <w:hideMark/>
          </w:tcPr>
          <w:p w:rsidR="00EF5127" w:rsidRPr="00351E43" w:rsidRDefault="00EF5127" w:rsidP="00EF5127">
            <w:pPr>
              <w:jc w:val="right"/>
              <w:rPr>
                <w:rFonts w:eastAsia="Times New Roman" w:cs="Calibri"/>
                <w:sz w:val="18"/>
                <w:szCs w:val="18"/>
                <w:lang w:eastAsia="en-AU"/>
              </w:rPr>
            </w:pPr>
            <w:r w:rsidRPr="00351E43">
              <w:rPr>
                <w:rFonts w:cs="Calibri"/>
                <w:sz w:val="18"/>
              </w:rPr>
              <w:t>$2.271</w:t>
            </w:r>
          </w:p>
        </w:tc>
      </w:tr>
      <w:tr w:rsidR="00EF5127" w:rsidRPr="00F5127B" w:rsidTr="00C357B6">
        <w:trPr>
          <w:trHeight w:val="80"/>
        </w:trPr>
        <w:tc>
          <w:tcPr>
            <w:tcW w:w="672" w:type="dxa"/>
            <w:tcBorders>
              <w:left w:val="nil"/>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left w:val="nil"/>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744D08">
              <w:rPr>
                <w:rFonts w:eastAsia="Times New Roman" w:cs="Calibri"/>
                <w:i/>
                <w:sz w:val="18"/>
                <w:szCs w:val="18"/>
                <w:lang w:eastAsia="en-AU"/>
              </w:rPr>
              <w:t>Subtotal</w:t>
            </w:r>
            <w:r w:rsidRPr="00F5127B">
              <w:rPr>
                <w:rFonts w:eastAsia="Times New Roman" w:cs="Calibri"/>
                <w:i/>
                <w:sz w:val="18"/>
                <w:szCs w:val="18"/>
                <w:lang w:eastAsia="en-AU"/>
              </w:rPr>
              <w:t xml:space="preserve"> 6.3.12</w:t>
            </w:r>
          </w:p>
        </w:tc>
        <w:tc>
          <w:tcPr>
            <w:tcW w:w="99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color w:val="FF0000"/>
                <w:sz w:val="18"/>
                <w:szCs w:val="18"/>
              </w:rPr>
              <w:t>-$12.345</w:t>
            </w:r>
          </w:p>
        </w:tc>
        <w:tc>
          <w:tcPr>
            <w:tcW w:w="87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color w:val="FF0000"/>
                <w:sz w:val="18"/>
                <w:szCs w:val="18"/>
              </w:rPr>
              <w:t>-$6.312</w:t>
            </w:r>
          </w:p>
        </w:tc>
        <w:tc>
          <w:tcPr>
            <w:tcW w:w="903"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sz w:val="18"/>
                <w:szCs w:val="18"/>
              </w:rPr>
              <w:t>$13.796</w:t>
            </w:r>
          </w:p>
        </w:tc>
        <w:tc>
          <w:tcPr>
            <w:tcW w:w="94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sz w:val="18"/>
                <w:szCs w:val="18"/>
              </w:rPr>
              <w:t>$3.742</w:t>
            </w:r>
          </w:p>
        </w:tc>
        <w:tc>
          <w:tcPr>
            <w:tcW w:w="903"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sz w:val="18"/>
                <w:szCs w:val="18"/>
              </w:rPr>
              <w:t>$13.796</w:t>
            </w:r>
          </w:p>
        </w:tc>
        <w:tc>
          <w:tcPr>
            <w:tcW w:w="942" w:type="dxa"/>
            <w:tcBorders>
              <w:left w:val="nil"/>
              <w:right w:val="nil"/>
            </w:tcBorders>
            <w:shd w:val="clear" w:color="auto" w:fill="auto"/>
            <w:noWrap/>
            <w:vAlign w:val="bottom"/>
            <w:hideMark/>
          </w:tcPr>
          <w:p w:rsidR="00EF5127" w:rsidRPr="00503B24" w:rsidRDefault="00EF5127" w:rsidP="00EF5127">
            <w:pPr>
              <w:jc w:val="right"/>
              <w:rPr>
                <w:rFonts w:eastAsia="Times New Roman" w:cs="Calibri"/>
                <w:i/>
                <w:sz w:val="18"/>
                <w:szCs w:val="18"/>
                <w:lang w:eastAsia="en-AU"/>
              </w:rPr>
            </w:pPr>
            <w:r w:rsidRPr="00503B24">
              <w:rPr>
                <w:rFonts w:cs="Calibri"/>
                <w:i/>
                <w:sz w:val="18"/>
                <w:szCs w:val="18"/>
              </w:rPr>
              <w:t>$13.796</w:t>
            </w:r>
          </w:p>
        </w:tc>
      </w:tr>
      <w:tr w:rsidR="00EF5127" w:rsidRPr="00F5127B" w:rsidTr="00C357B6">
        <w:trPr>
          <w:trHeight w:val="70"/>
        </w:trPr>
        <w:tc>
          <w:tcPr>
            <w:tcW w:w="6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6.6.4</w:t>
            </w:r>
          </w:p>
        </w:tc>
        <w:tc>
          <w:tcPr>
            <w:tcW w:w="2980"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F5127B">
              <w:rPr>
                <w:rFonts w:eastAsia="Times New Roman" w:cs="Calibri"/>
                <w:i/>
                <w:sz w:val="18"/>
                <w:szCs w:val="18"/>
                <w:lang w:eastAsia="en-AU"/>
              </w:rPr>
              <w:t>Perimeter fencing</w:t>
            </w:r>
          </w:p>
        </w:tc>
        <w:tc>
          <w:tcPr>
            <w:tcW w:w="99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$0.418</w:t>
            </w:r>
          </w:p>
        </w:tc>
        <w:tc>
          <w:tcPr>
            <w:tcW w:w="87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$2.921</w:t>
            </w: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$7.049</w:t>
            </w:r>
          </w:p>
        </w:tc>
        <w:tc>
          <w:tcPr>
            <w:tcW w:w="903"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$11.178</w:t>
            </w:r>
          </w:p>
        </w:tc>
        <w:tc>
          <w:tcPr>
            <w:tcW w:w="942" w:type="dxa"/>
            <w:tcBorders>
              <w:top w:val="single" w:sz="4" w:space="0" w:color="244061" w:themeColor="accent1" w:themeShade="80"/>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$11.178</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6.6.5</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F5127B">
              <w:rPr>
                <w:rFonts w:eastAsia="Times New Roman" w:cs="Calibri"/>
                <w:i/>
                <w:sz w:val="18"/>
                <w:szCs w:val="18"/>
                <w:lang w:eastAsia="en-AU"/>
              </w:rPr>
              <w:t>Outdoor housing</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$0.303</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$2.016</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$4.864</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$7.713</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$7.713</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6.6.6</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F5127B">
              <w:rPr>
                <w:rFonts w:eastAsia="Times New Roman" w:cs="Calibri"/>
                <w:i/>
                <w:sz w:val="18"/>
                <w:szCs w:val="18"/>
                <w:lang w:eastAsia="en-AU"/>
              </w:rPr>
              <w:t>Indoor housing</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$0.004</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$0.022</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$0.054</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$0.086</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$0.086</w:t>
            </w:r>
          </w:p>
        </w:tc>
      </w:tr>
      <w:tr w:rsidR="00EF5127" w:rsidRPr="00F5127B" w:rsidTr="00C357B6">
        <w:trPr>
          <w:trHeight w:val="80"/>
        </w:trPr>
        <w:tc>
          <w:tcPr>
            <w:tcW w:w="672" w:type="dxa"/>
            <w:tcBorders>
              <w:top w:val="nil"/>
              <w:left w:val="nil"/>
              <w:bottom w:val="nil"/>
              <w:right w:val="nil"/>
            </w:tcBorders>
            <w:shd w:val="clear" w:color="auto" w:fill="auto"/>
            <w:noWrap/>
            <w:vAlign w:val="bottom"/>
            <w:hideMark/>
          </w:tcPr>
          <w:p w:rsidR="00EF5127" w:rsidRPr="00F5127B" w:rsidRDefault="00EF5127" w:rsidP="00EF5127">
            <w:pPr>
              <w:jc w:val="center"/>
              <w:rPr>
                <w:rFonts w:eastAsia="Times New Roman" w:cs="Calibri"/>
                <w:sz w:val="18"/>
                <w:szCs w:val="18"/>
                <w:lang w:eastAsia="en-AU"/>
              </w:rPr>
            </w:pPr>
            <w:r w:rsidRPr="00F5127B">
              <w:rPr>
                <w:rFonts w:eastAsia="Times New Roman" w:cs="Calibri"/>
                <w:sz w:val="18"/>
                <w:szCs w:val="18"/>
                <w:lang w:eastAsia="en-AU"/>
              </w:rPr>
              <w:t>7.1</w:t>
            </w:r>
          </w:p>
        </w:tc>
        <w:tc>
          <w:tcPr>
            <w:tcW w:w="2980" w:type="dxa"/>
            <w:tcBorders>
              <w:top w:val="nil"/>
              <w:left w:val="nil"/>
              <w:bottom w:val="nil"/>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F5127B">
              <w:rPr>
                <w:rFonts w:eastAsia="Times New Roman" w:cs="Calibri"/>
                <w:i/>
                <w:sz w:val="18"/>
                <w:szCs w:val="18"/>
                <w:lang w:eastAsia="en-AU"/>
              </w:rPr>
              <w:t>Sale and transfer out of industry</w:t>
            </w:r>
          </w:p>
        </w:tc>
        <w:tc>
          <w:tcPr>
            <w:tcW w:w="99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$0.005</w:t>
            </w:r>
          </w:p>
        </w:tc>
        <w:tc>
          <w:tcPr>
            <w:tcW w:w="87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$0.013</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$0.026</w:t>
            </w:r>
          </w:p>
        </w:tc>
        <w:tc>
          <w:tcPr>
            <w:tcW w:w="903"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$0.039</w:t>
            </w:r>
          </w:p>
        </w:tc>
        <w:tc>
          <w:tcPr>
            <w:tcW w:w="942" w:type="dxa"/>
            <w:tcBorders>
              <w:top w:val="nil"/>
              <w:left w:val="nil"/>
              <w:bottom w:val="nil"/>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$0.039</w:t>
            </w:r>
          </w:p>
        </w:tc>
      </w:tr>
      <w:tr w:rsidR="00EF5127" w:rsidRPr="00F5127B" w:rsidTr="00C357B6">
        <w:trPr>
          <w:trHeight w:val="80"/>
        </w:trPr>
        <w:tc>
          <w:tcPr>
            <w:tcW w:w="6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i/>
                <w:sz w:val="18"/>
                <w:szCs w:val="18"/>
                <w:lang w:eastAsia="en-AU"/>
              </w:rPr>
            </w:pPr>
            <w:r w:rsidRPr="00F5127B">
              <w:rPr>
                <w:rFonts w:eastAsia="Times New Roman" w:cs="Calibri"/>
                <w:i/>
                <w:sz w:val="18"/>
                <w:szCs w:val="18"/>
                <w:lang w:eastAsia="en-AU"/>
              </w:rPr>
              <w:t>Enforcement</w:t>
            </w:r>
          </w:p>
        </w:tc>
        <w:tc>
          <w:tcPr>
            <w:tcW w:w="99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$0.000</w:t>
            </w:r>
          </w:p>
        </w:tc>
        <w:tc>
          <w:tcPr>
            <w:tcW w:w="87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$4.973</w:t>
            </w:r>
          </w:p>
        </w:tc>
        <w:tc>
          <w:tcPr>
            <w:tcW w:w="903"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$19.584</w:t>
            </w:r>
          </w:p>
        </w:tc>
        <w:tc>
          <w:tcPr>
            <w:tcW w:w="942" w:type="dxa"/>
            <w:tcBorders>
              <w:top w:val="nil"/>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i/>
                <w:sz w:val="18"/>
                <w:szCs w:val="18"/>
                <w:lang w:eastAsia="en-AU"/>
              </w:rPr>
            </w:pPr>
            <w:r w:rsidRPr="00F5127B">
              <w:rPr>
                <w:rFonts w:eastAsia="Times New Roman" w:cs="Calibri"/>
                <w:i/>
                <w:sz w:val="18"/>
                <w:szCs w:val="18"/>
                <w:lang w:eastAsia="en-AU"/>
              </w:rPr>
              <w:t>$19.584</w:t>
            </w:r>
          </w:p>
        </w:tc>
      </w:tr>
      <w:tr w:rsidR="00EF5127" w:rsidRPr="00F5127B" w:rsidTr="00C357B6">
        <w:trPr>
          <w:trHeight w:val="80"/>
        </w:trPr>
        <w:tc>
          <w:tcPr>
            <w:tcW w:w="6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F5127B" w:rsidRDefault="00EF5127" w:rsidP="00EF5127">
            <w:pPr>
              <w:jc w:val="right"/>
              <w:rPr>
                <w:rFonts w:eastAsia="Times New Roman" w:cs="Calibri"/>
                <w:sz w:val="18"/>
                <w:szCs w:val="18"/>
                <w:lang w:eastAsia="en-AU"/>
              </w:rPr>
            </w:pPr>
          </w:p>
        </w:tc>
        <w:tc>
          <w:tcPr>
            <w:tcW w:w="2980"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F5127B" w:rsidRDefault="00EF5127" w:rsidP="00EF5127">
            <w:pPr>
              <w:rPr>
                <w:rFonts w:eastAsia="Times New Roman" w:cs="Calibri"/>
                <w:b/>
                <w:i/>
                <w:sz w:val="18"/>
                <w:szCs w:val="18"/>
                <w:lang w:eastAsia="en-AU"/>
              </w:rPr>
            </w:pPr>
            <w:r w:rsidRPr="00F5127B">
              <w:rPr>
                <w:rFonts w:eastAsia="Times New Roman" w:cs="Calibri"/>
                <w:b/>
                <w:i/>
                <w:sz w:val="18"/>
                <w:szCs w:val="18"/>
                <w:lang w:eastAsia="en-AU"/>
              </w:rPr>
              <w:t>Total</w:t>
            </w:r>
          </w:p>
        </w:tc>
        <w:tc>
          <w:tcPr>
            <w:tcW w:w="99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color w:val="FF0000"/>
                <w:sz w:val="18"/>
                <w:szCs w:val="18"/>
              </w:rPr>
              <w:t>-$7.735</w:t>
            </w:r>
          </w:p>
        </w:tc>
        <w:tc>
          <w:tcPr>
            <w:tcW w:w="87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sz w:val="18"/>
                <w:szCs w:val="18"/>
              </w:rPr>
              <w:t>$35.791</w:t>
            </w: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sz w:val="18"/>
                <w:szCs w:val="18"/>
              </w:rPr>
              <w:t>$117.790</w:t>
            </w: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sz w:val="18"/>
                <w:szCs w:val="18"/>
              </w:rPr>
              <w:t>$62.179</w:t>
            </w:r>
          </w:p>
        </w:tc>
        <w:tc>
          <w:tcPr>
            <w:tcW w:w="903"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sz w:val="18"/>
                <w:szCs w:val="18"/>
              </w:rPr>
              <w:t>$102.063</w:t>
            </w:r>
          </w:p>
        </w:tc>
        <w:tc>
          <w:tcPr>
            <w:tcW w:w="942" w:type="dxa"/>
            <w:tcBorders>
              <w:top w:val="single" w:sz="4" w:space="0" w:color="244061" w:themeColor="accent1" w:themeShade="80"/>
              <w:left w:val="nil"/>
              <w:bottom w:val="single" w:sz="4" w:space="0" w:color="244061" w:themeColor="accent1" w:themeShade="80"/>
              <w:right w:val="nil"/>
            </w:tcBorders>
            <w:shd w:val="clear" w:color="auto" w:fill="auto"/>
            <w:noWrap/>
            <w:vAlign w:val="bottom"/>
            <w:hideMark/>
          </w:tcPr>
          <w:p w:rsidR="00EF5127" w:rsidRPr="00503B24" w:rsidRDefault="00EF5127" w:rsidP="00EF5127">
            <w:pPr>
              <w:jc w:val="right"/>
              <w:rPr>
                <w:rFonts w:eastAsia="Times New Roman" w:cs="Calibri"/>
                <w:b/>
                <w:i/>
                <w:sz w:val="18"/>
                <w:szCs w:val="18"/>
                <w:lang w:eastAsia="en-AU"/>
              </w:rPr>
            </w:pPr>
            <w:r w:rsidRPr="00503B24">
              <w:rPr>
                <w:rFonts w:cs="Calibri"/>
                <w:b/>
                <w:i/>
                <w:sz w:val="18"/>
                <w:szCs w:val="18"/>
              </w:rPr>
              <w:t>$99.972</w:t>
            </w:r>
          </w:p>
        </w:tc>
      </w:tr>
    </w:tbl>
    <w:p w:rsidR="00927925" w:rsidRDefault="00927925" w:rsidP="00AA425C"/>
    <w:p w:rsidR="00C02451" w:rsidRDefault="00C02451" w:rsidP="00AA425C">
      <w:bookmarkStart w:id="295" w:name="_Toc469529246"/>
      <w:r>
        <w:br w:type="page"/>
      </w:r>
    </w:p>
    <w:p w:rsidR="00312B2C" w:rsidRDefault="00312B2C" w:rsidP="00312B2C">
      <w:pPr>
        <w:pStyle w:val="Heading1"/>
      </w:pPr>
      <w:bookmarkStart w:id="296" w:name="_Toc477190270"/>
      <w:r>
        <w:lastRenderedPageBreak/>
        <w:t>Appendix 5:</w:t>
      </w:r>
      <w:r w:rsidR="007B521C">
        <w:t xml:space="preserve"> </w:t>
      </w:r>
      <w:r w:rsidR="005E55E5">
        <w:t xml:space="preserve">Comparative </w:t>
      </w:r>
      <w:r w:rsidR="003D6D1D">
        <w:t xml:space="preserve">legislation/industry codes </w:t>
      </w:r>
      <w:r w:rsidR="005E55E5">
        <w:t>relating to greyhound welfare – Victoria and</w:t>
      </w:r>
      <w:r w:rsidRPr="00312B2C">
        <w:t xml:space="preserve"> other jurisdictions</w:t>
      </w:r>
      <w:bookmarkEnd w:id="295"/>
      <w:bookmarkEnd w:id="296"/>
    </w:p>
    <w:p w:rsidR="005E55E5" w:rsidRDefault="005E55E5" w:rsidP="005E55E5"/>
    <w:tbl>
      <w:tblPr>
        <w:tblW w:w="9989" w:type="dxa"/>
        <w:tblInd w:w="-572" w:type="dxa"/>
        <w:tblLook w:val="04A0" w:firstRow="1" w:lastRow="0" w:firstColumn="1" w:lastColumn="0" w:noHBand="0" w:noVBand="1"/>
      </w:tblPr>
      <w:tblGrid>
        <w:gridCol w:w="957"/>
        <w:gridCol w:w="1187"/>
        <w:gridCol w:w="1064"/>
        <w:gridCol w:w="883"/>
        <w:gridCol w:w="1002"/>
        <w:gridCol w:w="883"/>
        <w:gridCol w:w="910"/>
        <w:gridCol w:w="1091"/>
        <w:gridCol w:w="977"/>
        <w:gridCol w:w="1035"/>
      </w:tblGrid>
      <w:tr w:rsidR="005E55E5" w:rsidRPr="00AA425C" w:rsidTr="005E55E5">
        <w:trPr>
          <w:tblHeader/>
        </w:trPr>
        <w:tc>
          <w:tcPr>
            <w:tcW w:w="957" w:type="dxa"/>
            <w:tcBorders>
              <w:top w:val="single" w:sz="4" w:space="0" w:color="244061" w:themeColor="accent1" w:themeShade="80"/>
              <w:bottom w:val="double" w:sz="4" w:space="0" w:color="244061" w:themeColor="accent1" w:themeShade="80"/>
            </w:tcBorders>
          </w:tcPr>
          <w:p w:rsidR="005E55E5" w:rsidRPr="00AA425C" w:rsidRDefault="005E55E5" w:rsidP="005C07ED">
            <w:pPr>
              <w:rPr>
                <w:color w:val="53565A"/>
                <w:sz w:val="16"/>
                <w:szCs w:val="16"/>
              </w:rPr>
            </w:pPr>
          </w:p>
        </w:tc>
        <w:tc>
          <w:tcPr>
            <w:tcW w:w="1595" w:type="dxa"/>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VIC</w:t>
            </w:r>
          </w:p>
        </w:tc>
        <w:tc>
          <w:tcPr>
            <w:tcW w:w="656" w:type="dxa"/>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NSW</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ACT</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SA</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WA</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QLD</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TAS</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NT</w:t>
            </w:r>
          </w:p>
        </w:tc>
        <w:tc>
          <w:tcPr>
            <w:tcW w:w="0" w:type="auto"/>
            <w:tcBorders>
              <w:top w:val="single" w:sz="4" w:space="0" w:color="244061" w:themeColor="accent1" w:themeShade="80"/>
              <w:bottom w:val="double" w:sz="4" w:space="0" w:color="244061" w:themeColor="accent1" w:themeShade="80"/>
            </w:tcBorders>
          </w:tcPr>
          <w:p w:rsidR="005E55E5" w:rsidRPr="00AA425C" w:rsidRDefault="005E55E5" w:rsidP="005C07ED">
            <w:pPr>
              <w:rPr>
                <w:b/>
                <w:color w:val="53565A"/>
                <w:sz w:val="16"/>
                <w:szCs w:val="16"/>
              </w:rPr>
            </w:pPr>
            <w:r w:rsidRPr="00AA425C">
              <w:rPr>
                <w:b/>
                <w:color w:val="53565A"/>
                <w:sz w:val="16"/>
                <w:szCs w:val="16"/>
              </w:rPr>
              <w:t>NZ</w:t>
            </w:r>
          </w:p>
        </w:tc>
      </w:tr>
      <w:tr w:rsidR="005E55E5" w:rsidRPr="00FE0CFD" w:rsidTr="005E55E5">
        <w:tc>
          <w:tcPr>
            <w:tcW w:w="957" w:type="dxa"/>
            <w:tcBorders>
              <w:top w:val="double" w:sz="4" w:space="0" w:color="244061" w:themeColor="accent1" w:themeShade="80"/>
              <w:bottom w:val="single" w:sz="4" w:space="0" w:color="244061" w:themeColor="accent1" w:themeShade="80"/>
            </w:tcBorders>
          </w:tcPr>
          <w:p w:rsidR="005E55E5" w:rsidRPr="00FE0CFD" w:rsidRDefault="005E55E5" w:rsidP="005C07ED">
            <w:pPr>
              <w:rPr>
                <w:b/>
                <w:sz w:val="16"/>
                <w:szCs w:val="16"/>
              </w:rPr>
            </w:pPr>
            <w:r w:rsidRPr="00FE0CFD">
              <w:rPr>
                <w:b/>
                <w:sz w:val="16"/>
                <w:szCs w:val="16"/>
              </w:rPr>
              <w:t>Act</w:t>
            </w:r>
          </w:p>
        </w:tc>
        <w:tc>
          <w:tcPr>
            <w:tcW w:w="1595" w:type="dxa"/>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Act 1958</w:t>
            </w:r>
          </w:p>
        </w:tc>
        <w:tc>
          <w:tcPr>
            <w:tcW w:w="656" w:type="dxa"/>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Greyhound Racing Act 2009</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Gambling and Racing Control Act 1999</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(Proprietary Business Licensing) Act 2000</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and Wagering Western Australia Act 2003</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Act 2002</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Regulation Act 2004</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and Betting Act</w:t>
            </w:r>
          </w:p>
        </w:tc>
        <w:tc>
          <w:tcPr>
            <w:tcW w:w="0" w:type="auto"/>
            <w:tcBorders>
              <w:top w:val="doub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Racing Act 2003</w:t>
            </w:r>
          </w:p>
        </w:tc>
      </w:tr>
      <w:tr w:rsidR="005E55E5" w:rsidRPr="00FE0CFD" w:rsidTr="005E55E5">
        <w:tc>
          <w:tcPr>
            <w:tcW w:w="957" w:type="dxa"/>
            <w:tcBorders>
              <w:top w:val="single" w:sz="4" w:space="0" w:color="244061" w:themeColor="accent1" w:themeShade="80"/>
              <w:bottom w:val="single" w:sz="4" w:space="0" w:color="244061" w:themeColor="accent1" w:themeShade="80"/>
            </w:tcBorders>
          </w:tcPr>
          <w:p w:rsidR="005E55E5" w:rsidRPr="00FE0CFD" w:rsidRDefault="005E55E5" w:rsidP="005C07ED">
            <w:pPr>
              <w:rPr>
                <w:b/>
                <w:sz w:val="16"/>
                <w:szCs w:val="16"/>
              </w:rPr>
            </w:pPr>
            <w:r w:rsidRPr="00FE0CFD">
              <w:rPr>
                <w:b/>
                <w:sz w:val="16"/>
                <w:szCs w:val="16"/>
              </w:rPr>
              <w:t>Rules</w:t>
            </w:r>
          </w:p>
        </w:tc>
        <w:tc>
          <w:tcPr>
            <w:tcW w:w="1595" w:type="dxa"/>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Endorse GAR</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Local Rules</w:t>
            </w:r>
          </w:p>
        </w:tc>
        <w:tc>
          <w:tcPr>
            <w:tcW w:w="656" w:type="dxa"/>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Combined GAR and 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Combined GAR, Local Rules and relevant NSW 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Combined GAR and 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Combined GAR and 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Endorse GAR</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Endorse GAR</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Local Rules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Local Rules are Regulations under the Racing and Betting Act</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R</w:t>
            </w:r>
            <w:r>
              <w:rPr>
                <w:sz w:val="16"/>
                <w:szCs w:val="16"/>
              </w:rPr>
              <w:t>acing R</w:t>
            </w:r>
            <w:r w:rsidRPr="00FE0CFD">
              <w:rPr>
                <w:sz w:val="16"/>
                <w:szCs w:val="16"/>
              </w:rPr>
              <w:t>ules</w:t>
            </w:r>
          </w:p>
        </w:tc>
      </w:tr>
      <w:tr w:rsidR="005E55E5" w:rsidRPr="00FE0CFD" w:rsidTr="005E55E5">
        <w:tc>
          <w:tcPr>
            <w:tcW w:w="957" w:type="dxa"/>
            <w:tcBorders>
              <w:top w:val="single" w:sz="4" w:space="0" w:color="244061" w:themeColor="accent1" w:themeShade="80"/>
              <w:bottom w:val="single" w:sz="4" w:space="0" w:color="244061" w:themeColor="accent1" w:themeShade="80"/>
            </w:tcBorders>
          </w:tcPr>
          <w:p w:rsidR="005E55E5" w:rsidRPr="00FE0CFD" w:rsidRDefault="005E55E5" w:rsidP="005C07ED">
            <w:pPr>
              <w:rPr>
                <w:b/>
                <w:sz w:val="16"/>
                <w:szCs w:val="16"/>
              </w:rPr>
            </w:pPr>
            <w:r w:rsidRPr="00FE0CFD">
              <w:rPr>
                <w:b/>
                <w:sz w:val="16"/>
                <w:szCs w:val="16"/>
              </w:rPr>
              <w:t>Code</w:t>
            </w:r>
          </w:p>
        </w:tc>
        <w:tc>
          <w:tcPr>
            <w:tcW w:w="1595" w:type="dxa"/>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Industry Code</w:t>
            </w:r>
          </w:p>
          <w:p w:rsidR="005E55E5" w:rsidRDefault="005E55E5" w:rsidP="005C07ED">
            <w:pPr>
              <w:rPr>
                <w:sz w:val="16"/>
                <w:szCs w:val="16"/>
              </w:rPr>
            </w:pPr>
          </w:p>
          <w:p w:rsidR="005E55E5" w:rsidRPr="00FE0CFD" w:rsidRDefault="005E55E5" w:rsidP="005C07ED">
            <w:pPr>
              <w:rPr>
                <w:sz w:val="16"/>
                <w:szCs w:val="16"/>
              </w:rPr>
            </w:pPr>
            <w:r w:rsidRPr="00FE0CFD">
              <w:rPr>
                <w:sz w:val="16"/>
                <w:szCs w:val="16"/>
              </w:rPr>
              <w:t>D</w:t>
            </w:r>
            <w:r>
              <w:rPr>
                <w:sz w:val="16"/>
                <w:szCs w:val="16"/>
              </w:rPr>
              <w:t xml:space="preserve">omestic </w:t>
            </w:r>
            <w:r w:rsidRPr="00FE0CFD">
              <w:rPr>
                <w:sz w:val="16"/>
                <w:szCs w:val="16"/>
              </w:rPr>
              <w:t>A</w:t>
            </w:r>
            <w:r>
              <w:rPr>
                <w:sz w:val="16"/>
                <w:szCs w:val="16"/>
              </w:rPr>
              <w:t xml:space="preserve">nimals </w:t>
            </w:r>
            <w:r w:rsidRPr="00FE0CFD">
              <w:rPr>
                <w:sz w:val="16"/>
                <w:szCs w:val="16"/>
              </w:rPr>
              <w:t>A</w:t>
            </w:r>
            <w:r>
              <w:rPr>
                <w:sz w:val="16"/>
                <w:szCs w:val="16"/>
              </w:rPr>
              <w:t>ct</w:t>
            </w:r>
            <w:r w:rsidRPr="00FE0CFD">
              <w:rPr>
                <w:sz w:val="16"/>
                <w:szCs w:val="16"/>
              </w:rPr>
              <w:t xml:space="preserve"> Code</w:t>
            </w:r>
          </w:p>
        </w:tc>
        <w:tc>
          <w:tcPr>
            <w:tcW w:w="656" w:type="dxa"/>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Industry Code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None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Industry Code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None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None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Welfare manual (integrating specific policies)</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None</w:t>
            </w:r>
          </w:p>
        </w:tc>
        <w:tc>
          <w:tcPr>
            <w:tcW w:w="0" w:type="auto"/>
            <w:tcBorders>
              <w:top w:val="single" w:sz="4" w:space="0" w:color="244061" w:themeColor="accent1" w:themeShade="80"/>
              <w:bottom w:val="single" w:sz="4" w:space="0" w:color="244061" w:themeColor="accent1" w:themeShade="80"/>
            </w:tcBorders>
          </w:tcPr>
          <w:p w:rsidR="005E55E5" w:rsidRPr="00FE0CFD" w:rsidRDefault="005E55E5" w:rsidP="005C07ED">
            <w:pPr>
              <w:rPr>
                <w:sz w:val="16"/>
                <w:szCs w:val="16"/>
              </w:rPr>
            </w:pPr>
            <w:r w:rsidRPr="00FE0CFD">
              <w:rPr>
                <w:sz w:val="16"/>
                <w:szCs w:val="16"/>
              </w:rPr>
              <w:t>Code of welfare</w:t>
            </w:r>
          </w:p>
        </w:tc>
      </w:tr>
      <w:tr w:rsidR="005E55E5" w:rsidRPr="00FE0CFD" w:rsidTr="005E55E5">
        <w:trPr>
          <w:trHeight w:val="2826"/>
        </w:trPr>
        <w:tc>
          <w:tcPr>
            <w:tcW w:w="957" w:type="dxa"/>
            <w:tcBorders>
              <w:top w:val="single" w:sz="4" w:space="0" w:color="244061" w:themeColor="accent1" w:themeShade="80"/>
            </w:tcBorders>
          </w:tcPr>
          <w:p w:rsidR="005E55E5" w:rsidRPr="00FE0CFD" w:rsidRDefault="005E55E5" w:rsidP="005C07ED">
            <w:pPr>
              <w:rPr>
                <w:b/>
                <w:sz w:val="16"/>
                <w:szCs w:val="16"/>
              </w:rPr>
            </w:pPr>
            <w:r w:rsidRPr="00FE0CFD">
              <w:rPr>
                <w:b/>
                <w:sz w:val="16"/>
                <w:szCs w:val="16"/>
              </w:rPr>
              <w:t>Other significant documents relating to greyhound welfare</w:t>
            </w:r>
          </w:p>
        </w:tc>
        <w:tc>
          <w:tcPr>
            <w:tcW w:w="1595" w:type="dxa"/>
            <w:tcBorders>
              <w:top w:val="single" w:sz="4" w:space="0" w:color="244061" w:themeColor="accent1" w:themeShade="80"/>
            </w:tcBorders>
          </w:tcPr>
          <w:p w:rsidR="005E55E5" w:rsidRDefault="005E55E5" w:rsidP="005C07ED">
            <w:pPr>
              <w:rPr>
                <w:sz w:val="16"/>
                <w:szCs w:val="16"/>
              </w:rPr>
            </w:pPr>
            <w:r w:rsidRPr="00FE0CFD">
              <w:rPr>
                <w:sz w:val="16"/>
                <w:szCs w:val="16"/>
              </w:rPr>
              <w:t>GRV/GRNSW Joint Animal Welfare Strategy</w:t>
            </w:r>
          </w:p>
          <w:p w:rsidR="005E55E5" w:rsidRDefault="005E55E5" w:rsidP="005C07ED">
            <w:pPr>
              <w:rPr>
                <w:sz w:val="16"/>
                <w:szCs w:val="16"/>
              </w:rPr>
            </w:pPr>
          </w:p>
          <w:p w:rsidR="005E55E5" w:rsidRPr="00FE0CFD" w:rsidRDefault="005E55E5" w:rsidP="005C07ED">
            <w:pPr>
              <w:rPr>
                <w:sz w:val="16"/>
                <w:szCs w:val="16"/>
              </w:rPr>
            </w:pPr>
            <w:r w:rsidRPr="00FE0CFD">
              <w:rPr>
                <w:sz w:val="16"/>
                <w:szCs w:val="16"/>
              </w:rPr>
              <w:t>‘On track for a greater future – Strategic Plan 2014 – 2019’</w:t>
            </w:r>
          </w:p>
          <w:p w:rsidR="005E55E5" w:rsidRDefault="005E55E5" w:rsidP="005C07ED">
            <w:pPr>
              <w:rPr>
                <w:sz w:val="16"/>
                <w:szCs w:val="16"/>
              </w:rPr>
            </w:pPr>
          </w:p>
          <w:p w:rsidR="005E55E5" w:rsidRPr="00FE0CFD" w:rsidRDefault="005E55E5" w:rsidP="005C07ED">
            <w:pPr>
              <w:rPr>
                <w:sz w:val="16"/>
                <w:szCs w:val="16"/>
              </w:rPr>
            </w:pPr>
            <w:r w:rsidRPr="00FE0CFD">
              <w:rPr>
                <w:sz w:val="16"/>
                <w:szCs w:val="16"/>
              </w:rPr>
              <w:t>Animal Welfare Penalty Guidelines</w:t>
            </w:r>
          </w:p>
          <w:p w:rsidR="005E55E5" w:rsidRDefault="005E55E5" w:rsidP="005C07ED">
            <w:pPr>
              <w:rPr>
                <w:sz w:val="16"/>
                <w:szCs w:val="16"/>
              </w:rPr>
            </w:pPr>
          </w:p>
          <w:p w:rsidR="005E55E5" w:rsidRPr="00FE0CFD" w:rsidRDefault="005E55E5" w:rsidP="005C07ED">
            <w:pPr>
              <w:rPr>
                <w:sz w:val="16"/>
                <w:szCs w:val="16"/>
              </w:rPr>
            </w:pPr>
            <w:r w:rsidRPr="00FE0CFD">
              <w:rPr>
                <w:sz w:val="16"/>
                <w:szCs w:val="16"/>
              </w:rPr>
              <w:t>Hidez compression suit and Thunder Jacket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Hot weather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Trialling policy during race meetings</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Transportation of greyhound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Swab sampling policy and procedures</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Breeder’s education package</w:t>
            </w:r>
          </w:p>
          <w:p w:rsidR="005E55E5" w:rsidRPr="00FE0CFD" w:rsidRDefault="005E55E5" w:rsidP="005C07ED">
            <w:pPr>
              <w:rPr>
                <w:sz w:val="16"/>
                <w:szCs w:val="16"/>
              </w:rPr>
            </w:pPr>
          </w:p>
          <w:p w:rsidR="005E55E5" w:rsidRDefault="005E55E5" w:rsidP="005C07ED">
            <w:pPr>
              <w:rPr>
                <w:sz w:val="16"/>
                <w:szCs w:val="16"/>
              </w:rPr>
            </w:pPr>
            <w:r w:rsidRPr="00FE0CFD">
              <w:rPr>
                <w:sz w:val="16"/>
                <w:szCs w:val="16"/>
              </w:rPr>
              <w:lastRenderedPageBreak/>
              <w:t>Trainer’s competency pack</w:t>
            </w:r>
            <w:r>
              <w:rPr>
                <w:sz w:val="16"/>
                <w:szCs w:val="16"/>
              </w:rPr>
              <w:t>s</w:t>
            </w:r>
          </w:p>
          <w:p w:rsidR="005E55E5" w:rsidRPr="00FE0CFD" w:rsidRDefault="005E55E5" w:rsidP="005C07ED">
            <w:pPr>
              <w:rPr>
                <w:sz w:val="16"/>
                <w:szCs w:val="16"/>
              </w:rPr>
            </w:pPr>
            <w:r w:rsidRPr="00FE0CFD">
              <w:rPr>
                <w:sz w:val="16"/>
                <w:szCs w:val="16"/>
              </w:rPr>
              <w:t>Level 1 - Attendant</w:t>
            </w:r>
          </w:p>
          <w:p w:rsidR="005E55E5" w:rsidRPr="00FE0CFD" w:rsidRDefault="005E55E5" w:rsidP="005C07ED">
            <w:pPr>
              <w:rPr>
                <w:sz w:val="16"/>
                <w:szCs w:val="16"/>
              </w:rPr>
            </w:pPr>
            <w:r w:rsidRPr="00FE0CFD">
              <w:rPr>
                <w:sz w:val="16"/>
                <w:szCs w:val="16"/>
              </w:rPr>
              <w:t>Level 2 –Owner Trainer</w:t>
            </w:r>
          </w:p>
          <w:p w:rsidR="005E55E5" w:rsidRPr="00FE0CFD" w:rsidRDefault="005E55E5" w:rsidP="005C07ED">
            <w:pPr>
              <w:rPr>
                <w:sz w:val="16"/>
                <w:szCs w:val="16"/>
              </w:rPr>
            </w:pPr>
            <w:r w:rsidRPr="00FE0CFD">
              <w:rPr>
                <w:sz w:val="16"/>
                <w:szCs w:val="16"/>
              </w:rPr>
              <w:t>Level 3 – Public Trainer</w:t>
            </w:r>
          </w:p>
          <w:p w:rsidR="005E55E5" w:rsidRPr="00FE0CFD" w:rsidRDefault="005E55E5" w:rsidP="005C07ED">
            <w:pPr>
              <w:rPr>
                <w:sz w:val="16"/>
                <w:szCs w:val="16"/>
              </w:rPr>
            </w:pPr>
          </w:p>
          <w:p w:rsidR="005E55E5" w:rsidRDefault="005E55E5" w:rsidP="005C07ED">
            <w:pPr>
              <w:rPr>
                <w:sz w:val="16"/>
                <w:szCs w:val="16"/>
              </w:rPr>
            </w:pPr>
            <w:r w:rsidRPr="00FE0CFD">
              <w:rPr>
                <w:sz w:val="16"/>
                <w:szCs w:val="16"/>
              </w:rPr>
              <w:t>4 x Animal welfare factsheets</w:t>
            </w:r>
          </w:p>
          <w:p w:rsidR="005E55E5" w:rsidRDefault="005E55E5" w:rsidP="005C07ED">
            <w:pPr>
              <w:rPr>
                <w:sz w:val="16"/>
                <w:szCs w:val="16"/>
              </w:rPr>
            </w:pPr>
          </w:p>
          <w:p w:rsidR="005E55E5" w:rsidRPr="00FE0CFD" w:rsidRDefault="005E55E5" w:rsidP="005C07ED">
            <w:pPr>
              <w:rPr>
                <w:sz w:val="16"/>
                <w:szCs w:val="16"/>
              </w:rPr>
            </w:pPr>
            <w:r>
              <w:rPr>
                <w:sz w:val="16"/>
                <w:szCs w:val="16"/>
              </w:rPr>
              <w:t>5 x Animal welfare initiatives</w:t>
            </w:r>
          </w:p>
        </w:tc>
        <w:tc>
          <w:tcPr>
            <w:tcW w:w="656" w:type="dxa"/>
            <w:tcBorders>
              <w:top w:val="single" w:sz="4" w:space="0" w:color="244061" w:themeColor="accent1" w:themeShade="80"/>
            </w:tcBorders>
          </w:tcPr>
          <w:p w:rsidR="005E55E5" w:rsidRDefault="005E55E5" w:rsidP="005C07ED">
            <w:pPr>
              <w:rPr>
                <w:sz w:val="16"/>
                <w:szCs w:val="16"/>
              </w:rPr>
            </w:pPr>
            <w:r w:rsidRPr="00FE0CFD">
              <w:rPr>
                <w:sz w:val="16"/>
                <w:szCs w:val="16"/>
              </w:rPr>
              <w:lastRenderedPageBreak/>
              <w:t xml:space="preserve">GRV/GRNSW Joint Animal Welfare Strategy </w:t>
            </w:r>
          </w:p>
          <w:p w:rsidR="005E55E5" w:rsidRDefault="005E55E5" w:rsidP="005C07ED">
            <w:pPr>
              <w:rPr>
                <w:sz w:val="16"/>
                <w:szCs w:val="16"/>
              </w:rPr>
            </w:pPr>
          </w:p>
          <w:p w:rsidR="005E55E5" w:rsidRPr="00FE0CFD" w:rsidRDefault="005E55E5" w:rsidP="005C07ED">
            <w:pPr>
              <w:rPr>
                <w:sz w:val="16"/>
                <w:szCs w:val="16"/>
              </w:rPr>
            </w:pPr>
            <w:r w:rsidRPr="00FE0CFD">
              <w:rPr>
                <w:sz w:val="16"/>
                <w:szCs w:val="16"/>
              </w:rPr>
              <w:t>Heat policy</w:t>
            </w:r>
          </w:p>
          <w:p w:rsidR="005E55E5" w:rsidRPr="00FE0CFD" w:rsidRDefault="005E55E5" w:rsidP="005C07ED">
            <w:pPr>
              <w:rPr>
                <w:sz w:val="16"/>
                <w:szCs w:val="16"/>
              </w:rPr>
            </w:pPr>
          </w:p>
          <w:p w:rsidR="005E55E5" w:rsidRPr="00FE0CFD" w:rsidRDefault="005E55E5" w:rsidP="005C07ED">
            <w:pPr>
              <w:rPr>
                <w:sz w:val="16"/>
                <w:szCs w:val="16"/>
              </w:rPr>
            </w:pP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Heat policy</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Veterinary services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Hot weather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Catching pen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Satisfactory trial policy</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None</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Animal Welfare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Veterinary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Testing and training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Factsheets</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 xml:space="preserve">Management and care document </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Compilation of welfare policies (no governance)</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Heat policy</w:t>
            </w:r>
          </w:p>
          <w:p w:rsidR="005E55E5" w:rsidRPr="00FE0CFD" w:rsidRDefault="005E55E5" w:rsidP="005C07ED">
            <w:pPr>
              <w:rPr>
                <w:sz w:val="16"/>
                <w:szCs w:val="16"/>
              </w:rPr>
            </w:pPr>
          </w:p>
          <w:p w:rsidR="005E55E5" w:rsidRPr="00FE0CFD" w:rsidRDefault="005E55E5" w:rsidP="005C07ED">
            <w:pPr>
              <w:rPr>
                <w:sz w:val="16"/>
                <w:szCs w:val="16"/>
              </w:rPr>
            </w:pPr>
            <w:r w:rsidRPr="00FE0CFD">
              <w:rPr>
                <w:sz w:val="16"/>
                <w:szCs w:val="16"/>
              </w:rPr>
              <w:t>Welfare policy</w:t>
            </w:r>
          </w:p>
        </w:tc>
        <w:tc>
          <w:tcPr>
            <w:tcW w:w="0" w:type="auto"/>
            <w:tcBorders>
              <w:top w:val="single" w:sz="4" w:space="0" w:color="244061" w:themeColor="accent1" w:themeShade="80"/>
            </w:tcBorders>
          </w:tcPr>
          <w:p w:rsidR="005E55E5" w:rsidRPr="00FE0CFD" w:rsidRDefault="005E55E5" w:rsidP="005C07ED">
            <w:pPr>
              <w:rPr>
                <w:sz w:val="16"/>
                <w:szCs w:val="16"/>
              </w:rPr>
            </w:pPr>
            <w:r w:rsidRPr="00FE0CFD">
              <w:rPr>
                <w:sz w:val="16"/>
                <w:szCs w:val="16"/>
              </w:rPr>
              <w:t>Recreational drugs policy</w:t>
            </w:r>
          </w:p>
        </w:tc>
      </w:tr>
      <w:tr w:rsidR="005E55E5" w:rsidRPr="00FE0CFD" w:rsidTr="005E55E5">
        <w:tc>
          <w:tcPr>
            <w:tcW w:w="957" w:type="dxa"/>
            <w:tcBorders>
              <w:top w:val="single" w:sz="4" w:space="0" w:color="244061" w:themeColor="accent1" w:themeShade="80"/>
              <w:bottom w:val="single" w:sz="4" w:space="0" w:color="244061" w:themeColor="accent1" w:themeShade="80"/>
              <w:right w:val="single" w:sz="4" w:space="0" w:color="244061" w:themeColor="accent1" w:themeShade="80"/>
            </w:tcBorders>
          </w:tcPr>
          <w:p w:rsidR="005E55E5" w:rsidRPr="00FE0CFD" w:rsidRDefault="005E55E5" w:rsidP="005C07ED">
            <w:pPr>
              <w:rPr>
                <w:b/>
                <w:sz w:val="16"/>
                <w:szCs w:val="16"/>
              </w:rPr>
            </w:pPr>
            <w:r>
              <w:rPr>
                <w:b/>
                <w:sz w:val="16"/>
                <w:szCs w:val="16"/>
              </w:rPr>
              <w:lastRenderedPageBreak/>
              <w:t>Australasia</w:t>
            </w:r>
            <w:r w:rsidRPr="00FE0CFD">
              <w:rPr>
                <w:b/>
                <w:sz w:val="16"/>
                <w:szCs w:val="16"/>
              </w:rPr>
              <w:t xml:space="preserve"> strategy</w:t>
            </w:r>
          </w:p>
        </w:tc>
        <w:tc>
          <w:tcPr>
            <w:tcW w:w="9032" w:type="dxa"/>
            <w:gridSpan w:val="9"/>
            <w:tcBorders>
              <w:top w:val="single" w:sz="4" w:space="0" w:color="244061" w:themeColor="accent1" w:themeShade="80"/>
              <w:left w:val="single" w:sz="4" w:space="0" w:color="244061" w:themeColor="accent1" w:themeShade="80"/>
              <w:bottom w:val="single" w:sz="4" w:space="0" w:color="244061" w:themeColor="accent1" w:themeShade="80"/>
            </w:tcBorders>
          </w:tcPr>
          <w:p w:rsidR="005E55E5" w:rsidRPr="00FE0CFD" w:rsidRDefault="005E55E5" w:rsidP="005C07ED">
            <w:pPr>
              <w:jc w:val="center"/>
              <w:rPr>
                <w:sz w:val="16"/>
                <w:szCs w:val="16"/>
              </w:rPr>
            </w:pPr>
            <w:r w:rsidRPr="00FE0CFD">
              <w:rPr>
                <w:sz w:val="16"/>
                <w:szCs w:val="16"/>
              </w:rPr>
              <w:t>Greyhounds Australasia Greyhound Welfare Strategy</w:t>
            </w:r>
          </w:p>
        </w:tc>
      </w:tr>
    </w:tbl>
    <w:p w:rsidR="005E55E5" w:rsidRDefault="005E55E5" w:rsidP="005E55E5"/>
    <w:p w:rsidR="00BE69B9" w:rsidRDefault="00BE69B9">
      <w:pPr>
        <w:rPr>
          <w:rFonts w:asciiTheme="majorHAnsi" w:eastAsiaTheme="majorEastAsia" w:hAnsiTheme="majorHAnsi" w:cstheme="majorBidi"/>
          <w:color w:val="1F497D" w:themeColor="text2"/>
          <w:sz w:val="32"/>
          <w:szCs w:val="32"/>
        </w:rPr>
      </w:pPr>
      <w:r>
        <w:br w:type="page"/>
      </w:r>
    </w:p>
    <w:p w:rsidR="00BE69B9" w:rsidRDefault="00BE69B9" w:rsidP="00BE69B9">
      <w:pPr>
        <w:pStyle w:val="Heading1"/>
      </w:pPr>
      <w:bookmarkStart w:id="297" w:name="_Toc469529247"/>
      <w:bookmarkStart w:id="298" w:name="_Toc477190271"/>
      <w:r>
        <w:lastRenderedPageBreak/>
        <w:t>Appendix 6:</w:t>
      </w:r>
      <w:r w:rsidR="007B521C">
        <w:t xml:space="preserve"> </w:t>
      </w:r>
      <w:r>
        <w:t>Proposed standards costed and not costed</w:t>
      </w:r>
      <w:bookmarkEnd w:id="297"/>
      <w:bookmarkEnd w:id="298"/>
    </w:p>
    <w:tbl>
      <w:tblPr>
        <w:tblW w:w="9073" w:type="dxa"/>
        <w:tblInd w:w="-289" w:type="dxa"/>
        <w:tblLook w:val="04A0" w:firstRow="1" w:lastRow="0" w:firstColumn="1" w:lastColumn="0" w:noHBand="0" w:noVBand="1"/>
      </w:tblPr>
      <w:tblGrid>
        <w:gridCol w:w="3119"/>
        <w:gridCol w:w="5954"/>
      </w:tblGrid>
      <w:tr w:rsidR="009E00CC" w:rsidRPr="00AA425C" w:rsidTr="00A64520">
        <w:trPr>
          <w:tblHeader/>
        </w:trPr>
        <w:tc>
          <w:tcPr>
            <w:tcW w:w="3119" w:type="dxa"/>
          </w:tcPr>
          <w:p w:rsidR="009E00CC" w:rsidRPr="00AA425C" w:rsidRDefault="009E00CC" w:rsidP="009E00CC">
            <w:pPr>
              <w:rPr>
                <w:b/>
                <w:color w:val="53565A"/>
              </w:rPr>
            </w:pPr>
            <w:r w:rsidRPr="00AA425C">
              <w:rPr>
                <w:b/>
                <w:color w:val="53565A"/>
                <w:szCs w:val="18"/>
              </w:rPr>
              <w:t>Proposed standard</w:t>
            </w:r>
          </w:p>
        </w:tc>
        <w:tc>
          <w:tcPr>
            <w:tcW w:w="5954" w:type="dxa"/>
          </w:tcPr>
          <w:p w:rsidR="009E00CC" w:rsidRPr="00AA425C" w:rsidRDefault="009E00CC" w:rsidP="009E00CC">
            <w:pPr>
              <w:rPr>
                <w:b/>
                <w:color w:val="53565A"/>
              </w:rPr>
            </w:pPr>
            <w:r w:rsidRPr="00AA425C">
              <w:rPr>
                <w:b/>
                <w:color w:val="53565A"/>
                <w:szCs w:val="18"/>
              </w:rPr>
              <w:t>Costed/not costed</w:t>
            </w:r>
          </w:p>
        </w:tc>
      </w:tr>
      <w:tr w:rsidR="009E00CC" w:rsidTr="00A64520">
        <w:tc>
          <w:tcPr>
            <w:tcW w:w="3119" w:type="dxa"/>
          </w:tcPr>
          <w:p w:rsidR="009E00CC" w:rsidRPr="00447CE9" w:rsidRDefault="009E00CC" w:rsidP="00447CE9">
            <w:pPr>
              <w:rPr>
                <w:sz w:val="18"/>
              </w:rPr>
            </w:pPr>
            <w:r w:rsidRPr="00447CE9">
              <w:rPr>
                <w:sz w:val="18"/>
              </w:rPr>
              <w:t>1 Introduction</w:t>
            </w:r>
          </w:p>
        </w:tc>
        <w:tc>
          <w:tcPr>
            <w:tcW w:w="5954" w:type="dxa"/>
          </w:tcPr>
          <w:p w:rsidR="009E00CC" w:rsidRPr="00447CE9" w:rsidRDefault="009E00CC" w:rsidP="00447CE9">
            <w:pPr>
              <w:rPr>
                <w:sz w:val="18"/>
              </w:rPr>
            </w:pPr>
            <w:r w:rsidRPr="00447CE9">
              <w:rPr>
                <w:rFonts w:eastAsia="Times New Roman"/>
                <w:sz w:val="18"/>
              </w:rPr>
              <w:t>No direct effect</w:t>
            </w:r>
          </w:p>
        </w:tc>
      </w:tr>
      <w:tr w:rsidR="009E00CC" w:rsidTr="00A64520">
        <w:tc>
          <w:tcPr>
            <w:tcW w:w="3119" w:type="dxa"/>
          </w:tcPr>
          <w:p w:rsidR="009E00CC" w:rsidRPr="00447CE9" w:rsidRDefault="009E00CC" w:rsidP="00447CE9">
            <w:pPr>
              <w:rPr>
                <w:sz w:val="18"/>
              </w:rPr>
            </w:pPr>
            <w:r w:rsidRPr="00447CE9">
              <w:rPr>
                <w:sz w:val="18"/>
                <w:lang w:val="en-GB"/>
              </w:rPr>
              <w:t>2 Definitions</w:t>
            </w:r>
          </w:p>
        </w:tc>
        <w:tc>
          <w:tcPr>
            <w:tcW w:w="5954" w:type="dxa"/>
          </w:tcPr>
          <w:p w:rsidR="009E00CC" w:rsidRPr="00447CE9" w:rsidRDefault="009E00CC" w:rsidP="00447CE9">
            <w:pPr>
              <w:rPr>
                <w:sz w:val="18"/>
              </w:rPr>
            </w:pPr>
            <w:r w:rsidRPr="00447CE9">
              <w:rPr>
                <w:sz w:val="18"/>
              </w:rPr>
              <w:t>No direct effect</w:t>
            </w:r>
          </w:p>
        </w:tc>
      </w:tr>
      <w:tr w:rsidR="009E00CC" w:rsidTr="00A64520">
        <w:tc>
          <w:tcPr>
            <w:tcW w:w="3119" w:type="dxa"/>
          </w:tcPr>
          <w:p w:rsidR="009E00CC" w:rsidRPr="00447CE9" w:rsidRDefault="009E00CC" w:rsidP="00447CE9">
            <w:pPr>
              <w:rPr>
                <w:sz w:val="18"/>
              </w:rPr>
            </w:pPr>
            <w:r w:rsidRPr="00447CE9">
              <w:rPr>
                <w:rFonts w:cs="Tahoma"/>
                <w:sz w:val="18"/>
                <w:lang w:val="en-GB"/>
              </w:rPr>
              <w:t>3 STAFFING</w:t>
            </w:r>
          </w:p>
        </w:tc>
        <w:tc>
          <w:tcPr>
            <w:tcW w:w="5954" w:type="dxa"/>
          </w:tcPr>
          <w:p w:rsidR="009E00CC" w:rsidRPr="00447CE9" w:rsidRDefault="009E00CC" w:rsidP="00447CE9">
            <w:pPr>
              <w:rPr>
                <w:sz w:val="18"/>
              </w:rPr>
            </w:pPr>
            <w:r w:rsidRPr="00447CE9">
              <w:rPr>
                <w:sz w:val="18"/>
              </w:rPr>
              <w:t>No cost</w:t>
            </w:r>
          </w:p>
        </w:tc>
      </w:tr>
      <w:tr w:rsidR="009E00CC" w:rsidTr="00A64520">
        <w:trPr>
          <w:trHeight w:val="226"/>
        </w:trPr>
        <w:tc>
          <w:tcPr>
            <w:tcW w:w="3119" w:type="dxa"/>
          </w:tcPr>
          <w:p w:rsidR="009E00CC" w:rsidRPr="00447CE9" w:rsidRDefault="009E00CC" w:rsidP="00447CE9">
            <w:pPr>
              <w:rPr>
                <w:sz w:val="18"/>
              </w:rPr>
            </w:pPr>
            <w:r w:rsidRPr="00447CE9">
              <w:rPr>
                <w:sz w:val="18"/>
                <w:lang w:val="en-GB"/>
              </w:rPr>
              <w:t>3.1 Staff ratio</w:t>
            </w:r>
          </w:p>
        </w:tc>
        <w:tc>
          <w:tcPr>
            <w:tcW w:w="5954" w:type="dxa"/>
          </w:tcPr>
          <w:p w:rsidR="009E00CC" w:rsidRPr="00447CE9" w:rsidRDefault="009E00CC" w:rsidP="00447CE9">
            <w:pPr>
              <w:rPr>
                <w:sz w:val="18"/>
              </w:rPr>
            </w:pPr>
            <w:r w:rsidRPr="00447CE9">
              <w:rPr>
                <w:sz w:val="18"/>
              </w:rPr>
              <w:t>Yes</w:t>
            </w:r>
          </w:p>
          <w:p w:rsidR="009E00CC" w:rsidRPr="00447CE9" w:rsidRDefault="009E00CC" w:rsidP="00447CE9">
            <w:pPr>
              <w:rPr>
                <w:sz w:val="18"/>
              </w:rPr>
            </w:pPr>
            <w:r w:rsidRPr="00447CE9">
              <w:rPr>
                <w:sz w:val="18"/>
              </w:rPr>
              <w:t>Only affects facilities with 25 dogs or more (including ‘equivalent’)</w:t>
            </w:r>
          </w:p>
        </w:tc>
      </w:tr>
      <w:tr w:rsidR="009E00CC" w:rsidTr="00A64520">
        <w:tc>
          <w:tcPr>
            <w:tcW w:w="3119" w:type="dxa"/>
          </w:tcPr>
          <w:p w:rsidR="009E00CC" w:rsidRPr="00447CE9" w:rsidRDefault="009E00CC" w:rsidP="00447CE9">
            <w:pPr>
              <w:rPr>
                <w:sz w:val="18"/>
              </w:rPr>
            </w:pPr>
            <w:r w:rsidRPr="00447CE9">
              <w:rPr>
                <w:sz w:val="18"/>
                <w:lang w:val="en-GB"/>
              </w:rPr>
              <w:t>3.2 Proprietor/Owners</w:t>
            </w:r>
          </w:p>
        </w:tc>
        <w:tc>
          <w:tcPr>
            <w:tcW w:w="5954" w:type="dxa"/>
          </w:tcPr>
          <w:p w:rsidR="009E00CC" w:rsidRPr="00447CE9" w:rsidRDefault="009E00CC" w:rsidP="00447CE9">
            <w:pPr>
              <w:rPr>
                <w:rFonts w:eastAsia="Times New Roman"/>
                <w:bCs/>
                <w:color w:val="000000" w:themeColor="text1"/>
                <w:sz w:val="18"/>
              </w:rPr>
            </w:pPr>
            <w:r w:rsidRPr="00447CE9">
              <w:rPr>
                <w:rFonts w:eastAsia="Times New Roman"/>
                <w:bCs/>
                <w:color w:val="000000" w:themeColor="text1"/>
                <w:sz w:val="18"/>
              </w:rPr>
              <w:t>Not costed:</w:t>
            </w:r>
          </w:p>
          <w:p w:rsidR="009E00CC" w:rsidRPr="00447CE9" w:rsidRDefault="009E00CC" w:rsidP="00447CE9">
            <w:pPr>
              <w:rPr>
                <w:rFonts w:eastAsia="Times New Roman"/>
                <w:bCs/>
                <w:color w:val="000000" w:themeColor="text1"/>
                <w:sz w:val="18"/>
              </w:rPr>
            </w:pPr>
            <w:r w:rsidRPr="00447CE9">
              <w:rPr>
                <w:rFonts w:eastAsia="Times New Roman"/>
                <w:bCs/>
                <w:color w:val="000000" w:themeColor="text1"/>
                <w:sz w:val="18"/>
              </w:rPr>
              <w:t>Change to require registered with GRV within 7 days of birth –only changes timeline to inform not cost.</w:t>
            </w:r>
          </w:p>
          <w:p w:rsidR="009E00CC" w:rsidRPr="00447CE9" w:rsidRDefault="009E00CC" w:rsidP="00447CE9">
            <w:pPr>
              <w:rPr>
                <w:rFonts w:eastAsia="Times New Roman"/>
                <w:bCs/>
                <w:color w:val="000000" w:themeColor="text1"/>
                <w:sz w:val="18"/>
              </w:rPr>
            </w:pPr>
            <w:r w:rsidRPr="00447CE9">
              <w:rPr>
                <w:rFonts w:eastAsia="Times New Roman"/>
                <w:bCs/>
                <w:color w:val="000000" w:themeColor="text1"/>
                <w:sz w:val="18"/>
              </w:rPr>
              <w:t>Health plan costed elsewhere.</w:t>
            </w:r>
          </w:p>
          <w:p w:rsidR="009E00CC" w:rsidRPr="00447CE9" w:rsidRDefault="009E00CC" w:rsidP="00447CE9">
            <w:pPr>
              <w:rPr>
                <w:sz w:val="18"/>
              </w:rPr>
            </w:pPr>
            <w:r w:rsidRPr="00447CE9">
              <w:rPr>
                <w:rFonts w:eastAsia="Times New Roman"/>
                <w:bCs/>
                <w:color w:val="000000" w:themeColor="text1"/>
                <w:sz w:val="18"/>
              </w:rPr>
              <w:t>GRV local rule requires mandatory training.</w:t>
            </w:r>
          </w:p>
        </w:tc>
      </w:tr>
      <w:tr w:rsidR="009E00CC" w:rsidTr="00A64520">
        <w:tc>
          <w:tcPr>
            <w:tcW w:w="3119" w:type="dxa"/>
          </w:tcPr>
          <w:p w:rsidR="009E00CC" w:rsidRPr="00447CE9" w:rsidRDefault="009E00CC" w:rsidP="00447CE9">
            <w:pPr>
              <w:rPr>
                <w:sz w:val="18"/>
              </w:rPr>
            </w:pPr>
            <w:r w:rsidRPr="00447CE9">
              <w:rPr>
                <w:sz w:val="18"/>
                <w:lang w:val="en-GB"/>
              </w:rPr>
              <w:t>3.3 Operations manager</w:t>
            </w:r>
          </w:p>
        </w:tc>
        <w:tc>
          <w:tcPr>
            <w:tcW w:w="5954" w:type="dxa"/>
          </w:tcPr>
          <w:p w:rsidR="009E00CC" w:rsidRPr="00447CE9" w:rsidRDefault="009E00CC" w:rsidP="00447CE9">
            <w:pPr>
              <w:rPr>
                <w:sz w:val="18"/>
              </w:rPr>
            </w:pPr>
            <w:r w:rsidRPr="00447CE9">
              <w:rPr>
                <w:sz w:val="18"/>
              </w:rPr>
              <w:t>No new duties costed under the actual provision.</w:t>
            </w:r>
          </w:p>
        </w:tc>
      </w:tr>
      <w:tr w:rsidR="009E00CC" w:rsidTr="00A64520">
        <w:tc>
          <w:tcPr>
            <w:tcW w:w="3119" w:type="dxa"/>
          </w:tcPr>
          <w:p w:rsidR="009E00CC" w:rsidRPr="00447CE9" w:rsidRDefault="009E00CC" w:rsidP="00447CE9">
            <w:pPr>
              <w:rPr>
                <w:sz w:val="18"/>
              </w:rPr>
            </w:pPr>
            <w:r w:rsidRPr="00447CE9">
              <w:rPr>
                <w:sz w:val="18"/>
                <w:lang w:val="en-GB"/>
              </w:rPr>
              <w:t>3.4 Greyhound attendants or carers</w:t>
            </w:r>
          </w:p>
        </w:tc>
        <w:tc>
          <w:tcPr>
            <w:tcW w:w="5954" w:type="dxa"/>
          </w:tcPr>
          <w:p w:rsidR="009E00CC" w:rsidRPr="00447CE9" w:rsidRDefault="009E00CC" w:rsidP="00447CE9">
            <w:pPr>
              <w:rPr>
                <w:rFonts w:eastAsia="Times New Roman"/>
                <w:bCs/>
                <w:sz w:val="18"/>
              </w:rPr>
            </w:pPr>
            <w:r w:rsidRPr="00447CE9">
              <w:rPr>
                <w:sz w:val="18"/>
              </w:rPr>
              <w:t>No new duties costed under the actual provision.</w:t>
            </w:r>
          </w:p>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lang w:val="en-GB"/>
              </w:rPr>
              <w:t>3.5 Vehicle driver</w:t>
            </w:r>
          </w:p>
        </w:tc>
        <w:tc>
          <w:tcPr>
            <w:tcW w:w="5954" w:type="dxa"/>
          </w:tcPr>
          <w:p w:rsidR="009E00CC" w:rsidRPr="00447CE9" w:rsidRDefault="009E00CC" w:rsidP="00447CE9">
            <w:pPr>
              <w:rPr>
                <w:sz w:val="18"/>
              </w:rPr>
            </w:pPr>
            <w:r w:rsidRPr="00447CE9">
              <w:rPr>
                <w:sz w:val="18"/>
              </w:rPr>
              <w:t>No – mandatory local rules cover transport and vehicle, so no change.</w:t>
            </w:r>
          </w:p>
        </w:tc>
      </w:tr>
      <w:tr w:rsidR="009E00CC" w:rsidTr="00A64520">
        <w:tc>
          <w:tcPr>
            <w:tcW w:w="3119" w:type="dxa"/>
          </w:tcPr>
          <w:p w:rsidR="009E00CC" w:rsidRPr="00447CE9" w:rsidRDefault="009E00CC" w:rsidP="00447CE9">
            <w:pPr>
              <w:rPr>
                <w:sz w:val="18"/>
              </w:rPr>
            </w:pPr>
            <w:r w:rsidRPr="00447CE9">
              <w:rPr>
                <w:sz w:val="18"/>
                <w:lang w:val="en-GB"/>
              </w:rPr>
              <w:t>3.6 Veterinary practitioner</w:t>
            </w:r>
          </w:p>
        </w:tc>
        <w:tc>
          <w:tcPr>
            <w:tcW w:w="5954" w:type="dxa"/>
          </w:tcPr>
          <w:p w:rsidR="009E00CC" w:rsidRPr="00447CE9" w:rsidRDefault="009E00CC" w:rsidP="00447CE9">
            <w:pPr>
              <w:rPr>
                <w:rFonts w:eastAsia="Times New Roman"/>
                <w:bCs/>
                <w:sz w:val="18"/>
              </w:rPr>
            </w:pPr>
            <w:r w:rsidRPr="00447CE9">
              <w:rPr>
                <w:rFonts w:eastAsia="Times New Roman"/>
                <w:bCs/>
                <w:sz w:val="18"/>
              </w:rPr>
              <w:t>No – mandatory local rule already requires.</w:t>
            </w:r>
          </w:p>
          <w:p w:rsidR="009E00CC" w:rsidRPr="00447CE9" w:rsidRDefault="009E00CC" w:rsidP="00447CE9">
            <w:pPr>
              <w:rPr>
                <w:rFonts w:eastAsia="Times New Roman"/>
                <w:bCs/>
                <w:sz w:val="18"/>
              </w:rPr>
            </w:pPr>
          </w:p>
          <w:p w:rsidR="009E00CC" w:rsidRPr="00447CE9" w:rsidRDefault="009E00CC" w:rsidP="00447CE9">
            <w:pPr>
              <w:rPr>
                <w:sz w:val="18"/>
              </w:rPr>
            </w:pPr>
            <w:r w:rsidRPr="00447CE9">
              <w:rPr>
                <w:rFonts w:eastAsia="Times New Roman"/>
                <w:bCs/>
                <w:sz w:val="18"/>
              </w:rPr>
              <w:t>Extra cost for proprietors who are already veterinarians – new requirement independent inspection.</w:t>
            </w:r>
          </w:p>
        </w:tc>
      </w:tr>
      <w:tr w:rsidR="009E00CC" w:rsidTr="00A64520">
        <w:tc>
          <w:tcPr>
            <w:tcW w:w="3119" w:type="dxa"/>
          </w:tcPr>
          <w:p w:rsidR="009E00CC" w:rsidRPr="00447CE9" w:rsidRDefault="009E00CC" w:rsidP="00447CE9">
            <w:pPr>
              <w:rPr>
                <w:sz w:val="18"/>
              </w:rPr>
            </w:pPr>
            <w:r w:rsidRPr="00447CE9">
              <w:rPr>
                <w:sz w:val="18"/>
                <w:lang w:val="en-GB"/>
              </w:rPr>
              <w:t>3.7 Mandatory training and educations</w:t>
            </w:r>
          </w:p>
        </w:tc>
        <w:tc>
          <w:tcPr>
            <w:tcW w:w="5954" w:type="dxa"/>
          </w:tcPr>
          <w:p w:rsidR="009E00CC" w:rsidRPr="00447CE9" w:rsidRDefault="009E00CC" w:rsidP="00447CE9">
            <w:pPr>
              <w:rPr>
                <w:sz w:val="18"/>
              </w:rPr>
            </w:pPr>
            <w:r w:rsidRPr="00447CE9">
              <w:rPr>
                <w:sz w:val="18"/>
              </w:rPr>
              <w:t>No –mandatory local rule.</w:t>
            </w:r>
          </w:p>
        </w:tc>
      </w:tr>
      <w:tr w:rsidR="009E00CC" w:rsidTr="00A64520">
        <w:tc>
          <w:tcPr>
            <w:tcW w:w="3119" w:type="dxa"/>
          </w:tcPr>
          <w:p w:rsidR="009E00CC" w:rsidRPr="00447CE9" w:rsidRDefault="009E00CC" w:rsidP="00447CE9">
            <w:pPr>
              <w:rPr>
                <w:sz w:val="18"/>
              </w:rPr>
            </w:pPr>
            <w:r w:rsidRPr="00447CE9">
              <w:rPr>
                <w:sz w:val="18"/>
                <w:lang w:val="en-GB"/>
              </w:rPr>
              <w:t>3.8 Staff health</w:t>
            </w:r>
          </w:p>
        </w:tc>
        <w:tc>
          <w:tcPr>
            <w:tcW w:w="5954" w:type="dxa"/>
          </w:tcPr>
          <w:p w:rsidR="009E00CC" w:rsidRPr="00447CE9" w:rsidRDefault="009E00CC" w:rsidP="00447CE9">
            <w:pPr>
              <w:rPr>
                <w:sz w:val="18"/>
              </w:rPr>
            </w:pPr>
            <w:r w:rsidRPr="00447CE9">
              <w:rPr>
                <w:sz w:val="18"/>
              </w:rPr>
              <w:t>No - negligible around 5% affected (large businesses) as homes and many big businesses already have (soap)</w:t>
            </w:r>
          </w:p>
        </w:tc>
      </w:tr>
      <w:tr w:rsidR="009E00CC" w:rsidTr="00A64520">
        <w:tc>
          <w:tcPr>
            <w:tcW w:w="3119" w:type="dxa"/>
          </w:tcPr>
          <w:p w:rsidR="009E00CC" w:rsidRPr="00447CE9" w:rsidRDefault="009E00CC" w:rsidP="00447CE9">
            <w:pPr>
              <w:rPr>
                <w:sz w:val="18"/>
              </w:rPr>
            </w:pPr>
            <w:r w:rsidRPr="00447CE9">
              <w:rPr>
                <w:sz w:val="18"/>
                <w:lang w:val="en-GB"/>
              </w:rPr>
              <w:t>4. Establishment operations</w:t>
            </w:r>
          </w:p>
        </w:tc>
        <w:tc>
          <w:tcPr>
            <w:tcW w:w="5954" w:type="dxa"/>
          </w:tcPr>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lang w:val="en-GB"/>
              </w:rPr>
              <w:t>4.4 Visitors facilities</w:t>
            </w:r>
          </w:p>
        </w:tc>
        <w:tc>
          <w:tcPr>
            <w:tcW w:w="5954" w:type="dxa"/>
          </w:tcPr>
          <w:p w:rsidR="009E00CC" w:rsidRPr="00447CE9" w:rsidRDefault="009E00CC" w:rsidP="00447CE9">
            <w:pPr>
              <w:rPr>
                <w:sz w:val="18"/>
              </w:rPr>
            </w:pPr>
            <w:r w:rsidRPr="00447CE9">
              <w:rPr>
                <w:sz w:val="18"/>
              </w:rPr>
              <w:t>No</w:t>
            </w:r>
            <w:r w:rsidRPr="00447CE9">
              <w:rPr>
                <w:color w:val="0070C0"/>
                <w:sz w:val="18"/>
              </w:rPr>
              <w:t xml:space="preserve"> </w:t>
            </w:r>
            <w:r w:rsidRPr="00447CE9">
              <w:rPr>
                <w:sz w:val="18"/>
              </w:rPr>
              <w:t>Already standard industry practice</w:t>
            </w:r>
          </w:p>
        </w:tc>
      </w:tr>
      <w:tr w:rsidR="009E00CC" w:rsidTr="00A64520">
        <w:tc>
          <w:tcPr>
            <w:tcW w:w="3119" w:type="dxa"/>
          </w:tcPr>
          <w:p w:rsidR="009E00CC" w:rsidRPr="00447CE9" w:rsidRDefault="009E00CC" w:rsidP="00447CE9">
            <w:pPr>
              <w:rPr>
                <w:sz w:val="18"/>
              </w:rPr>
            </w:pPr>
            <w:r w:rsidRPr="00447CE9">
              <w:rPr>
                <w:sz w:val="18"/>
                <w:lang w:val="en-GB"/>
              </w:rPr>
              <w:t>4.3 Greyhound transport Vehicle</w:t>
            </w:r>
          </w:p>
        </w:tc>
        <w:tc>
          <w:tcPr>
            <w:tcW w:w="5954" w:type="dxa"/>
          </w:tcPr>
          <w:p w:rsidR="009E00CC" w:rsidRPr="00447CE9" w:rsidRDefault="009E00CC" w:rsidP="00447CE9">
            <w:pPr>
              <w:rPr>
                <w:sz w:val="18"/>
              </w:rPr>
            </w:pPr>
            <w:r w:rsidRPr="00447CE9">
              <w:rPr>
                <w:sz w:val="18"/>
              </w:rPr>
              <w:t>No – Mandatory local rule already or POCTAA</w:t>
            </w:r>
          </w:p>
        </w:tc>
      </w:tr>
      <w:tr w:rsidR="009E00CC" w:rsidTr="00A64520">
        <w:tc>
          <w:tcPr>
            <w:tcW w:w="3119" w:type="dxa"/>
          </w:tcPr>
          <w:p w:rsidR="009E00CC" w:rsidRPr="00447CE9" w:rsidRDefault="009E00CC" w:rsidP="00447CE9">
            <w:pPr>
              <w:rPr>
                <w:sz w:val="18"/>
              </w:rPr>
            </w:pPr>
            <w:r w:rsidRPr="00447CE9">
              <w:rPr>
                <w:sz w:val="18"/>
                <w:lang w:val="en-GB"/>
              </w:rPr>
              <w:t>4.5 Security</w:t>
            </w:r>
          </w:p>
        </w:tc>
        <w:tc>
          <w:tcPr>
            <w:tcW w:w="5954" w:type="dxa"/>
          </w:tcPr>
          <w:p w:rsidR="009E00CC" w:rsidRPr="00447CE9" w:rsidRDefault="009E00CC" w:rsidP="00447CE9">
            <w:pPr>
              <w:rPr>
                <w:sz w:val="18"/>
              </w:rPr>
            </w:pPr>
            <w:r w:rsidRPr="00447CE9">
              <w:rPr>
                <w:rFonts w:eastAsia="Times New Roman"/>
                <w:bCs/>
                <w:color w:val="auto"/>
                <w:sz w:val="18"/>
              </w:rPr>
              <w:t>No. Properties already have 2 physical barriers and was requirement of old code</w:t>
            </w:r>
          </w:p>
        </w:tc>
      </w:tr>
      <w:tr w:rsidR="009E00CC" w:rsidTr="00A64520">
        <w:tc>
          <w:tcPr>
            <w:tcW w:w="3119" w:type="dxa"/>
          </w:tcPr>
          <w:p w:rsidR="009E00CC" w:rsidRPr="00447CE9" w:rsidRDefault="009E00CC" w:rsidP="00447CE9">
            <w:pPr>
              <w:rPr>
                <w:sz w:val="18"/>
              </w:rPr>
            </w:pPr>
            <w:r w:rsidRPr="00447CE9">
              <w:rPr>
                <w:sz w:val="18"/>
                <w:lang w:val="en-GB"/>
              </w:rPr>
              <w:t>4.2 Euthanasia</w:t>
            </w:r>
          </w:p>
        </w:tc>
        <w:tc>
          <w:tcPr>
            <w:tcW w:w="5954" w:type="dxa"/>
          </w:tcPr>
          <w:p w:rsidR="009E00CC" w:rsidRPr="00447CE9" w:rsidRDefault="009E00CC" w:rsidP="00447CE9">
            <w:pPr>
              <w:rPr>
                <w:sz w:val="18"/>
              </w:rPr>
            </w:pPr>
            <w:r w:rsidRPr="00447CE9">
              <w:rPr>
                <w:sz w:val="18"/>
              </w:rPr>
              <w:t>No – Mandatory local rule</w:t>
            </w:r>
          </w:p>
        </w:tc>
      </w:tr>
      <w:tr w:rsidR="009E00CC" w:rsidTr="00A64520">
        <w:tc>
          <w:tcPr>
            <w:tcW w:w="3119" w:type="dxa"/>
          </w:tcPr>
          <w:p w:rsidR="009E00CC" w:rsidRPr="00447CE9" w:rsidRDefault="009E00CC" w:rsidP="00447CE9">
            <w:pPr>
              <w:rPr>
                <w:sz w:val="18"/>
              </w:rPr>
            </w:pPr>
            <w:r w:rsidRPr="00447CE9">
              <w:rPr>
                <w:sz w:val="18"/>
                <w:lang w:val="en-GB"/>
              </w:rPr>
              <w:t>4.1 Health management plan</w:t>
            </w:r>
          </w:p>
        </w:tc>
        <w:tc>
          <w:tcPr>
            <w:tcW w:w="5954" w:type="dxa"/>
          </w:tcPr>
          <w:p w:rsidR="009E00CC" w:rsidRPr="00447CE9" w:rsidRDefault="009E00CC" w:rsidP="00447CE9">
            <w:pPr>
              <w:rPr>
                <w:sz w:val="18"/>
              </w:rPr>
            </w:pPr>
            <w:r w:rsidRPr="00447CE9">
              <w:rPr>
                <w:sz w:val="18"/>
              </w:rPr>
              <w:t>Yes – Cost to prepare and vet approve a plan.</w:t>
            </w:r>
          </w:p>
        </w:tc>
      </w:tr>
      <w:tr w:rsidR="009E00CC" w:rsidTr="00A64520">
        <w:tc>
          <w:tcPr>
            <w:tcW w:w="3119" w:type="dxa"/>
          </w:tcPr>
          <w:p w:rsidR="009E00CC" w:rsidRPr="00447CE9" w:rsidRDefault="009E00CC" w:rsidP="00447CE9">
            <w:pPr>
              <w:rPr>
                <w:sz w:val="18"/>
              </w:rPr>
            </w:pPr>
            <w:r w:rsidRPr="00447CE9">
              <w:rPr>
                <w:sz w:val="18"/>
                <w:lang w:val="en-GB"/>
              </w:rPr>
              <w:t>5. Records</w:t>
            </w:r>
          </w:p>
        </w:tc>
        <w:tc>
          <w:tcPr>
            <w:tcW w:w="5954" w:type="dxa"/>
          </w:tcPr>
          <w:p w:rsidR="009E00CC" w:rsidRPr="00447CE9" w:rsidRDefault="009E00CC" w:rsidP="00447CE9">
            <w:pPr>
              <w:rPr>
                <w:rFonts w:eastAsia="Times New Roman"/>
                <w:bCs/>
                <w:sz w:val="18"/>
              </w:rPr>
            </w:pPr>
            <w:r w:rsidRPr="00447CE9">
              <w:rPr>
                <w:rFonts w:eastAsia="Times New Roman"/>
                <w:bCs/>
                <w:sz w:val="18"/>
              </w:rPr>
              <w:t>Yes – change for record of property kept - doing for racing reasons so minimal cost.</w:t>
            </w:r>
          </w:p>
          <w:p w:rsidR="009E00CC" w:rsidRPr="00447CE9" w:rsidRDefault="009E00CC" w:rsidP="00447CE9">
            <w:pPr>
              <w:rPr>
                <w:sz w:val="18"/>
              </w:rPr>
            </w:pPr>
            <w:r w:rsidRPr="00447CE9">
              <w:rPr>
                <w:rFonts w:eastAsia="Times New Roman"/>
                <w:bCs/>
                <w:sz w:val="18"/>
              </w:rPr>
              <w:t>No for owner -</w:t>
            </w:r>
            <w:r w:rsidR="007B521C">
              <w:rPr>
                <w:rFonts w:eastAsia="Times New Roman"/>
                <w:bCs/>
                <w:sz w:val="18"/>
              </w:rPr>
              <w:t xml:space="preserve"> </w:t>
            </w:r>
            <w:r w:rsidRPr="00447CE9">
              <w:rPr>
                <w:rFonts w:eastAsia="Times New Roman"/>
                <w:bCs/>
                <w:sz w:val="18"/>
              </w:rPr>
              <w:t>Mandatory local rule</w:t>
            </w:r>
          </w:p>
        </w:tc>
      </w:tr>
      <w:tr w:rsidR="009E00CC" w:rsidTr="00A64520">
        <w:tc>
          <w:tcPr>
            <w:tcW w:w="3119" w:type="dxa"/>
          </w:tcPr>
          <w:p w:rsidR="009E00CC" w:rsidRPr="00447CE9" w:rsidRDefault="009E00CC" w:rsidP="00447CE9">
            <w:pPr>
              <w:rPr>
                <w:sz w:val="18"/>
              </w:rPr>
            </w:pPr>
            <w:r w:rsidRPr="00447CE9">
              <w:rPr>
                <w:sz w:val="18"/>
                <w:lang w:val="en-GB"/>
              </w:rPr>
              <w:t>5.1 Establishment records</w:t>
            </w:r>
          </w:p>
        </w:tc>
        <w:tc>
          <w:tcPr>
            <w:tcW w:w="5954" w:type="dxa"/>
          </w:tcPr>
          <w:p w:rsidR="009E00CC" w:rsidRPr="00447CE9" w:rsidRDefault="009E00CC" w:rsidP="00447CE9">
            <w:pPr>
              <w:rPr>
                <w:sz w:val="18"/>
              </w:rPr>
            </w:pPr>
            <w:r w:rsidRPr="00447CE9">
              <w:rPr>
                <w:sz w:val="18"/>
              </w:rPr>
              <w:t xml:space="preserve">No – tax records required for small business </w:t>
            </w:r>
          </w:p>
        </w:tc>
      </w:tr>
      <w:tr w:rsidR="009E00CC" w:rsidTr="00A64520">
        <w:tc>
          <w:tcPr>
            <w:tcW w:w="3119" w:type="dxa"/>
          </w:tcPr>
          <w:p w:rsidR="009E00CC" w:rsidRPr="00447CE9" w:rsidRDefault="009E00CC" w:rsidP="00447CE9">
            <w:pPr>
              <w:rPr>
                <w:sz w:val="18"/>
              </w:rPr>
            </w:pPr>
            <w:r w:rsidRPr="00447CE9">
              <w:rPr>
                <w:sz w:val="18"/>
                <w:lang w:val="en-GB"/>
              </w:rPr>
              <w:t>5.2 Greyhound treatment record book</w:t>
            </w:r>
          </w:p>
        </w:tc>
        <w:tc>
          <w:tcPr>
            <w:tcW w:w="5954" w:type="dxa"/>
          </w:tcPr>
          <w:p w:rsidR="009E00CC" w:rsidRPr="00447CE9" w:rsidRDefault="009E00CC" w:rsidP="00447CE9">
            <w:pPr>
              <w:rPr>
                <w:sz w:val="18"/>
              </w:rPr>
            </w:pPr>
            <w:r w:rsidRPr="00447CE9">
              <w:rPr>
                <w:sz w:val="18"/>
              </w:rPr>
              <w:t xml:space="preserve">No costed elsewhere </w:t>
            </w:r>
          </w:p>
        </w:tc>
      </w:tr>
      <w:tr w:rsidR="009E00CC" w:rsidTr="00A64520">
        <w:tc>
          <w:tcPr>
            <w:tcW w:w="3119" w:type="dxa"/>
          </w:tcPr>
          <w:p w:rsidR="009E00CC" w:rsidRPr="00447CE9" w:rsidRDefault="009E00CC" w:rsidP="00447CE9">
            <w:pPr>
              <w:rPr>
                <w:sz w:val="18"/>
              </w:rPr>
            </w:pPr>
            <w:r w:rsidRPr="00447CE9">
              <w:rPr>
                <w:sz w:val="18"/>
              </w:rPr>
              <w:t>5.3.1 Greyhound record files</w:t>
            </w:r>
          </w:p>
        </w:tc>
        <w:tc>
          <w:tcPr>
            <w:tcW w:w="5954" w:type="dxa"/>
          </w:tcPr>
          <w:p w:rsidR="009E00CC" w:rsidRPr="00447CE9" w:rsidRDefault="009E00CC" w:rsidP="00447CE9">
            <w:pPr>
              <w:rPr>
                <w:sz w:val="18"/>
              </w:rPr>
            </w:pPr>
            <w:r w:rsidRPr="00447CE9">
              <w:rPr>
                <w:sz w:val="18"/>
              </w:rPr>
              <w:t>No GRV local law and facilities for members to record on ‘fast-track’ so no cost.</w:t>
            </w:r>
          </w:p>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rPr>
              <w:t>5.3.2 Individual animal identification</w:t>
            </w:r>
          </w:p>
        </w:tc>
        <w:tc>
          <w:tcPr>
            <w:tcW w:w="5954" w:type="dxa"/>
          </w:tcPr>
          <w:p w:rsidR="009E00CC" w:rsidRPr="00447CE9" w:rsidRDefault="009E00CC" w:rsidP="00447CE9">
            <w:pPr>
              <w:rPr>
                <w:sz w:val="18"/>
              </w:rPr>
            </w:pPr>
            <w:r w:rsidRPr="00447CE9">
              <w:rPr>
                <w:sz w:val="18"/>
              </w:rPr>
              <w:t>No – Industry standard so cost negligible</w:t>
            </w:r>
          </w:p>
        </w:tc>
      </w:tr>
      <w:tr w:rsidR="009E00CC" w:rsidTr="00A64520">
        <w:tc>
          <w:tcPr>
            <w:tcW w:w="3119" w:type="dxa"/>
          </w:tcPr>
          <w:p w:rsidR="009E00CC" w:rsidRPr="00447CE9" w:rsidRDefault="009E00CC" w:rsidP="00447CE9">
            <w:pPr>
              <w:rPr>
                <w:sz w:val="18"/>
              </w:rPr>
            </w:pPr>
            <w:r w:rsidRPr="00447CE9">
              <w:rPr>
                <w:sz w:val="18"/>
                <w:lang w:val="en-GB"/>
              </w:rPr>
              <w:t>6. Husbandry – Management of Greyhounds</w:t>
            </w:r>
          </w:p>
        </w:tc>
        <w:tc>
          <w:tcPr>
            <w:tcW w:w="5954" w:type="dxa"/>
          </w:tcPr>
          <w:p w:rsidR="009E00CC" w:rsidRPr="00447CE9" w:rsidRDefault="009E00CC" w:rsidP="00447CE9">
            <w:pPr>
              <w:rPr>
                <w:sz w:val="18"/>
              </w:rPr>
            </w:pPr>
            <w:r w:rsidRPr="00447CE9">
              <w:rPr>
                <w:sz w:val="18"/>
              </w:rPr>
              <w:t xml:space="preserve">No </w:t>
            </w:r>
          </w:p>
        </w:tc>
      </w:tr>
      <w:tr w:rsidR="009E00CC" w:rsidTr="00A64520">
        <w:tc>
          <w:tcPr>
            <w:tcW w:w="3119" w:type="dxa"/>
          </w:tcPr>
          <w:p w:rsidR="009E00CC" w:rsidRPr="00447CE9" w:rsidRDefault="009E00CC" w:rsidP="00447CE9">
            <w:pPr>
              <w:rPr>
                <w:sz w:val="18"/>
                <w:lang w:val="en-GB"/>
              </w:rPr>
            </w:pPr>
            <w:r w:rsidRPr="00447CE9">
              <w:rPr>
                <w:sz w:val="18"/>
                <w:lang w:val="en-GB"/>
              </w:rPr>
              <w:t>6.1 Nutrition</w:t>
            </w:r>
          </w:p>
          <w:p w:rsidR="009E00CC" w:rsidRPr="00447CE9" w:rsidRDefault="009E00CC" w:rsidP="00447CE9">
            <w:pPr>
              <w:rPr>
                <w:sz w:val="18"/>
              </w:rPr>
            </w:pPr>
            <w:r w:rsidRPr="00447CE9">
              <w:rPr>
                <w:sz w:val="18"/>
                <w:lang w:val="en-GB"/>
              </w:rPr>
              <w:t>6.1.1 Food</w:t>
            </w:r>
          </w:p>
        </w:tc>
        <w:tc>
          <w:tcPr>
            <w:tcW w:w="5954" w:type="dxa"/>
          </w:tcPr>
          <w:p w:rsidR="009E00CC" w:rsidRPr="00A64520" w:rsidRDefault="00A64520" w:rsidP="00447CE9">
            <w:pPr>
              <w:rPr>
                <w:rFonts w:eastAsia="Times New Roman"/>
                <w:bCs/>
                <w:sz w:val="18"/>
              </w:rPr>
            </w:pPr>
            <w:r>
              <w:rPr>
                <w:rFonts w:eastAsia="Times New Roman"/>
                <w:bCs/>
                <w:sz w:val="18"/>
              </w:rPr>
              <w:t>Yes</w:t>
            </w:r>
            <w:r w:rsidR="007B521C">
              <w:rPr>
                <w:rFonts w:eastAsia="Times New Roman"/>
                <w:bCs/>
                <w:sz w:val="18"/>
              </w:rPr>
              <w:t xml:space="preserve"> </w:t>
            </w:r>
            <w:r w:rsidR="009E00CC" w:rsidRPr="00447CE9">
              <w:rPr>
                <w:rFonts w:eastAsia="Times New Roman"/>
                <w:bCs/>
                <w:sz w:val="18"/>
              </w:rPr>
              <w:t>- each dog must have individual receptacle</w:t>
            </w:r>
            <w:r>
              <w:rPr>
                <w:rFonts w:eastAsia="Times New Roman"/>
                <w:bCs/>
                <w:sz w:val="18"/>
              </w:rPr>
              <w:t xml:space="preserve">, </w:t>
            </w:r>
            <w:r w:rsidR="009E00CC" w:rsidRPr="00447CE9">
              <w:rPr>
                <w:rFonts w:eastAsia="Times New Roman"/>
                <w:bCs/>
                <w:sz w:val="18"/>
              </w:rPr>
              <w:t>Each receptacle must be disinfected</w:t>
            </w:r>
            <w:r>
              <w:rPr>
                <w:rFonts w:eastAsia="Times New Roman"/>
                <w:bCs/>
                <w:sz w:val="18"/>
              </w:rPr>
              <w:t xml:space="preserve">, </w:t>
            </w:r>
            <w:r w:rsidR="009E00CC" w:rsidRPr="00447CE9">
              <w:rPr>
                <w:rFonts w:eastAsia="Times New Roman"/>
                <w:bCs/>
                <w:sz w:val="18"/>
              </w:rPr>
              <w:t>food must be stored in sealed containers</w:t>
            </w:r>
          </w:p>
        </w:tc>
      </w:tr>
      <w:tr w:rsidR="009E00CC" w:rsidTr="00A64520">
        <w:tc>
          <w:tcPr>
            <w:tcW w:w="3119" w:type="dxa"/>
          </w:tcPr>
          <w:p w:rsidR="009E00CC" w:rsidRPr="00447CE9" w:rsidRDefault="009E00CC" w:rsidP="00447CE9">
            <w:pPr>
              <w:rPr>
                <w:sz w:val="18"/>
              </w:rPr>
            </w:pPr>
            <w:r w:rsidRPr="00447CE9">
              <w:rPr>
                <w:sz w:val="18"/>
              </w:rPr>
              <w:t>6.1.2 Water</w:t>
            </w:r>
          </w:p>
        </w:tc>
        <w:tc>
          <w:tcPr>
            <w:tcW w:w="5954" w:type="dxa"/>
          </w:tcPr>
          <w:p w:rsidR="009E00CC" w:rsidRPr="00447CE9" w:rsidRDefault="009E00CC" w:rsidP="00447CE9">
            <w:pPr>
              <w:rPr>
                <w:sz w:val="18"/>
              </w:rPr>
            </w:pPr>
            <w:r w:rsidRPr="00447CE9">
              <w:rPr>
                <w:sz w:val="18"/>
              </w:rPr>
              <w:t>No POCTAA requires animals fed and watered.</w:t>
            </w:r>
          </w:p>
        </w:tc>
      </w:tr>
      <w:tr w:rsidR="009E00CC" w:rsidTr="00A64520">
        <w:tc>
          <w:tcPr>
            <w:tcW w:w="3119" w:type="dxa"/>
          </w:tcPr>
          <w:p w:rsidR="009E00CC" w:rsidRPr="00447CE9" w:rsidRDefault="009E00CC" w:rsidP="00447CE9">
            <w:pPr>
              <w:rPr>
                <w:sz w:val="18"/>
              </w:rPr>
            </w:pPr>
            <w:r w:rsidRPr="00447CE9">
              <w:rPr>
                <w:sz w:val="18"/>
              </w:rPr>
              <w:t>6.1.3 Supplements and injectables</w:t>
            </w:r>
          </w:p>
        </w:tc>
        <w:tc>
          <w:tcPr>
            <w:tcW w:w="5954" w:type="dxa"/>
          </w:tcPr>
          <w:p w:rsidR="009E00CC" w:rsidRPr="00447CE9" w:rsidRDefault="009E00CC" w:rsidP="00447CE9">
            <w:pPr>
              <w:rPr>
                <w:sz w:val="18"/>
              </w:rPr>
            </w:pPr>
            <w:r w:rsidRPr="00447CE9">
              <w:rPr>
                <w:sz w:val="18"/>
              </w:rPr>
              <w:t>No – costed in records and health plan.</w:t>
            </w:r>
          </w:p>
        </w:tc>
      </w:tr>
      <w:tr w:rsidR="009E00CC" w:rsidTr="00A64520">
        <w:tc>
          <w:tcPr>
            <w:tcW w:w="3119" w:type="dxa"/>
          </w:tcPr>
          <w:p w:rsidR="009E00CC" w:rsidRPr="00447CE9" w:rsidRDefault="009E00CC" w:rsidP="00447CE9">
            <w:pPr>
              <w:rPr>
                <w:sz w:val="18"/>
                <w:lang w:val="en-GB"/>
              </w:rPr>
            </w:pPr>
            <w:r w:rsidRPr="00447CE9">
              <w:rPr>
                <w:sz w:val="18"/>
                <w:lang w:val="en-GB"/>
              </w:rPr>
              <w:t>6.2 Health Care</w:t>
            </w:r>
          </w:p>
          <w:p w:rsidR="009E00CC" w:rsidRPr="00447CE9" w:rsidRDefault="009E00CC" w:rsidP="00447CE9">
            <w:pPr>
              <w:rPr>
                <w:sz w:val="18"/>
              </w:rPr>
            </w:pPr>
            <w:r w:rsidRPr="00447CE9">
              <w:rPr>
                <w:sz w:val="18"/>
                <w:lang w:val="en-GB"/>
              </w:rPr>
              <w:t>6.2.1 Vaccination and parasite prevention – under 12 weeks of age</w:t>
            </w:r>
          </w:p>
        </w:tc>
        <w:tc>
          <w:tcPr>
            <w:tcW w:w="5954" w:type="dxa"/>
          </w:tcPr>
          <w:p w:rsidR="009E00CC" w:rsidRPr="00447CE9" w:rsidRDefault="009E00CC" w:rsidP="00447CE9">
            <w:pPr>
              <w:rPr>
                <w:sz w:val="18"/>
              </w:rPr>
            </w:pPr>
            <w:r w:rsidRPr="00447CE9">
              <w:rPr>
                <w:rFonts w:eastAsia="Times New Roman"/>
                <w:bCs/>
                <w:sz w:val="18"/>
              </w:rPr>
              <w:t>No – already undertaken by industry (requirement to race a dog)</w:t>
            </w:r>
          </w:p>
        </w:tc>
      </w:tr>
      <w:tr w:rsidR="009E00CC" w:rsidTr="00A64520">
        <w:tc>
          <w:tcPr>
            <w:tcW w:w="3119" w:type="dxa"/>
          </w:tcPr>
          <w:p w:rsidR="009E00CC" w:rsidRPr="00447CE9" w:rsidRDefault="009E00CC" w:rsidP="00447CE9">
            <w:pPr>
              <w:rPr>
                <w:sz w:val="18"/>
              </w:rPr>
            </w:pPr>
            <w:r w:rsidRPr="00447CE9">
              <w:rPr>
                <w:sz w:val="18"/>
              </w:rPr>
              <w:t>6.2.2 Vaccination and parasite prevention 12 weeks ate or older</w:t>
            </w:r>
          </w:p>
        </w:tc>
        <w:tc>
          <w:tcPr>
            <w:tcW w:w="5954" w:type="dxa"/>
          </w:tcPr>
          <w:p w:rsidR="009E00CC" w:rsidRPr="00447CE9" w:rsidRDefault="009E00CC" w:rsidP="00447CE9">
            <w:pPr>
              <w:rPr>
                <w:sz w:val="18"/>
              </w:rPr>
            </w:pPr>
            <w:r w:rsidRPr="00447CE9">
              <w:rPr>
                <w:rFonts w:eastAsia="Times New Roman"/>
                <w:bCs/>
                <w:sz w:val="18"/>
              </w:rPr>
              <w:t>No – already undertaken by industry (requirement to race a dog)</w:t>
            </w:r>
          </w:p>
        </w:tc>
      </w:tr>
      <w:tr w:rsidR="009E00CC" w:rsidTr="00A64520">
        <w:tc>
          <w:tcPr>
            <w:tcW w:w="3119" w:type="dxa"/>
          </w:tcPr>
          <w:p w:rsidR="009E00CC" w:rsidRPr="00447CE9" w:rsidRDefault="009E00CC" w:rsidP="00447CE9">
            <w:pPr>
              <w:rPr>
                <w:sz w:val="18"/>
              </w:rPr>
            </w:pPr>
            <w:r w:rsidRPr="00447CE9">
              <w:rPr>
                <w:sz w:val="18"/>
              </w:rPr>
              <w:t>6.2.3 Health checks and treatment plans</w:t>
            </w:r>
          </w:p>
        </w:tc>
        <w:tc>
          <w:tcPr>
            <w:tcW w:w="5954" w:type="dxa"/>
          </w:tcPr>
          <w:p w:rsidR="009E00CC" w:rsidRPr="00447CE9" w:rsidRDefault="009E00CC" w:rsidP="00447CE9">
            <w:pPr>
              <w:rPr>
                <w:sz w:val="18"/>
              </w:rPr>
            </w:pPr>
            <w:r w:rsidRPr="00447CE9">
              <w:rPr>
                <w:sz w:val="18"/>
              </w:rPr>
              <w:t xml:space="preserve">Yes </w:t>
            </w:r>
          </w:p>
        </w:tc>
      </w:tr>
      <w:tr w:rsidR="009E00CC" w:rsidTr="00A64520">
        <w:tc>
          <w:tcPr>
            <w:tcW w:w="3119" w:type="dxa"/>
          </w:tcPr>
          <w:p w:rsidR="009E00CC" w:rsidRPr="00447CE9" w:rsidRDefault="009E00CC" w:rsidP="00447CE9">
            <w:pPr>
              <w:rPr>
                <w:sz w:val="18"/>
              </w:rPr>
            </w:pPr>
            <w:r w:rsidRPr="00447CE9">
              <w:rPr>
                <w:sz w:val="18"/>
              </w:rPr>
              <w:t>6.2.4 Grooming and other requirements</w:t>
            </w:r>
          </w:p>
        </w:tc>
        <w:tc>
          <w:tcPr>
            <w:tcW w:w="5954" w:type="dxa"/>
          </w:tcPr>
          <w:p w:rsidR="009E00CC" w:rsidRPr="00447CE9" w:rsidRDefault="009E00CC" w:rsidP="00447CE9">
            <w:pPr>
              <w:rPr>
                <w:sz w:val="18"/>
              </w:rPr>
            </w:pPr>
            <w:r w:rsidRPr="00447CE9">
              <w:rPr>
                <w:sz w:val="18"/>
              </w:rPr>
              <w:t>No - negligible as general practice</w:t>
            </w:r>
          </w:p>
        </w:tc>
      </w:tr>
      <w:tr w:rsidR="009E00CC" w:rsidTr="00A64520">
        <w:tc>
          <w:tcPr>
            <w:tcW w:w="3119" w:type="dxa"/>
          </w:tcPr>
          <w:p w:rsidR="009E00CC" w:rsidRPr="00447CE9" w:rsidRDefault="009E00CC" w:rsidP="00447CE9">
            <w:pPr>
              <w:rPr>
                <w:sz w:val="18"/>
              </w:rPr>
            </w:pPr>
            <w:r w:rsidRPr="00447CE9">
              <w:rPr>
                <w:sz w:val="18"/>
                <w:lang w:val="en-GB"/>
              </w:rPr>
              <w:t>6.3 Breeding</w:t>
            </w:r>
          </w:p>
        </w:tc>
        <w:tc>
          <w:tcPr>
            <w:tcW w:w="5954" w:type="dxa"/>
          </w:tcPr>
          <w:p w:rsidR="009E00CC" w:rsidRPr="00447CE9" w:rsidRDefault="009E00CC" w:rsidP="00447CE9">
            <w:pPr>
              <w:rPr>
                <w:sz w:val="18"/>
              </w:rPr>
            </w:pPr>
            <w:r w:rsidRPr="00447CE9">
              <w:rPr>
                <w:sz w:val="18"/>
              </w:rPr>
              <w:t>No - no burden</w:t>
            </w:r>
          </w:p>
        </w:tc>
      </w:tr>
      <w:tr w:rsidR="009E00CC" w:rsidTr="00A64520">
        <w:tc>
          <w:tcPr>
            <w:tcW w:w="3119" w:type="dxa"/>
          </w:tcPr>
          <w:p w:rsidR="009E00CC" w:rsidRPr="00447CE9" w:rsidRDefault="009E00CC" w:rsidP="00447CE9">
            <w:pPr>
              <w:rPr>
                <w:sz w:val="18"/>
              </w:rPr>
            </w:pPr>
            <w:r w:rsidRPr="00447CE9">
              <w:rPr>
                <w:sz w:val="18"/>
              </w:rPr>
              <w:t>6.3.1 Heritable defects</w:t>
            </w:r>
          </w:p>
        </w:tc>
        <w:tc>
          <w:tcPr>
            <w:tcW w:w="5954" w:type="dxa"/>
          </w:tcPr>
          <w:p w:rsidR="009E00CC" w:rsidRPr="00447CE9" w:rsidRDefault="009E00CC" w:rsidP="00447CE9">
            <w:pPr>
              <w:rPr>
                <w:sz w:val="18"/>
              </w:rPr>
            </w:pPr>
            <w:r w:rsidRPr="00447CE9">
              <w:rPr>
                <w:sz w:val="18"/>
              </w:rPr>
              <w:t>No – POCTAA requirement and will not affect the industry as almost 100% AI now not natural mating</w:t>
            </w:r>
          </w:p>
        </w:tc>
      </w:tr>
      <w:tr w:rsidR="009E00CC" w:rsidTr="00A64520">
        <w:tc>
          <w:tcPr>
            <w:tcW w:w="3119" w:type="dxa"/>
          </w:tcPr>
          <w:p w:rsidR="009E00CC" w:rsidRPr="00447CE9" w:rsidRDefault="009E00CC" w:rsidP="00447CE9">
            <w:pPr>
              <w:rPr>
                <w:sz w:val="18"/>
              </w:rPr>
            </w:pPr>
            <w:r w:rsidRPr="00447CE9">
              <w:rPr>
                <w:sz w:val="18"/>
                <w:lang w:val="en-GB"/>
              </w:rPr>
              <w:t>6.3.2 Breeding males</w:t>
            </w:r>
          </w:p>
        </w:tc>
        <w:tc>
          <w:tcPr>
            <w:tcW w:w="5954" w:type="dxa"/>
          </w:tcPr>
          <w:p w:rsidR="009E00CC" w:rsidRPr="00447CE9" w:rsidRDefault="009E00CC" w:rsidP="00447CE9">
            <w:pPr>
              <w:rPr>
                <w:sz w:val="18"/>
              </w:rPr>
            </w:pPr>
            <w:r w:rsidRPr="00447CE9">
              <w:rPr>
                <w:rFonts w:eastAsia="Times New Roman"/>
                <w:bCs/>
                <w:sz w:val="18"/>
              </w:rPr>
              <w:t>No - Mandatory local rule</w:t>
            </w:r>
          </w:p>
        </w:tc>
      </w:tr>
      <w:tr w:rsidR="009E00CC" w:rsidTr="00A64520">
        <w:tc>
          <w:tcPr>
            <w:tcW w:w="3119" w:type="dxa"/>
          </w:tcPr>
          <w:p w:rsidR="009E00CC" w:rsidRPr="00447CE9" w:rsidRDefault="009E00CC" w:rsidP="00447CE9">
            <w:pPr>
              <w:rPr>
                <w:sz w:val="18"/>
              </w:rPr>
            </w:pPr>
            <w:r w:rsidRPr="00447CE9">
              <w:rPr>
                <w:sz w:val="18"/>
                <w:lang w:val="en-GB"/>
              </w:rPr>
              <w:lastRenderedPageBreak/>
              <w:t>6.3.3 Breeding females</w:t>
            </w:r>
          </w:p>
        </w:tc>
        <w:tc>
          <w:tcPr>
            <w:tcW w:w="5954" w:type="dxa"/>
          </w:tcPr>
          <w:p w:rsidR="009E00CC" w:rsidRPr="00447CE9" w:rsidRDefault="009E00CC" w:rsidP="00447CE9">
            <w:pPr>
              <w:rPr>
                <w:sz w:val="18"/>
              </w:rPr>
            </w:pPr>
            <w:r w:rsidRPr="00447CE9">
              <w:rPr>
                <w:rFonts w:eastAsia="Times New Roman"/>
                <w:bCs/>
                <w:sz w:val="18"/>
              </w:rPr>
              <w:t>No - Mandatory local rule</w:t>
            </w:r>
          </w:p>
        </w:tc>
      </w:tr>
      <w:tr w:rsidR="009E00CC" w:rsidTr="00A64520">
        <w:tc>
          <w:tcPr>
            <w:tcW w:w="3119" w:type="dxa"/>
          </w:tcPr>
          <w:p w:rsidR="009E00CC" w:rsidRPr="00447CE9" w:rsidRDefault="009E00CC" w:rsidP="00447CE9">
            <w:pPr>
              <w:rPr>
                <w:sz w:val="18"/>
              </w:rPr>
            </w:pPr>
            <w:r w:rsidRPr="00447CE9">
              <w:rPr>
                <w:sz w:val="18"/>
                <w:lang w:val="en-GB"/>
              </w:rPr>
              <w:t>6.3.4 Natural Mating</w:t>
            </w:r>
          </w:p>
        </w:tc>
        <w:tc>
          <w:tcPr>
            <w:tcW w:w="5954" w:type="dxa"/>
          </w:tcPr>
          <w:p w:rsidR="009E00CC" w:rsidRPr="00447CE9" w:rsidRDefault="009E00CC" w:rsidP="00447CE9">
            <w:pPr>
              <w:rPr>
                <w:sz w:val="18"/>
              </w:rPr>
            </w:pPr>
            <w:r w:rsidRPr="00447CE9">
              <w:rPr>
                <w:sz w:val="18"/>
              </w:rPr>
              <w:t>No – Industry practice is around almost all dogs Artificial Insemination – and so vet checked as process.</w:t>
            </w:r>
          </w:p>
        </w:tc>
      </w:tr>
      <w:tr w:rsidR="009E00CC" w:rsidTr="00A64520">
        <w:tc>
          <w:tcPr>
            <w:tcW w:w="3119" w:type="dxa"/>
          </w:tcPr>
          <w:p w:rsidR="009E00CC" w:rsidRPr="00447CE9" w:rsidRDefault="009E00CC" w:rsidP="00447CE9">
            <w:pPr>
              <w:rPr>
                <w:sz w:val="18"/>
              </w:rPr>
            </w:pPr>
            <w:r w:rsidRPr="00447CE9">
              <w:rPr>
                <w:sz w:val="18"/>
                <w:lang w:val="en-GB"/>
              </w:rPr>
              <w:t>6.3.5 Artificial Insemination</w:t>
            </w:r>
          </w:p>
        </w:tc>
        <w:tc>
          <w:tcPr>
            <w:tcW w:w="5954" w:type="dxa"/>
          </w:tcPr>
          <w:p w:rsidR="009E00CC" w:rsidRPr="00447CE9" w:rsidRDefault="009E00CC" w:rsidP="00447CE9">
            <w:pPr>
              <w:rPr>
                <w:sz w:val="18"/>
              </w:rPr>
            </w:pPr>
            <w:r w:rsidRPr="00447CE9">
              <w:rPr>
                <w:sz w:val="18"/>
              </w:rPr>
              <w:t xml:space="preserve">No – covered by Veterinary Practice Act </w:t>
            </w:r>
          </w:p>
        </w:tc>
      </w:tr>
      <w:tr w:rsidR="009E00CC" w:rsidTr="00A64520">
        <w:tc>
          <w:tcPr>
            <w:tcW w:w="3119" w:type="dxa"/>
          </w:tcPr>
          <w:p w:rsidR="009E00CC" w:rsidRPr="00447CE9" w:rsidRDefault="009E00CC" w:rsidP="00447CE9">
            <w:pPr>
              <w:rPr>
                <w:sz w:val="18"/>
              </w:rPr>
            </w:pPr>
            <w:r w:rsidRPr="00447CE9">
              <w:rPr>
                <w:sz w:val="18"/>
                <w:lang w:val="en-GB"/>
              </w:rPr>
              <w:t>6.3.6 Whelping</w:t>
            </w:r>
          </w:p>
        </w:tc>
        <w:tc>
          <w:tcPr>
            <w:tcW w:w="5954" w:type="dxa"/>
          </w:tcPr>
          <w:p w:rsidR="009E00CC" w:rsidRPr="00447CE9" w:rsidRDefault="009E00CC" w:rsidP="00447CE9">
            <w:pPr>
              <w:rPr>
                <w:sz w:val="18"/>
              </w:rPr>
            </w:pPr>
            <w:r w:rsidRPr="00447CE9">
              <w:rPr>
                <w:sz w:val="18"/>
              </w:rPr>
              <w:t>No – Mandatory local rule</w:t>
            </w:r>
          </w:p>
        </w:tc>
      </w:tr>
      <w:tr w:rsidR="009E00CC" w:rsidTr="00A64520">
        <w:tc>
          <w:tcPr>
            <w:tcW w:w="3119" w:type="dxa"/>
          </w:tcPr>
          <w:p w:rsidR="009E00CC" w:rsidRPr="00447CE9" w:rsidRDefault="009E00CC" w:rsidP="00447CE9">
            <w:pPr>
              <w:rPr>
                <w:sz w:val="18"/>
              </w:rPr>
            </w:pPr>
            <w:r w:rsidRPr="00447CE9">
              <w:rPr>
                <w:sz w:val="18"/>
                <w:lang w:val="en-GB"/>
              </w:rPr>
              <w:t>6.3.7 Caesarean section</w:t>
            </w:r>
          </w:p>
        </w:tc>
        <w:tc>
          <w:tcPr>
            <w:tcW w:w="5954" w:type="dxa"/>
          </w:tcPr>
          <w:p w:rsidR="009E00CC" w:rsidRPr="00447CE9" w:rsidRDefault="009E00CC" w:rsidP="00447CE9">
            <w:pPr>
              <w:rPr>
                <w:sz w:val="18"/>
              </w:rPr>
            </w:pPr>
            <w:r w:rsidRPr="00447CE9">
              <w:rPr>
                <w:sz w:val="18"/>
              </w:rPr>
              <w:t>No – covered by Veterinary Practice Act</w:t>
            </w:r>
          </w:p>
        </w:tc>
      </w:tr>
      <w:tr w:rsidR="009E00CC" w:rsidTr="00A64520">
        <w:tc>
          <w:tcPr>
            <w:tcW w:w="3119" w:type="dxa"/>
          </w:tcPr>
          <w:p w:rsidR="009E00CC" w:rsidRPr="00447CE9" w:rsidRDefault="009E00CC" w:rsidP="00447CE9">
            <w:pPr>
              <w:rPr>
                <w:sz w:val="18"/>
              </w:rPr>
            </w:pPr>
            <w:r w:rsidRPr="00447CE9">
              <w:rPr>
                <w:sz w:val="18"/>
                <w:lang w:val="en-GB"/>
              </w:rPr>
              <w:t>6.3.8 Lactating</w:t>
            </w:r>
          </w:p>
        </w:tc>
        <w:tc>
          <w:tcPr>
            <w:tcW w:w="5954" w:type="dxa"/>
          </w:tcPr>
          <w:p w:rsidR="009E00CC" w:rsidRPr="00447CE9" w:rsidRDefault="009E00CC" w:rsidP="00447CE9">
            <w:pPr>
              <w:rPr>
                <w:sz w:val="18"/>
              </w:rPr>
            </w:pPr>
            <w:r w:rsidRPr="00447CE9">
              <w:rPr>
                <w:sz w:val="18"/>
              </w:rPr>
              <w:t>No – standard industry current practice.</w:t>
            </w:r>
          </w:p>
        </w:tc>
      </w:tr>
      <w:tr w:rsidR="009E00CC" w:rsidTr="00A64520">
        <w:trPr>
          <w:trHeight w:val="163"/>
        </w:trPr>
        <w:tc>
          <w:tcPr>
            <w:tcW w:w="3119" w:type="dxa"/>
          </w:tcPr>
          <w:p w:rsidR="009E00CC" w:rsidRPr="00447CE9" w:rsidRDefault="009E00CC" w:rsidP="00447CE9">
            <w:pPr>
              <w:rPr>
                <w:sz w:val="18"/>
              </w:rPr>
            </w:pPr>
            <w:r w:rsidRPr="00447CE9">
              <w:rPr>
                <w:sz w:val="18"/>
                <w:lang w:val="en-GB"/>
              </w:rPr>
              <w:t>6.3.9 Rearing</w:t>
            </w:r>
          </w:p>
        </w:tc>
        <w:tc>
          <w:tcPr>
            <w:tcW w:w="5954" w:type="dxa"/>
          </w:tcPr>
          <w:p w:rsidR="009E00CC" w:rsidRPr="00447CE9" w:rsidRDefault="009E00CC" w:rsidP="00447CE9">
            <w:pPr>
              <w:rPr>
                <w:sz w:val="18"/>
              </w:rPr>
            </w:pPr>
            <w:r w:rsidRPr="00447CE9">
              <w:rPr>
                <w:sz w:val="18"/>
              </w:rPr>
              <w:t>Costed later or requirements under another law or industry practice. (e.g. POCTAA</w:t>
            </w:r>
          </w:p>
          <w:p w:rsidR="009E00CC" w:rsidRPr="00447CE9" w:rsidRDefault="009E00CC" w:rsidP="00447CE9">
            <w:pPr>
              <w:rPr>
                <w:sz w:val="18"/>
              </w:rPr>
            </w:pPr>
            <w:r w:rsidRPr="00447CE9">
              <w:rPr>
                <w:sz w:val="18"/>
              </w:rPr>
              <w:t xml:space="preserve">mandatory local rules). </w:t>
            </w:r>
          </w:p>
          <w:p w:rsidR="009E00CC" w:rsidRPr="00447CE9" w:rsidRDefault="009E00CC" w:rsidP="00447CE9">
            <w:pPr>
              <w:rPr>
                <w:sz w:val="18"/>
              </w:rPr>
            </w:pPr>
            <w:r w:rsidRPr="00447CE9">
              <w:rPr>
                <w:sz w:val="18"/>
              </w:rPr>
              <w:t>-Rearing puppies Costed</w:t>
            </w:r>
          </w:p>
          <w:p w:rsidR="009E00CC" w:rsidRPr="00447CE9" w:rsidRDefault="009E00CC" w:rsidP="00447CE9">
            <w:pPr>
              <w:rPr>
                <w:sz w:val="18"/>
              </w:rPr>
            </w:pPr>
            <w:r w:rsidRPr="00447CE9">
              <w:rPr>
                <w:sz w:val="18"/>
              </w:rPr>
              <w:t>-Rearing greater than 16 week costed</w:t>
            </w:r>
          </w:p>
        </w:tc>
      </w:tr>
      <w:tr w:rsidR="009E00CC" w:rsidTr="00A64520">
        <w:tc>
          <w:tcPr>
            <w:tcW w:w="3119" w:type="dxa"/>
          </w:tcPr>
          <w:p w:rsidR="009E00CC" w:rsidRPr="00447CE9" w:rsidRDefault="009E00CC" w:rsidP="00447CE9">
            <w:pPr>
              <w:rPr>
                <w:sz w:val="18"/>
              </w:rPr>
            </w:pPr>
            <w:r w:rsidRPr="00447CE9">
              <w:rPr>
                <w:sz w:val="18"/>
                <w:lang w:val="en-GB"/>
              </w:rPr>
              <w:t>6.3.10 Education and Pre-training</w:t>
            </w:r>
          </w:p>
        </w:tc>
        <w:tc>
          <w:tcPr>
            <w:tcW w:w="5954" w:type="dxa"/>
          </w:tcPr>
          <w:p w:rsidR="009E00CC" w:rsidRPr="00447CE9" w:rsidRDefault="009E00CC" w:rsidP="00447CE9">
            <w:pPr>
              <w:rPr>
                <w:sz w:val="18"/>
              </w:rPr>
            </w:pPr>
            <w:r w:rsidRPr="00447CE9">
              <w:rPr>
                <w:sz w:val="18"/>
              </w:rPr>
              <w:t>Costed in other section.</w:t>
            </w:r>
          </w:p>
        </w:tc>
      </w:tr>
      <w:tr w:rsidR="009E00CC" w:rsidTr="00A64520">
        <w:tc>
          <w:tcPr>
            <w:tcW w:w="3119" w:type="dxa"/>
          </w:tcPr>
          <w:p w:rsidR="009E00CC" w:rsidRPr="00447CE9" w:rsidRDefault="009E00CC" w:rsidP="00447CE9">
            <w:pPr>
              <w:rPr>
                <w:sz w:val="18"/>
              </w:rPr>
            </w:pPr>
            <w:r w:rsidRPr="00447CE9">
              <w:rPr>
                <w:sz w:val="18"/>
                <w:lang w:val="en-GB"/>
              </w:rPr>
              <w:t>6.3.11 Training/racing</w:t>
            </w:r>
          </w:p>
        </w:tc>
        <w:tc>
          <w:tcPr>
            <w:tcW w:w="5954" w:type="dxa"/>
          </w:tcPr>
          <w:p w:rsidR="009E00CC" w:rsidRPr="00447CE9" w:rsidRDefault="009E00CC" w:rsidP="00447CE9">
            <w:pPr>
              <w:rPr>
                <w:sz w:val="18"/>
              </w:rPr>
            </w:pPr>
            <w:r w:rsidRPr="00447CE9">
              <w:rPr>
                <w:sz w:val="18"/>
              </w:rPr>
              <w:t>No some provisions costed under housing.</w:t>
            </w:r>
          </w:p>
          <w:p w:rsidR="009E00CC" w:rsidRPr="00447CE9" w:rsidRDefault="009E00CC" w:rsidP="00447CE9">
            <w:pPr>
              <w:rPr>
                <w:sz w:val="18"/>
              </w:rPr>
            </w:pPr>
            <w:r w:rsidRPr="00447CE9">
              <w:rPr>
                <w:sz w:val="18"/>
              </w:rPr>
              <w:t xml:space="preserve">Cost to assess </w:t>
            </w:r>
            <w:r w:rsidR="00F40997" w:rsidRPr="00447CE9">
              <w:rPr>
                <w:sz w:val="18"/>
              </w:rPr>
              <w:t>stereotypies</w:t>
            </w:r>
            <w:r w:rsidRPr="00447CE9">
              <w:rPr>
                <w:sz w:val="18"/>
              </w:rPr>
              <w:t xml:space="preserve"> unquantifiable as if reared properly should be negligible.</w:t>
            </w:r>
          </w:p>
        </w:tc>
      </w:tr>
      <w:tr w:rsidR="009E00CC" w:rsidTr="00A64520">
        <w:tc>
          <w:tcPr>
            <w:tcW w:w="3119" w:type="dxa"/>
          </w:tcPr>
          <w:p w:rsidR="009E00CC" w:rsidRPr="00447CE9" w:rsidRDefault="009E00CC" w:rsidP="00447CE9">
            <w:pPr>
              <w:rPr>
                <w:sz w:val="18"/>
              </w:rPr>
            </w:pPr>
            <w:r w:rsidRPr="00447CE9">
              <w:rPr>
                <w:sz w:val="18"/>
                <w:lang w:val="en-GB"/>
              </w:rPr>
              <w:t>6.3.12 Preparing a greyhound for retirement/rehoming</w:t>
            </w:r>
          </w:p>
        </w:tc>
        <w:tc>
          <w:tcPr>
            <w:tcW w:w="5954" w:type="dxa"/>
          </w:tcPr>
          <w:p w:rsidR="009E00CC" w:rsidRPr="00447CE9" w:rsidRDefault="009E00CC" w:rsidP="00447CE9">
            <w:pPr>
              <w:rPr>
                <w:sz w:val="18"/>
              </w:rPr>
            </w:pPr>
            <w:r w:rsidRPr="00447CE9">
              <w:rPr>
                <w:color w:val="000000" w:themeColor="text1"/>
                <w:sz w:val="18"/>
              </w:rPr>
              <w:t>Yes – a cost shift from the GAP program to the owner AND not mandatory to rehome.</w:t>
            </w:r>
          </w:p>
        </w:tc>
      </w:tr>
      <w:tr w:rsidR="009E00CC" w:rsidTr="00A64520">
        <w:tc>
          <w:tcPr>
            <w:tcW w:w="3119" w:type="dxa"/>
          </w:tcPr>
          <w:p w:rsidR="009E00CC" w:rsidRPr="00447CE9" w:rsidRDefault="009E00CC" w:rsidP="00447CE9">
            <w:pPr>
              <w:rPr>
                <w:sz w:val="18"/>
              </w:rPr>
            </w:pPr>
            <w:r w:rsidRPr="00447CE9">
              <w:rPr>
                <w:sz w:val="18"/>
                <w:lang w:val="en-GB"/>
              </w:rPr>
              <w:t>6.3.13 Retirement/rehoming of greyhounds</w:t>
            </w:r>
          </w:p>
        </w:tc>
        <w:tc>
          <w:tcPr>
            <w:tcW w:w="5954" w:type="dxa"/>
          </w:tcPr>
          <w:p w:rsidR="009E00CC" w:rsidRPr="00447CE9" w:rsidRDefault="009E00CC" w:rsidP="00447CE9">
            <w:pPr>
              <w:rPr>
                <w:sz w:val="18"/>
              </w:rPr>
            </w:pPr>
            <w:r w:rsidRPr="00447CE9">
              <w:rPr>
                <w:sz w:val="18"/>
              </w:rPr>
              <w:t xml:space="preserve">No burden as </w:t>
            </w:r>
            <w:r w:rsidR="00F40997" w:rsidRPr="00447CE9">
              <w:rPr>
                <w:sz w:val="18"/>
              </w:rPr>
              <w:t>euthanase</w:t>
            </w:r>
            <w:r w:rsidRPr="00447CE9">
              <w:rPr>
                <w:sz w:val="18"/>
              </w:rPr>
              <w:t xml:space="preserve"> or retire. Desexing is cost shift from shelter/GAP to owner</w:t>
            </w:r>
          </w:p>
        </w:tc>
      </w:tr>
      <w:tr w:rsidR="009E00CC" w:rsidTr="00A64520">
        <w:tc>
          <w:tcPr>
            <w:tcW w:w="3119" w:type="dxa"/>
          </w:tcPr>
          <w:p w:rsidR="009E00CC" w:rsidRPr="00447CE9" w:rsidRDefault="009E00CC" w:rsidP="00447CE9">
            <w:pPr>
              <w:rPr>
                <w:sz w:val="18"/>
              </w:rPr>
            </w:pPr>
            <w:r w:rsidRPr="00447CE9">
              <w:rPr>
                <w:sz w:val="18"/>
                <w:lang w:val="en-GB"/>
              </w:rPr>
              <w:t>6.4 Exercise/training and enrichment</w:t>
            </w:r>
          </w:p>
        </w:tc>
        <w:tc>
          <w:tcPr>
            <w:tcW w:w="5954" w:type="dxa"/>
          </w:tcPr>
          <w:p w:rsidR="009E00CC" w:rsidRPr="00447CE9" w:rsidRDefault="009E00CC" w:rsidP="00447CE9">
            <w:pPr>
              <w:rPr>
                <w:sz w:val="18"/>
              </w:rPr>
            </w:pPr>
            <w:r w:rsidRPr="00447CE9">
              <w:rPr>
                <w:sz w:val="18"/>
              </w:rPr>
              <w:t>Most costed previously.</w:t>
            </w:r>
          </w:p>
          <w:p w:rsidR="009E00CC" w:rsidRPr="00447CE9" w:rsidRDefault="009E00CC" w:rsidP="00447CE9">
            <w:pPr>
              <w:rPr>
                <w:sz w:val="18"/>
              </w:rPr>
            </w:pPr>
            <w:r w:rsidRPr="00447CE9">
              <w:rPr>
                <w:sz w:val="18"/>
              </w:rPr>
              <w:t>Cost of pre-training/training/racing exercise</w:t>
            </w:r>
          </w:p>
        </w:tc>
      </w:tr>
      <w:tr w:rsidR="009E00CC" w:rsidTr="00A64520">
        <w:tc>
          <w:tcPr>
            <w:tcW w:w="3119" w:type="dxa"/>
          </w:tcPr>
          <w:p w:rsidR="009E00CC" w:rsidRPr="00447CE9" w:rsidRDefault="009E00CC" w:rsidP="00447CE9">
            <w:pPr>
              <w:rPr>
                <w:sz w:val="18"/>
              </w:rPr>
            </w:pPr>
            <w:r w:rsidRPr="00447CE9">
              <w:rPr>
                <w:sz w:val="18"/>
                <w:lang w:val="en-GB"/>
              </w:rPr>
              <w:t>6.5</w:t>
            </w:r>
            <w:r w:rsidRPr="00447CE9">
              <w:rPr>
                <w:sz w:val="18"/>
                <w:lang w:val="en-GB"/>
              </w:rPr>
              <w:tab/>
              <w:t>Socialisation and handling</w:t>
            </w:r>
          </w:p>
        </w:tc>
        <w:tc>
          <w:tcPr>
            <w:tcW w:w="5954" w:type="dxa"/>
          </w:tcPr>
          <w:p w:rsidR="009E00CC" w:rsidRPr="00447CE9" w:rsidRDefault="009E00CC" w:rsidP="00447CE9">
            <w:pPr>
              <w:rPr>
                <w:sz w:val="18"/>
              </w:rPr>
            </w:pPr>
            <w:r w:rsidRPr="00447CE9">
              <w:rPr>
                <w:sz w:val="18"/>
              </w:rPr>
              <w:t>No – cost cumulative from other handling so already costed earlier.</w:t>
            </w:r>
          </w:p>
        </w:tc>
      </w:tr>
      <w:tr w:rsidR="009E00CC" w:rsidTr="00A64520">
        <w:tc>
          <w:tcPr>
            <w:tcW w:w="3119" w:type="dxa"/>
          </w:tcPr>
          <w:p w:rsidR="009E00CC" w:rsidRPr="00447CE9" w:rsidRDefault="009E00CC" w:rsidP="00447CE9">
            <w:pPr>
              <w:rPr>
                <w:sz w:val="18"/>
              </w:rPr>
            </w:pPr>
            <w:r w:rsidRPr="00447CE9">
              <w:rPr>
                <w:sz w:val="18"/>
                <w:lang w:val="en-GB"/>
              </w:rPr>
              <w:t>6.6 Facilities</w:t>
            </w:r>
          </w:p>
        </w:tc>
        <w:tc>
          <w:tcPr>
            <w:tcW w:w="5954" w:type="dxa"/>
          </w:tcPr>
          <w:p w:rsidR="009E00CC" w:rsidRPr="00447CE9" w:rsidRDefault="009E00CC" w:rsidP="00447CE9">
            <w:pPr>
              <w:rPr>
                <w:sz w:val="18"/>
              </w:rPr>
            </w:pPr>
            <w:r w:rsidRPr="00447CE9">
              <w:rPr>
                <w:sz w:val="18"/>
              </w:rPr>
              <w:t>No – OH&amp;S requires fire protection.</w:t>
            </w:r>
          </w:p>
        </w:tc>
      </w:tr>
      <w:tr w:rsidR="009E00CC" w:rsidTr="00A64520">
        <w:tc>
          <w:tcPr>
            <w:tcW w:w="3119" w:type="dxa"/>
          </w:tcPr>
          <w:p w:rsidR="009E00CC" w:rsidRPr="00447CE9" w:rsidRDefault="009E00CC" w:rsidP="00447CE9">
            <w:pPr>
              <w:rPr>
                <w:sz w:val="18"/>
              </w:rPr>
            </w:pPr>
            <w:r w:rsidRPr="00447CE9">
              <w:rPr>
                <w:sz w:val="18"/>
              </w:rPr>
              <w:t>6.6.1 Disinfection and hygiene</w:t>
            </w:r>
          </w:p>
        </w:tc>
        <w:tc>
          <w:tcPr>
            <w:tcW w:w="5954" w:type="dxa"/>
          </w:tcPr>
          <w:p w:rsidR="009E00CC" w:rsidRPr="00447CE9" w:rsidRDefault="009E00CC" w:rsidP="00447CE9">
            <w:pPr>
              <w:rPr>
                <w:sz w:val="18"/>
              </w:rPr>
            </w:pPr>
            <w:r w:rsidRPr="00447CE9">
              <w:rPr>
                <w:rFonts w:eastAsia="Times New Roman"/>
                <w:bCs/>
                <w:sz w:val="18"/>
              </w:rPr>
              <w:t>No – already industry practice</w:t>
            </w:r>
          </w:p>
        </w:tc>
      </w:tr>
      <w:tr w:rsidR="009E00CC" w:rsidTr="00A64520">
        <w:tc>
          <w:tcPr>
            <w:tcW w:w="3119" w:type="dxa"/>
          </w:tcPr>
          <w:p w:rsidR="009E00CC" w:rsidRPr="00447CE9" w:rsidRDefault="009E00CC" w:rsidP="00447CE9">
            <w:pPr>
              <w:rPr>
                <w:sz w:val="18"/>
              </w:rPr>
            </w:pPr>
            <w:r w:rsidRPr="00447CE9">
              <w:rPr>
                <w:sz w:val="18"/>
              </w:rPr>
              <w:t>6.6.2 Isolation housing</w:t>
            </w:r>
          </w:p>
        </w:tc>
        <w:tc>
          <w:tcPr>
            <w:tcW w:w="5954" w:type="dxa"/>
          </w:tcPr>
          <w:p w:rsidR="009E00CC" w:rsidRPr="00447CE9" w:rsidRDefault="009E00CC" w:rsidP="00447CE9">
            <w:pPr>
              <w:rPr>
                <w:sz w:val="18"/>
              </w:rPr>
            </w:pPr>
            <w:r w:rsidRPr="00447CE9">
              <w:rPr>
                <w:sz w:val="18"/>
              </w:rPr>
              <w:t>No – not mandatory to have facility and most industry use vet (vet agreement costed earlier).</w:t>
            </w:r>
          </w:p>
        </w:tc>
      </w:tr>
      <w:tr w:rsidR="009E00CC" w:rsidTr="00A64520">
        <w:tc>
          <w:tcPr>
            <w:tcW w:w="3119" w:type="dxa"/>
          </w:tcPr>
          <w:p w:rsidR="009E00CC" w:rsidRPr="00447CE9" w:rsidRDefault="009E00CC" w:rsidP="00447CE9">
            <w:pPr>
              <w:rPr>
                <w:sz w:val="18"/>
              </w:rPr>
            </w:pPr>
            <w:r w:rsidRPr="00447CE9">
              <w:rPr>
                <w:sz w:val="18"/>
              </w:rPr>
              <w:t>6.6.3 Tethering</w:t>
            </w:r>
          </w:p>
        </w:tc>
        <w:tc>
          <w:tcPr>
            <w:tcW w:w="5954" w:type="dxa"/>
          </w:tcPr>
          <w:p w:rsidR="009E00CC" w:rsidRPr="00447CE9" w:rsidRDefault="009E00CC" w:rsidP="00447CE9">
            <w:pPr>
              <w:rPr>
                <w:sz w:val="18"/>
              </w:rPr>
            </w:pPr>
            <w:r w:rsidRPr="00447CE9">
              <w:rPr>
                <w:sz w:val="18"/>
              </w:rPr>
              <w:t>No POCTAA limits and Industry does not do.</w:t>
            </w:r>
          </w:p>
        </w:tc>
      </w:tr>
      <w:tr w:rsidR="009E00CC" w:rsidTr="00A64520">
        <w:tc>
          <w:tcPr>
            <w:tcW w:w="3119" w:type="dxa"/>
          </w:tcPr>
          <w:p w:rsidR="009E00CC" w:rsidRPr="00447CE9" w:rsidRDefault="009E00CC" w:rsidP="00447CE9">
            <w:pPr>
              <w:rPr>
                <w:sz w:val="18"/>
              </w:rPr>
            </w:pPr>
            <w:r w:rsidRPr="00447CE9">
              <w:rPr>
                <w:sz w:val="18"/>
              </w:rPr>
              <w:t>6.6.4 Perimeter property fencing</w:t>
            </w:r>
          </w:p>
        </w:tc>
        <w:tc>
          <w:tcPr>
            <w:tcW w:w="5954" w:type="dxa"/>
          </w:tcPr>
          <w:p w:rsidR="009E00CC" w:rsidRPr="00447CE9" w:rsidRDefault="009E00CC" w:rsidP="00447CE9">
            <w:pPr>
              <w:rPr>
                <w:rFonts w:eastAsia="Times New Roman"/>
                <w:bCs/>
                <w:sz w:val="18"/>
              </w:rPr>
            </w:pPr>
            <w:r w:rsidRPr="00447CE9">
              <w:rPr>
                <w:rFonts w:eastAsia="Times New Roman"/>
                <w:bCs/>
                <w:sz w:val="18"/>
              </w:rPr>
              <w:t>Yes</w:t>
            </w:r>
          </w:p>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rPr>
              <w:t>6.6.5 Construction housing pens and yards</w:t>
            </w:r>
          </w:p>
        </w:tc>
        <w:tc>
          <w:tcPr>
            <w:tcW w:w="5954" w:type="dxa"/>
          </w:tcPr>
          <w:p w:rsidR="009E00CC" w:rsidRPr="00447CE9" w:rsidRDefault="009E00CC" w:rsidP="00447CE9">
            <w:pPr>
              <w:rPr>
                <w:rFonts w:eastAsia="Times New Roman"/>
                <w:bCs/>
                <w:sz w:val="18"/>
              </w:rPr>
            </w:pPr>
            <w:r w:rsidRPr="00447CE9">
              <w:rPr>
                <w:rFonts w:eastAsia="Times New Roman"/>
                <w:bCs/>
                <w:sz w:val="18"/>
              </w:rPr>
              <w:t>Yes</w:t>
            </w:r>
          </w:p>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rPr>
              <w:t>6.6.6 Construction of indoor kennel facilities</w:t>
            </w:r>
          </w:p>
        </w:tc>
        <w:tc>
          <w:tcPr>
            <w:tcW w:w="5954" w:type="dxa"/>
          </w:tcPr>
          <w:p w:rsidR="009E00CC" w:rsidRPr="00447CE9" w:rsidRDefault="009E00CC" w:rsidP="00447CE9">
            <w:pPr>
              <w:rPr>
                <w:sz w:val="18"/>
              </w:rPr>
            </w:pPr>
            <w:r w:rsidRPr="00447CE9">
              <w:rPr>
                <w:rFonts w:eastAsia="Times New Roman"/>
                <w:bCs/>
                <w:sz w:val="18"/>
              </w:rPr>
              <w:t>Yes</w:t>
            </w:r>
          </w:p>
        </w:tc>
      </w:tr>
      <w:tr w:rsidR="009E00CC" w:rsidTr="00A64520">
        <w:tc>
          <w:tcPr>
            <w:tcW w:w="3119" w:type="dxa"/>
          </w:tcPr>
          <w:p w:rsidR="009E00CC" w:rsidRPr="00447CE9" w:rsidRDefault="009E00CC" w:rsidP="00447CE9">
            <w:pPr>
              <w:rPr>
                <w:sz w:val="18"/>
              </w:rPr>
            </w:pPr>
            <w:r w:rsidRPr="00447CE9">
              <w:rPr>
                <w:sz w:val="18"/>
              </w:rPr>
              <w:t>6.6.7 Minimum housing requirements</w:t>
            </w:r>
          </w:p>
        </w:tc>
        <w:tc>
          <w:tcPr>
            <w:tcW w:w="5954" w:type="dxa"/>
          </w:tcPr>
          <w:p w:rsidR="009E00CC" w:rsidRPr="00447CE9" w:rsidRDefault="009E00CC" w:rsidP="00447CE9">
            <w:pPr>
              <w:rPr>
                <w:rFonts w:eastAsia="Times New Roman"/>
                <w:bCs/>
                <w:sz w:val="18"/>
              </w:rPr>
            </w:pPr>
            <w:r w:rsidRPr="00447CE9">
              <w:rPr>
                <w:rFonts w:eastAsia="Times New Roman"/>
                <w:bCs/>
                <w:sz w:val="18"/>
              </w:rPr>
              <w:t>Most costed under exercise.</w:t>
            </w:r>
          </w:p>
          <w:p w:rsidR="009E00CC" w:rsidRPr="00447CE9" w:rsidRDefault="009E00CC" w:rsidP="00447CE9">
            <w:pPr>
              <w:rPr>
                <w:rFonts w:eastAsia="Times New Roman"/>
                <w:bCs/>
                <w:sz w:val="18"/>
              </w:rPr>
            </w:pPr>
            <w:r w:rsidRPr="00447CE9">
              <w:rPr>
                <w:rFonts w:eastAsia="Times New Roman"/>
                <w:bCs/>
                <w:sz w:val="18"/>
              </w:rPr>
              <w:t>Costed number of breaks for enclosures 3-9 and 10-14 sq. m.</w:t>
            </w:r>
          </w:p>
          <w:p w:rsidR="009E00CC" w:rsidRPr="00447CE9" w:rsidRDefault="009E00CC" w:rsidP="00447CE9">
            <w:pPr>
              <w:rPr>
                <w:rFonts w:eastAsia="Times New Roman"/>
                <w:bCs/>
                <w:sz w:val="18"/>
              </w:rPr>
            </w:pPr>
            <w:r w:rsidRPr="00447CE9">
              <w:rPr>
                <w:rFonts w:eastAsia="Times New Roman"/>
                <w:bCs/>
                <w:sz w:val="18"/>
              </w:rPr>
              <w:t>Minimum width for taller dogs is new but very small % of dogs this height so negligible.</w:t>
            </w:r>
          </w:p>
          <w:p w:rsidR="009E00CC" w:rsidRPr="00447CE9" w:rsidRDefault="009E00CC" w:rsidP="00447CE9">
            <w:pPr>
              <w:rPr>
                <w:sz w:val="18"/>
              </w:rPr>
            </w:pPr>
            <w:r w:rsidRPr="00447CE9">
              <w:rPr>
                <w:rFonts w:eastAsia="Times New Roman"/>
                <w:bCs/>
                <w:sz w:val="18"/>
              </w:rPr>
              <w:t xml:space="preserve">Cost to toilet dogs in 15.19 sq. m </w:t>
            </w:r>
          </w:p>
        </w:tc>
      </w:tr>
      <w:tr w:rsidR="009E00CC" w:rsidTr="00A64520">
        <w:tc>
          <w:tcPr>
            <w:tcW w:w="3119" w:type="dxa"/>
          </w:tcPr>
          <w:p w:rsidR="009E00CC" w:rsidRPr="00447CE9" w:rsidRDefault="009E00CC" w:rsidP="00447CE9">
            <w:pPr>
              <w:rPr>
                <w:sz w:val="18"/>
              </w:rPr>
            </w:pPr>
            <w:r w:rsidRPr="00447CE9">
              <w:rPr>
                <w:sz w:val="18"/>
              </w:rPr>
              <w:t>6.6.8 Toileting yards</w:t>
            </w:r>
          </w:p>
        </w:tc>
        <w:tc>
          <w:tcPr>
            <w:tcW w:w="5954" w:type="dxa"/>
          </w:tcPr>
          <w:p w:rsidR="009E00CC" w:rsidRPr="00447CE9" w:rsidRDefault="009E00CC" w:rsidP="00447CE9">
            <w:pPr>
              <w:rPr>
                <w:sz w:val="18"/>
              </w:rPr>
            </w:pPr>
            <w:r w:rsidRPr="00447CE9">
              <w:rPr>
                <w:sz w:val="18"/>
              </w:rPr>
              <w:t xml:space="preserve">No – mandatory to have a toileting yard –if do min requirements on size and no. dogs </w:t>
            </w:r>
          </w:p>
        </w:tc>
      </w:tr>
      <w:tr w:rsidR="009E00CC" w:rsidTr="00A64520">
        <w:tc>
          <w:tcPr>
            <w:tcW w:w="3119" w:type="dxa"/>
          </w:tcPr>
          <w:p w:rsidR="009E00CC" w:rsidRPr="00447CE9" w:rsidRDefault="009E00CC" w:rsidP="00447CE9">
            <w:pPr>
              <w:rPr>
                <w:sz w:val="18"/>
              </w:rPr>
            </w:pPr>
            <w:r w:rsidRPr="00447CE9">
              <w:rPr>
                <w:sz w:val="18"/>
              </w:rPr>
              <w:t>6.6.9 Exercise yards</w:t>
            </w:r>
          </w:p>
        </w:tc>
        <w:tc>
          <w:tcPr>
            <w:tcW w:w="5954" w:type="dxa"/>
          </w:tcPr>
          <w:p w:rsidR="009E00CC" w:rsidRPr="00447CE9" w:rsidRDefault="009E00CC" w:rsidP="00447CE9">
            <w:pPr>
              <w:rPr>
                <w:sz w:val="18"/>
              </w:rPr>
            </w:pPr>
            <w:r w:rsidRPr="00447CE9">
              <w:rPr>
                <w:rFonts w:eastAsia="Times New Roman"/>
                <w:bCs/>
                <w:sz w:val="18"/>
              </w:rPr>
              <w:t>No – Not mandatory to have exercise yard – conditions if do, size, no dogs.</w:t>
            </w:r>
          </w:p>
        </w:tc>
      </w:tr>
      <w:tr w:rsidR="009E00CC" w:rsidTr="00A64520">
        <w:tc>
          <w:tcPr>
            <w:tcW w:w="3119" w:type="dxa"/>
          </w:tcPr>
          <w:p w:rsidR="009E00CC" w:rsidRPr="00447CE9" w:rsidRDefault="009E00CC" w:rsidP="00447CE9">
            <w:pPr>
              <w:rPr>
                <w:sz w:val="18"/>
              </w:rPr>
            </w:pPr>
            <w:r w:rsidRPr="00447CE9">
              <w:rPr>
                <w:sz w:val="18"/>
              </w:rPr>
              <w:t>6.6.10 Day yards</w:t>
            </w:r>
          </w:p>
        </w:tc>
        <w:tc>
          <w:tcPr>
            <w:tcW w:w="5954" w:type="dxa"/>
          </w:tcPr>
          <w:p w:rsidR="009E00CC" w:rsidRPr="00447CE9" w:rsidRDefault="009E00CC" w:rsidP="00447CE9">
            <w:pPr>
              <w:rPr>
                <w:sz w:val="18"/>
              </w:rPr>
            </w:pPr>
            <w:r w:rsidRPr="00447CE9">
              <w:rPr>
                <w:rFonts w:eastAsia="Times New Roman"/>
                <w:bCs/>
                <w:sz w:val="18"/>
              </w:rPr>
              <w:t>No – Not mandatory to have day yard but conditions if do</w:t>
            </w:r>
          </w:p>
        </w:tc>
      </w:tr>
      <w:tr w:rsidR="009E00CC" w:rsidTr="00A64520">
        <w:tc>
          <w:tcPr>
            <w:tcW w:w="3119" w:type="dxa"/>
          </w:tcPr>
          <w:p w:rsidR="009E00CC" w:rsidRPr="00447CE9" w:rsidRDefault="009E00CC" w:rsidP="00447CE9">
            <w:pPr>
              <w:rPr>
                <w:sz w:val="18"/>
              </w:rPr>
            </w:pPr>
            <w:r w:rsidRPr="00447CE9">
              <w:rPr>
                <w:sz w:val="18"/>
              </w:rPr>
              <w:t>6.6.11 Circular training Facilities</w:t>
            </w:r>
          </w:p>
        </w:tc>
        <w:tc>
          <w:tcPr>
            <w:tcW w:w="5954" w:type="dxa"/>
          </w:tcPr>
          <w:p w:rsidR="009E00CC" w:rsidRPr="00447CE9" w:rsidRDefault="009E00CC" w:rsidP="00447CE9">
            <w:pPr>
              <w:rPr>
                <w:sz w:val="18"/>
              </w:rPr>
            </w:pPr>
            <w:r w:rsidRPr="00447CE9">
              <w:rPr>
                <w:rFonts w:eastAsia="Times New Roman"/>
                <w:bCs/>
                <w:sz w:val="18"/>
              </w:rPr>
              <w:t xml:space="preserve">No – Industry standard and Bull rings not mandatory to have </w:t>
            </w:r>
          </w:p>
        </w:tc>
      </w:tr>
      <w:tr w:rsidR="009E00CC" w:rsidTr="00A64520">
        <w:tc>
          <w:tcPr>
            <w:tcW w:w="3119" w:type="dxa"/>
          </w:tcPr>
          <w:p w:rsidR="009E00CC" w:rsidRPr="00447CE9" w:rsidRDefault="009E00CC" w:rsidP="00447CE9">
            <w:pPr>
              <w:rPr>
                <w:sz w:val="18"/>
              </w:rPr>
            </w:pPr>
            <w:r w:rsidRPr="00447CE9">
              <w:rPr>
                <w:sz w:val="18"/>
              </w:rPr>
              <w:t>6.6.12 Slipping tracks and galloping runs</w:t>
            </w:r>
          </w:p>
        </w:tc>
        <w:tc>
          <w:tcPr>
            <w:tcW w:w="5954" w:type="dxa"/>
          </w:tcPr>
          <w:p w:rsidR="009E00CC" w:rsidRPr="00447CE9" w:rsidRDefault="009E00CC" w:rsidP="00447CE9">
            <w:pPr>
              <w:rPr>
                <w:sz w:val="18"/>
              </w:rPr>
            </w:pPr>
            <w:r w:rsidRPr="00447CE9">
              <w:rPr>
                <w:rFonts w:eastAsia="Times New Roman"/>
                <w:bCs/>
                <w:sz w:val="18"/>
              </w:rPr>
              <w:t xml:space="preserve">No – Industry standard and not mandatory to have </w:t>
            </w:r>
          </w:p>
        </w:tc>
      </w:tr>
      <w:tr w:rsidR="009E00CC" w:rsidTr="00A64520">
        <w:tc>
          <w:tcPr>
            <w:tcW w:w="3119" w:type="dxa"/>
          </w:tcPr>
          <w:p w:rsidR="009E00CC" w:rsidRPr="00447CE9" w:rsidRDefault="009E00CC" w:rsidP="00447CE9">
            <w:pPr>
              <w:rPr>
                <w:sz w:val="18"/>
              </w:rPr>
            </w:pPr>
            <w:r w:rsidRPr="00447CE9">
              <w:rPr>
                <w:sz w:val="18"/>
              </w:rPr>
              <w:t>6.6.13 Trial Tracks</w:t>
            </w:r>
          </w:p>
        </w:tc>
        <w:tc>
          <w:tcPr>
            <w:tcW w:w="5954" w:type="dxa"/>
          </w:tcPr>
          <w:p w:rsidR="009E00CC" w:rsidRPr="00447CE9" w:rsidRDefault="009E00CC" w:rsidP="00447CE9">
            <w:pPr>
              <w:rPr>
                <w:rFonts w:eastAsia="Times New Roman"/>
                <w:bCs/>
                <w:sz w:val="18"/>
              </w:rPr>
            </w:pPr>
            <w:r w:rsidRPr="00447CE9">
              <w:rPr>
                <w:rFonts w:eastAsia="Times New Roman"/>
                <w:bCs/>
                <w:sz w:val="18"/>
              </w:rPr>
              <w:t xml:space="preserve">Most new requirements are already Industry standard practice. </w:t>
            </w:r>
          </w:p>
          <w:p w:rsidR="009E00CC" w:rsidRPr="00447CE9" w:rsidRDefault="009E00CC" w:rsidP="00447CE9">
            <w:pPr>
              <w:rPr>
                <w:rFonts w:eastAsia="Times New Roman"/>
                <w:bCs/>
                <w:sz w:val="18"/>
              </w:rPr>
            </w:pPr>
            <w:r w:rsidRPr="00447CE9">
              <w:rPr>
                <w:rFonts w:eastAsia="Times New Roman"/>
                <w:bCs/>
                <w:sz w:val="18"/>
              </w:rPr>
              <w:t>Live baiting an offence under POCTAA.</w:t>
            </w:r>
          </w:p>
          <w:p w:rsidR="009E00CC" w:rsidRPr="00447CE9" w:rsidRDefault="009E00CC" w:rsidP="00447CE9">
            <w:pPr>
              <w:rPr>
                <w:sz w:val="18"/>
              </w:rPr>
            </w:pPr>
            <w:r w:rsidRPr="00447CE9">
              <w:rPr>
                <w:rFonts w:eastAsia="Times New Roman"/>
                <w:bCs/>
                <w:sz w:val="18"/>
              </w:rPr>
              <w:t>Costed extra disinfection and cleaning.</w:t>
            </w:r>
          </w:p>
        </w:tc>
      </w:tr>
      <w:tr w:rsidR="009E00CC" w:rsidTr="00A64520">
        <w:tc>
          <w:tcPr>
            <w:tcW w:w="3119" w:type="dxa"/>
          </w:tcPr>
          <w:p w:rsidR="009E00CC" w:rsidRPr="00447CE9" w:rsidRDefault="009E00CC" w:rsidP="00447CE9">
            <w:pPr>
              <w:rPr>
                <w:sz w:val="18"/>
              </w:rPr>
            </w:pPr>
            <w:r w:rsidRPr="00447CE9">
              <w:rPr>
                <w:sz w:val="18"/>
              </w:rPr>
              <w:t>7.0 Transfer/Sale of greyhounds</w:t>
            </w:r>
          </w:p>
        </w:tc>
        <w:tc>
          <w:tcPr>
            <w:tcW w:w="5954" w:type="dxa"/>
          </w:tcPr>
          <w:p w:rsidR="009E00CC" w:rsidRPr="00447CE9" w:rsidRDefault="009E00CC" w:rsidP="00447CE9">
            <w:pPr>
              <w:rPr>
                <w:sz w:val="18"/>
              </w:rPr>
            </w:pPr>
            <w:r w:rsidRPr="00447CE9">
              <w:rPr>
                <w:rFonts w:eastAsia="Times New Roman"/>
                <w:bCs/>
                <w:sz w:val="18"/>
              </w:rPr>
              <w:t>No – Animal record files</w:t>
            </w:r>
          </w:p>
        </w:tc>
      </w:tr>
      <w:tr w:rsidR="009E00CC" w:rsidTr="00A64520">
        <w:tc>
          <w:tcPr>
            <w:tcW w:w="3119" w:type="dxa"/>
          </w:tcPr>
          <w:p w:rsidR="009E00CC" w:rsidRPr="00447CE9" w:rsidRDefault="009E00CC" w:rsidP="00447CE9">
            <w:pPr>
              <w:rPr>
                <w:sz w:val="18"/>
              </w:rPr>
            </w:pPr>
            <w:r w:rsidRPr="00447CE9">
              <w:rPr>
                <w:sz w:val="18"/>
              </w:rPr>
              <w:t>7.1 Sale/transfer of greyhounds out of the industry</w:t>
            </w:r>
          </w:p>
        </w:tc>
        <w:tc>
          <w:tcPr>
            <w:tcW w:w="5954" w:type="dxa"/>
          </w:tcPr>
          <w:p w:rsidR="009E00CC" w:rsidRPr="00447CE9" w:rsidRDefault="009E00CC" w:rsidP="00447CE9">
            <w:pPr>
              <w:rPr>
                <w:sz w:val="18"/>
              </w:rPr>
            </w:pPr>
            <w:r w:rsidRPr="00447CE9">
              <w:rPr>
                <w:sz w:val="18"/>
              </w:rPr>
              <w:t>Yes – extended notification requirements:</w:t>
            </w:r>
          </w:p>
          <w:p w:rsidR="009E00CC" w:rsidRPr="00447CE9" w:rsidRDefault="009E00CC" w:rsidP="00447CE9">
            <w:pPr>
              <w:rPr>
                <w:sz w:val="18"/>
              </w:rPr>
            </w:pPr>
          </w:p>
        </w:tc>
      </w:tr>
      <w:tr w:rsidR="009E00CC" w:rsidTr="00A64520">
        <w:tc>
          <w:tcPr>
            <w:tcW w:w="3119" w:type="dxa"/>
          </w:tcPr>
          <w:p w:rsidR="009E00CC" w:rsidRPr="00447CE9" w:rsidRDefault="009E00CC" w:rsidP="00447CE9">
            <w:pPr>
              <w:rPr>
                <w:sz w:val="18"/>
              </w:rPr>
            </w:pPr>
            <w:r w:rsidRPr="00447CE9">
              <w:rPr>
                <w:sz w:val="18"/>
              </w:rPr>
              <w:t>7.2 guarantee for sale/transfer of greyhounds out of the industry</w:t>
            </w:r>
          </w:p>
        </w:tc>
        <w:tc>
          <w:tcPr>
            <w:tcW w:w="5954" w:type="dxa"/>
          </w:tcPr>
          <w:p w:rsidR="009E00CC" w:rsidRPr="00447CE9" w:rsidRDefault="009E00CC" w:rsidP="00447CE9">
            <w:pPr>
              <w:rPr>
                <w:sz w:val="18"/>
              </w:rPr>
            </w:pPr>
            <w:r w:rsidRPr="00447CE9">
              <w:rPr>
                <w:sz w:val="18"/>
              </w:rPr>
              <w:t>No – negligible only for dogs leaving industry (and poor qual)</w:t>
            </w:r>
          </w:p>
        </w:tc>
      </w:tr>
      <w:tr w:rsidR="009E00CC" w:rsidTr="00A64520">
        <w:tc>
          <w:tcPr>
            <w:tcW w:w="3119" w:type="dxa"/>
          </w:tcPr>
          <w:p w:rsidR="009E00CC" w:rsidRPr="00447CE9" w:rsidRDefault="009E00CC" w:rsidP="00447CE9">
            <w:pPr>
              <w:rPr>
                <w:sz w:val="18"/>
              </w:rPr>
            </w:pPr>
            <w:r w:rsidRPr="00447CE9">
              <w:rPr>
                <w:rFonts w:eastAsiaTheme="majorEastAsia" w:cstheme="majorBidi"/>
                <w:sz w:val="18"/>
              </w:rPr>
              <w:t>8.</w:t>
            </w:r>
            <w:r w:rsidRPr="00447CE9">
              <w:rPr>
                <w:sz w:val="18"/>
              </w:rPr>
              <w:t xml:space="preserve"> Hobby Establishments</w:t>
            </w:r>
          </w:p>
        </w:tc>
        <w:tc>
          <w:tcPr>
            <w:tcW w:w="5954" w:type="dxa"/>
          </w:tcPr>
          <w:p w:rsidR="009E00CC" w:rsidRPr="00447CE9" w:rsidRDefault="009E00CC" w:rsidP="00447CE9">
            <w:pPr>
              <w:rPr>
                <w:sz w:val="18"/>
              </w:rPr>
            </w:pPr>
            <w:r w:rsidRPr="00447CE9">
              <w:rPr>
                <w:sz w:val="18"/>
              </w:rPr>
              <w:t>No - Lower burden for establishments with 1-2 greyhounds who currently must comply with full current code</w:t>
            </w:r>
          </w:p>
        </w:tc>
      </w:tr>
    </w:tbl>
    <w:p w:rsidR="00302CA9" w:rsidRDefault="00302CA9" w:rsidP="005E55E5"/>
    <w:p w:rsidR="005E55E5" w:rsidRPr="005E55E5" w:rsidRDefault="005E55E5" w:rsidP="005E55E5"/>
    <w:sectPr w:rsidR="005E55E5" w:rsidRPr="005E55E5" w:rsidSect="00C23C9B">
      <w:type w:val="continuous"/>
      <w:pgSz w:w="11906" w:h="16838"/>
      <w:pgMar w:top="1985" w:right="2267" w:bottom="1418" w:left="1418" w:header="79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36A1" w:rsidRDefault="000E36A1" w:rsidP="00FF6213">
      <w:r>
        <w:separator/>
      </w:r>
    </w:p>
  </w:endnote>
  <w:endnote w:type="continuationSeparator" w:id="0">
    <w:p w:rsidR="000E36A1" w:rsidRDefault="000E36A1" w:rsidP="00FF62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NeueLT Std Lt">
    <w:altName w:val="Cambri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BoldMT">
    <w:altName w:val="Times New Roman"/>
    <w:charset w:val="00"/>
    <w:family w:val="auto"/>
    <w:pitch w:val="variable"/>
    <w:sig w:usb0="00000003" w:usb1="C0007843" w:usb2="00000009" w:usb3="00000000" w:csb0="000001FF" w:csb1="00000000"/>
  </w:font>
  <w:font w:name="HelveticaNeueLT Std">
    <w:altName w:val="Cambria"/>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T13FEo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ind w:right="360"/>
      <w:rPr>
        <w:rFonts w:ascii="Arial" w:hAnsi="Arial" w:cs="Arial"/>
        <w:b/>
        <w:color w:val="3F3F3F"/>
        <w:sz w:val="20"/>
      </w:rPr>
    </w:pPr>
    <w:bookmarkStart w:id="158" w:name="aliashNonProtectiveMarki1FooterEvenPages"/>
    <w:r>
      <w:rPr>
        <w:rFonts w:ascii="Arial" w:hAnsi="Arial" w:cs="Arial"/>
        <w:b/>
        <w:color w:val="3F3F3F"/>
        <w:sz w:val="20"/>
      </w:rPr>
      <w:t>Unclassified</w:t>
    </w:r>
  </w:p>
  <w:p w:rsidR="000E36A1" w:rsidRDefault="000E36A1">
    <w:pPr>
      <w:pStyle w:val="Footer"/>
      <w:ind w:right="360"/>
      <w:rPr>
        <w:rFonts w:ascii="Arial" w:hAnsi="Arial" w:cs="Arial"/>
        <w:b/>
        <w:color w:val="3F3F3F"/>
        <w:sz w:val="20"/>
      </w:rPr>
    </w:pPr>
  </w:p>
  <w:bookmarkEnd w:id="158"/>
  <w:p w:rsidR="000E36A1" w:rsidRDefault="000E36A1" w:rsidP="00CD18E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Pr="00AB74F5" w:rsidRDefault="000E36A1" w:rsidP="0080680A">
    <w:pPr>
      <w:pStyle w:val="TOC1"/>
    </w:pPr>
    <w:bookmarkStart w:id="159" w:name="aliashNonProtectiveMarking1FooterPrimary"/>
  </w:p>
  <w:bookmarkEnd w:id="159"/>
  <w:p w:rsidR="000E36A1" w:rsidRDefault="000E36A1" w:rsidP="00CD18E5">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pPr>
      <w:pStyle w:val="Footer"/>
      <w:rPr>
        <w:rFonts w:ascii="Arial" w:hAnsi="Arial" w:cs="Arial"/>
        <w:b/>
        <w:color w:val="3F3F3F"/>
        <w:sz w:val="20"/>
      </w:rPr>
    </w:pPr>
    <w:bookmarkStart w:id="160" w:name="aliashNonProtectiveMarki1FooterFirstPage"/>
    <w:r>
      <w:rPr>
        <w:rFonts w:ascii="Arial" w:hAnsi="Arial" w:cs="Arial"/>
        <w:b/>
        <w:color w:val="3F3F3F"/>
        <w:sz w:val="20"/>
      </w:rPr>
      <w:t>Unclassified</w:t>
    </w:r>
  </w:p>
  <w:p w:rsidR="000E36A1" w:rsidRDefault="000E36A1">
    <w:pPr>
      <w:pStyle w:val="Footer"/>
      <w:rPr>
        <w:rFonts w:ascii="Arial" w:hAnsi="Arial" w:cs="Arial"/>
        <w:b/>
        <w:color w:val="3F3F3F"/>
        <w:sz w:val="20"/>
      </w:rPr>
    </w:pPr>
  </w:p>
  <w:bookmarkEnd w:id="160"/>
  <w:p w:rsidR="000E36A1" w:rsidRDefault="000E36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36A1" w:rsidRDefault="000E36A1" w:rsidP="00FF6213">
      <w:r>
        <w:separator/>
      </w:r>
    </w:p>
  </w:footnote>
  <w:footnote w:type="continuationSeparator" w:id="0">
    <w:p w:rsidR="000E36A1" w:rsidRDefault="000E36A1" w:rsidP="00FF6213">
      <w:r>
        <w:continuationSeparator/>
      </w:r>
    </w:p>
  </w:footnote>
  <w:footnote w:id="1">
    <w:p w:rsidR="000E36A1" w:rsidRPr="004B0055" w:rsidRDefault="000E36A1" w:rsidP="00B86468">
      <w:pPr>
        <w:pStyle w:val="FootnoteText"/>
        <w:rPr>
          <w:sz w:val="18"/>
          <w:szCs w:val="18"/>
        </w:rPr>
      </w:pPr>
      <w:r w:rsidRPr="004B0055">
        <w:rPr>
          <w:rStyle w:val="FootnoteReference"/>
          <w:sz w:val="18"/>
          <w:szCs w:val="18"/>
        </w:rPr>
        <w:footnoteRef/>
      </w:r>
      <w:r w:rsidRPr="004B0055">
        <w:rPr>
          <w:sz w:val="18"/>
          <w:szCs w:val="18"/>
        </w:rPr>
        <w:t xml:space="preserve"> </w:t>
      </w:r>
      <w:r w:rsidRPr="004B0055">
        <w:rPr>
          <w:i/>
          <w:sz w:val="18"/>
          <w:szCs w:val="18"/>
        </w:rPr>
        <w:t>Domestic Animals Act 1994</w:t>
      </w:r>
      <w:r w:rsidRPr="004B0055">
        <w:rPr>
          <w:sz w:val="18"/>
          <w:szCs w:val="18"/>
        </w:rPr>
        <w:t xml:space="preserve"> (Authorised Version No. 067) 4 May 2016</w:t>
      </w:r>
    </w:p>
  </w:footnote>
  <w:footnote w:id="2">
    <w:p w:rsidR="000E36A1" w:rsidRPr="00DF086B" w:rsidRDefault="000E36A1" w:rsidP="00CD0E67">
      <w:pPr>
        <w:pStyle w:val="FootnoteText"/>
        <w:rPr>
          <w:sz w:val="18"/>
          <w:szCs w:val="18"/>
        </w:rPr>
      </w:pPr>
      <w:r w:rsidRPr="00DF086B">
        <w:rPr>
          <w:rStyle w:val="FootnoteReference"/>
          <w:sz w:val="18"/>
          <w:szCs w:val="18"/>
        </w:rPr>
        <w:footnoteRef/>
      </w:r>
      <w:r>
        <w:rPr>
          <w:sz w:val="18"/>
          <w:szCs w:val="18"/>
        </w:rPr>
        <w:t xml:space="preserve"> See Table 18 of this RIS for a more detailed break-up of costs</w:t>
      </w:r>
      <w:r w:rsidRPr="00DF086B">
        <w:rPr>
          <w:sz w:val="18"/>
          <w:szCs w:val="18"/>
        </w:rPr>
        <w:t>.</w:t>
      </w:r>
    </w:p>
  </w:footnote>
  <w:footnote w:id="3">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Also </w:t>
      </w:r>
      <w:r w:rsidRPr="00C638A0">
        <w:rPr>
          <w:sz w:val="18"/>
          <w:szCs w:val="18"/>
        </w:rPr>
        <w:t>known</w:t>
      </w:r>
      <w:r w:rsidRPr="004B0055">
        <w:rPr>
          <w:sz w:val="18"/>
          <w:szCs w:val="18"/>
        </w:rPr>
        <w:t xml:space="preserve"> as stakemoney</w:t>
      </w:r>
      <w:r>
        <w:rPr>
          <w:sz w:val="18"/>
          <w:szCs w:val="18"/>
        </w:rPr>
        <w:t>.</w:t>
      </w:r>
    </w:p>
  </w:footnote>
  <w:footnote w:id="4">
    <w:p w:rsidR="000E36A1" w:rsidRPr="004B0055" w:rsidRDefault="000E36A1" w:rsidP="00560A71">
      <w:pPr>
        <w:pStyle w:val="FootnoteText"/>
        <w:rPr>
          <w:sz w:val="18"/>
          <w:szCs w:val="20"/>
        </w:rPr>
      </w:pPr>
      <w:r w:rsidRPr="004B0055">
        <w:rPr>
          <w:rStyle w:val="FootnoteReference"/>
          <w:sz w:val="18"/>
          <w:szCs w:val="20"/>
        </w:rPr>
        <w:footnoteRef/>
      </w:r>
      <w:r w:rsidRPr="004B0055">
        <w:rPr>
          <w:sz w:val="18"/>
          <w:szCs w:val="20"/>
        </w:rPr>
        <w:t xml:space="preserve"> Greyhound Racing Victoria, 2013-2014 ANNUAL REPORT, p.5.</w:t>
      </w:r>
    </w:p>
  </w:footnote>
  <w:footnote w:id="5">
    <w:p w:rsidR="000E36A1" w:rsidRPr="004D060C" w:rsidRDefault="000E36A1" w:rsidP="00C638A0">
      <w:pPr>
        <w:pStyle w:val="FootnoteText"/>
        <w:rPr>
          <w:sz w:val="20"/>
          <w:szCs w:val="20"/>
        </w:rPr>
      </w:pPr>
      <w:r w:rsidRPr="004B0055">
        <w:rPr>
          <w:rStyle w:val="FootnoteReference"/>
          <w:sz w:val="18"/>
          <w:szCs w:val="20"/>
        </w:rPr>
        <w:footnoteRef/>
      </w:r>
      <w:r w:rsidRPr="004B0055">
        <w:rPr>
          <w:sz w:val="18"/>
          <w:szCs w:val="20"/>
        </w:rPr>
        <w:t xml:space="preserve"> GRV website (May 2016)</w:t>
      </w:r>
    </w:p>
  </w:footnote>
  <w:footnote w:id="6">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sidRPr="000B1D58">
        <w:rPr>
          <w:rStyle w:val="Hyperlink"/>
          <w:rFonts w:cs="Arial-BoldMT"/>
          <w:bCs/>
          <w:color w:val="000000" w:themeColor="text1"/>
          <w:sz w:val="18"/>
          <w:szCs w:val="18"/>
        </w:rPr>
        <w:t>Greyhounds Australasia website (Septemb</w:t>
      </w:r>
      <w:r>
        <w:rPr>
          <w:rStyle w:val="Hyperlink"/>
          <w:rFonts w:cs="Arial-BoldMT"/>
          <w:bCs/>
          <w:color w:val="000000" w:themeColor="text1"/>
          <w:sz w:val="18"/>
          <w:szCs w:val="18"/>
        </w:rPr>
        <w:t>e</w:t>
      </w:r>
      <w:r w:rsidRPr="000B1D58">
        <w:rPr>
          <w:rStyle w:val="Hyperlink"/>
          <w:rFonts w:cs="Arial-BoldMT"/>
          <w:bCs/>
          <w:color w:val="000000" w:themeColor="text1"/>
          <w:sz w:val="18"/>
          <w:szCs w:val="18"/>
        </w:rPr>
        <w:t>r 2016)</w:t>
      </w:r>
    </w:p>
  </w:footnote>
  <w:footnote w:id="7">
    <w:p w:rsidR="000E36A1" w:rsidRPr="004B0055" w:rsidRDefault="000E36A1" w:rsidP="00560A71">
      <w:pPr>
        <w:pStyle w:val="FootnoteText"/>
        <w:rPr>
          <w:sz w:val="18"/>
          <w:szCs w:val="20"/>
        </w:rPr>
      </w:pPr>
      <w:r w:rsidRPr="004B0055">
        <w:rPr>
          <w:rStyle w:val="FootnoteReference"/>
          <w:sz w:val="18"/>
          <w:szCs w:val="20"/>
        </w:rPr>
        <w:footnoteRef/>
      </w:r>
      <w:r w:rsidRPr="004B0055">
        <w:rPr>
          <w:sz w:val="18"/>
          <w:szCs w:val="20"/>
        </w:rPr>
        <w:t xml:space="preserve"> Victorian Responsi</w:t>
      </w:r>
      <w:r>
        <w:rPr>
          <w:sz w:val="18"/>
          <w:szCs w:val="20"/>
        </w:rPr>
        <w:t>ble Gambling Foundation, (2015)</w:t>
      </w:r>
    </w:p>
  </w:footnote>
  <w:footnote w:id="8">
    <w:p w:rsidR="000E36A1" w:rsidRPr="007046FB" w:rsidRDefault="000E36A1" w:rsidP="00241DC1">
      <w:pPr>
        <w:pStyle w:val="FootnoteText"/>
        <w:rPr>
          <w:sz w:val="18"/>
          <w:szCs w:val="18"/>
        </w:rPr>
      </w:pPr>
      <w:r w:rsidRPr="007046FB">
        <w:rPr>
          <w:rStyle w:val="FootnoteReference"/>
          <w:sz w:val="18"/>
          <w:szCs w:val="18"/>
        </w:rPr>
        <w:footnoteRef/>
      </w:r>
      <w:r>
        <w:rPr>
          <w:sz w:val="18"/>
          <w:szCs w:val="18"/>
        </w:rPr>
        <w:t xml:space="preserve"> McHugh M</w:t>
      </w:r>
      <w:r w:rsidRPr="007046FB">
        <w:rPr>
          <w:sz w:val="18"/>
          <w:szCs w:val="18"/>
        </w:rPr>
        <w:t>, (</w:t>
      </w:r>
      <w:r>
        <w:rPr>
          <w:sz w:val="18"/>
          <w:szCs w:val="18"/>
        </w:rPr>
        <w:t>16 June 2016), p22</w:t>
      </w:r>
    </w:p>
  </w:footnote>
  <w:footnote w:id="9">
    <w:p w:rsidR="000E36A1" w:rsidRPr="00241DC1" w:rsidRDefault="000E36A1" w:rsidP="009637A1">
      <w:pPr>
        <w:pStyle w:val="FootnoteText"/>
        <w:rPr>
          <w:sz w:val="18"/>
        </w:rPr>
      </w:pPr>
      <w:r w:rsidRPr="009637A1">
        <w:rPr>
          <w:rStyle w:val="FootnoteReference"/>
          <w:sz w:val="18"/>
          <w:szCs w:val="18"/>
        </w:rPr>
        <w:footnoteRef/>
      </w:r>
      <w:r w:rsidRPr="009637A1">
        <w:rPr>
          <w:sz w:val="18"/>
          <w:szCs w:val="18"/>
        </w:rPr>
        <w:t xml:space="preserve"> </w:t>
      </w:r>
      <w:r>
        <w:rPr>
          <w:sz w:val="18"/>
          <w:szCs w:val="18"/>
        </w:rPr>
        <w:t xml:space="preserve">Mine, C., (30 April 2015) </w:t>
      </w:r>
    </w:p>
  </w:footnote>
  <w:footnote w:id="10">
    <w:p w:rsidR="000E36A1" w:rsidRPr="004B0055" w:rsidRDefault="000E36A1" w:rsidP="00560A71">
      <w:pPr>
        <w:pStyle w:val="FootnoteText"/>
        <w:rPr>
          <w:sz w:val="18"/>
          <w:szCs w:val="20"/>
        </w:rPr>
      </w:pPr>
      <w:r w:rsidRPr="004B0055">
        <w:rPr>
          <w:rStyle w:val="FootnoteReference"/>
          <w:sz w:val="18"/>
          <w:szCs w:val="20"/>
        </w:rPr>
        <w:footnoteRef/>
      </w:r>
      <w:r w:rsidRPr="004B0055">
        <w:rPr>
          <w:sz w:val="18"/>
          <w:szCs w:val="20"/>
        </w:rPr>
        <w:t xml:space="preserve"> Perna, S., (2015), p.10.</w:t>
      </w:r>
    </w:p>
  </w:footnote>
  <w:footnote w:id="11">
    <w:p w:rsidR="000E36A1" w:rsidRPr="004D060C" w:rsidRDefault="000E36A1" w:rsidP="00560A71">
      <w:pPr>
        <w:pStyle w:val="FootnoteText"/>
        <w:rPr>
          <w:sz w:val="20"/>
          <w:szCs w:val="20"/>
        </w:rPr>
      </w:pPr>
      <w:r w:rsidRPr="004B0055">
        <w:rPr>
          <w:rStyle w:val="FootnoteReference"/>
          <w:sz w:val="18"/>
          <w:szCs w:val="20"/>
        </w:rPr>
        <w:footnoteRef/>
      </w:r>
      <w:r w:rsidRPr="004B0055">
        <w:rPr>
          <w:sz w:val="18"/>
          <w:szCs w:val="20"/>
        </w:rPr>
        <w:t xml:space="preserve"> Bittar, P., (2016).</w:t>
      </w:r>
    </w:p>
  </w:footnote>
  <w:footnote w:id="12">
    <w:p w:rsidR="000E36A1" w:rsidRPr="007046FB" w:rsidRDefault="000E36A1" w:rsidP="00241DC1">
      <w:pPr>
        <w:pStyle w:val="FootnoteText"/>
        <w:rPr>
          <w:sz w:val="18"/>
          <w:szCs w:val="18"/>
        </w:rPr>
      </w:pPr>
      <w:r w:rsidRPr="007046FB">
        <w:rPr>
          <w:rStyle w:val="FootnoteReference"/>
          <w:sz w:val="18"/>
          <w:szCs w:val="18"/>
        </w:rPr>
        <w:footnoteRef/>
      </w:r>
      <w:r>
        <w:rPr>
          <w:sz w:val="18"/>
          <w:szCs w:val="18"/>
        </w:rPr>
        <w:t xml:space="preserve"> MacSporran, A</w:t>
      </w:r>
      <w:r w:rsidRPr="007046FB">
        <w:rPr>
          <w:sz w:val="18"/>
          <w:szCs w:val="18"/>
        </w:rPr>
        <w:t>., (</w:t>
      </w:r>
      <w:r>
        <w:rPr>
          <w:sz w:val="18"/>
          <w:szCs w:val="18"/>
        </w:rPr>
        <w:t>1 June 2015), p5</w:t>
      </w:r>
    </w:p>
  </w:footnote>
  <w:footnote w:id="13">
    <w:p w:rsidR="000E36A1" w:rsidRPr="007046FB" w:rsidRDefault="000E36A1" w:rsidP="00027AC2">
      <w:pPr>
        <w:pStyle w:val="FootnoteText"/>
        <w:rPr>
          <w:sz w:val="18"/>
          <w:szCs w:val="18"/>
        </w:rPr>
      </w:pPr>
      <w:r w:rsidRPr="007046FB">
        <w:rPr>
          <w:rStyle w:val="FootnoteReference"/>
          <w:sz w:val="18"/>
          <w:szCs w:val="18"/>
        </w:rPr>
        <w:footnoteRef/>
      </w:r>
      <w:r>
        <w:rPr>
          <w:sz w:val="18"/>
          <w:szCs w:val="18"/>
        </w:rPr>
        <w:t xml:space="preserve"> McHugh M</w:t>
      </w:r>
      <w:r w:rsidRPr="007046FB">
        <w:rPr>
          <w:sz w:val="18"/>
          <w:szCs w:val="18"/>
        </w:rPr>
        <w:t>, (</w:t>
      </w:r>
      <w:r>
        <w:rPr>
          <w:sz w:val="18"/>
          <w:szCs w:val="18"/>
        </w:rPr>
        <w:t>16 June 2016), p22</w:t>
      </w:r>
    </w:p>
  </w:footnote>
  <w:footnote w:id="14">
    <w:p w:rsidR="000E36A1" w:rsidRPr="007046FB" w:rsidRDefault="000E36A1" w:rsidP="00CD3D33">
      <w:pPr>
        <w:pStyle w:val="FootnoteText"/>
        <w:rPr>
          <w:sz w:val="18"/>
          <w:szCs w:val="18"/>
        </w:rPr>
      </w:pPr>
      <w:r w:rsidRPr="007046FB">
        <w:rPr>
          <w:rStyle w:val="FootnoteReference"/>
          <w:sz w:val="18"/>
          <w:szCs w:val="18"/>
        </w:rPr>
        <w:footnoteRef/>
      </w:r>
      <w:r>
        <w:rPr>
          <w:sz w:val="18"/>
          <w:szCs w:val="18"/>
        </w:rPr>
        <w:t xml:space="preserve"> Baird M</w:t>
      </w:r>
      <w:r w:rsidRPr="007046FB">
        <w:rPr>
          <w:sz w:val="18"/>
          <w:szCs w:val="18"/>
        </w:rPr>
        <w:t>, (</w:t>
      </w:r>
      <w:r>
        <w:rPr>
          <w:sz w:val="18"/>
          <w:szCs w:val="18"/>
        </w:rPr>
        <w:t>7 July 2016).</w:t>
      </w:r>
    </w:p>
  </w:footnote>
  <w:footnote w:id="15">
    <w:p w:rsidR="000E36A1" w:rsidRPr="004B0055" w:rsidRDefault="000E36A1">
      <w:pPr>
        <w:pStyle w:val="FootnoteText"/>
        <w:rPr>
          <w:sz w:val="18"/>
          <w:szCs w:val="18"/>
        </w:rPr>
      </w:pPr>
      <w:r w:rsidRPr="004B0055">
        <w:rPr>
          <w:rStyle w:val="FootnoteReference"/>
          <w:sz w:val="18"/>
          <w:szCs w:val="18"/>
        </w:rPr>
        <w:footnoteRef/>
      </w:r>
      <w:r>
        <w:rPr>
          <w:sz w:val="18"/>
          <w:szCs w:val="18"/>
        </w:rPr>
        <w:t xml:space="preserve"> (see</w:t>
      </w:r>
      <w:r w:rsidRPr="004B0055">
        <w:rPr>
          <w:sz w:val="18"/>
          <w:szCs w:val="18"/>
        </w:rPr>
        <w:t xml:space="preserve"> http://www.abc.net.au/news/2016-10-11/greyhound-ban-baird-government-confirms-backflip/7921000</w:t>
      </w:r>
      <w:r>
        <w:rPr>
          <w:sz w:val="18"/>
          <w:szCs w:val="18"/>
        </w:rPr>
        <w:t xml:space="preserve"> - accessed 10 October 2016)</w:t>
      </w:r>
    </w:p>
  </w:footnote>
  <w:footnote w:id="16">
    <w:p w:rsidR="000E36A1" w:rsidRPr="007046FB" w:rsidRDefault="000E36A1" w:rsidP="00E15FFD">
      <w:pPr>
        <w:pStyle w:val="FootnoteText"/>
        <w:rPr>
          <w:sz w:val="18"/>
          <w:szCs w:val="18"/>
        </w:rPr>
      </w:pPr>
      <w:r w:rsidRPr="007046FB">
        <w:rPr>
          <w:rStyle w:val="FootnoteReference"/>
          <w:sz w:val="18"/>
          <w:szCs w:val="18"/>
        </w:rPr>
        <w:footnoteRef/>
      </w:r>
      <w:r w:rsidRPr="007046FB">
        <w:rPr>
          <w:sz w:val="18"/>
          <w:szCs w:val="18"/>
        </w:rPr>
        <w:t xml:space="preserve"> Pakula, M., (</w:t>
      </w:r>
      <w:r>
        <w:rPr>
          <w:sz w:val="18"/>
          <w:szCs w:val="18"/>
        </w:rPr>
        <w:t xml:space="preserve">17 May </w:t>
      </w:r>
      <w:r w:rsidRPr="007046FB">
        <w:rPr>
          <w:sz w:val="18"/>
          <w:szCs w:val="18"/>
        </w:rPr>
        <w:t>2016), p.3</w:t>
      </w:r>
    </w:p>
  </w:footnote>
  <w:footnote w:id="17">
    <w:p w:rsidR="000E36A1" w:rsidRPr="00723ED8" w:rsidRDefault="000E36A1" w:rsidP="00C1288C">
      <w:pPr>
        <w:pStyle w:val="FootnoteText"/>
        <w:rPr>
          <w:i/>
          <w:sz w:val="20"/>
          <w:szCs w:val="20"/>
        </w:rPr>
      </w:pPr>
      <w:r w:rsidRPr="005B3F5B">
        <w:rPr>
          <w:rStyle w:val="FootnoteReference"/>
          <w:sz w:val="18"/>
          <w:szCs w:val="20"/>
        </w:rPr>
        <w:footnoteRef/>
      </w:r>
      <w:r w:rsidRPr="005B3F5B">
        <w:rPr>
          <w:sz w:val="18"/>
          <w:szCs w:val="20"/>
        </w:rPr>
        <w:t xml:space="preserve"> The Daily Telegraph (8 July 2016) </w:t>
      </w:r>
      <w:r w:rsidRPr="005B3F5B">
        <w:rPr>
          <w:i/>
          <w:sz w:val="18"/>
          <w:szCs w:val="20"/>
        </w:rPr>
        <w:t xml:space="preserve">Greyhound racing ban: Sad day for the battlers’ sport. </w:t>
      </w:r>
    </w:p>
  </w:footnote>
  <w:footnote w:id="18">
    <w:p w:rsidR="000E36A1" w:rsidRPr="00D40883" w:rsidRDefault="000E36A1" w:rsidP="00C1288C">
      <w:pPr>
        <w:pStyle w:val="FootnoteText"/>
        <w:rPr>
          <w:sz w:val="18"/>
          <w:szCs w:val="20"/>
        </w:rPr>
      </w:pPr>
      <w:r w:rsidRPr="00D40883">
        <w:rPr>
          <w:rStyle w:val="FootnoteReference"/>
          <w:sz w:val="18"/>
          <w:szCs w:val="20"/>
        </w:rPr>
        <w:footnoteRef/>
      </w:r>
      <w:r w:rsidRPr="00D40883">
        <w:rPr>
          <w:sz w:val="18"/>
          <w:szCs w:val="20"/>
        </w:rPr>
        <w:t xml:space="preserve"> GRV website (May 2016)</w:t>
      </w:r>
    </w:p>
  </w:footnote>
  <w:footnote w:id="19">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sidRPr="00D301F1">
        <w:rPr>
          <w:sz w:val="18"/>
          <w:szCs w:val="18"/>
        </w:rPr>
        <w:t>Unique means ‘</w:t>
      </w:r>
      <w:r>
        <w:rPr>
          <w:sz w:val="18"/>
          <w:szCs w:val="18"/>
        </w:rPr>
        <w:t xml:space="preserve">an individual or dog </w:t>
      </w:r>
      <w:r w:rsidRPr="00D301F1">
        <w:rPr>
          <w:sz w:val="18"/>
          <w:szCs w:val="18"/>
        </w:rPr>
        <w:t>engaged in an activity at least once during the year’</w:t>
      </w:r>
      <w:r>
        <w:rPr>
          <w:sz w:val="18"/>
          <w:szCs w:val="18"/>
        </w:rPr>
        <w:t>, it excludes double counting</w:t>
      </w:r>
      <w:r w:rsidRPr="00D301F1">
        <w:rPr>
          <w:sz w:val="18"/>
          <w:szCs w:val="18"/>
        </w:rPr>
        <w:t>.</w:t>
      </w:r>
    </w:p>
  </w:footnote>
  <w:footnote w:id="20">
    <w:p w:rsidR="000E36A1" w:rsidRDefault="000E36A1">
      <w:pPr>
        <w:pStyle w:val="FootnoteText"/>
      </w:pPr>
      <w:r w:rsidRPr="004B0055">
        <w:rPr>
          <w:rStyle w:val="FootnoteReference"/>
          <w:sz w:val="18"/>
          <w:szCs w:val="20"/>
        </w:rPr>
        <w:footnoteRef/>
      </w:r>
      <w:r w:rsidRPr="004B0055">
        <w:rPr>
          <w:sz w:val="18"/>
          <w:szCs w:val="20"/>
        </w:rPr>
        <w:t xml:space="preserve"> GRV has confirmed that greyhounds may need to be spelled (i.e. rested) as part of their lifecycle but that this can happen at any stage by anyone (i.e. specifically breakers, or trainers) and that there were no specialist </w:t>
      </w:r>
      <w:r>
        <w:rPr>
          <w:sz w:val="18"/>
          <w:szCs w:val="20"/>
        </w:rPr>
        <w:t xml:space="preserve">dedicated </w:t>
      </w:r>
      <w:r w:rsidRPr="004B0055">
        <w:rPr>
          <w:sz w:val="18"/>
          <w:szCs w:val="20"/>
        </w:rPr>
        <w:t>spellers in the industry.</w:t>
      </w:r>
    </w:p>
  </w:footnote>
  <w:footnote w:id="21">
    <w:p w:rsidR="000E36A1" w:rsidRPr="004134B2" w:rsidRDefault="000E36A1" w:rsidP="00C1288C">
      <w:pPr>
        <w:pStyle w:val="FootnoteText"/>
        <w:rPr>
          <w:sz w:val="18"/>
          <w:szCs w:val="18"/>
        </w:rPr>
      </w:pPr>
      <w:r w:rsidRPr="004134B2">
        <w:rPr>
          <w:rStyle w:val="FootnoteReference"/>
          <w:sz w:val="18"/>
          <w:szCs w:val="18"/>
        </w:rPr>
        <w:footnoteRef/>
      </w:r>
      <w:r w:rsidRPr="004134B2">
        <w:rPr>
          <w:sz w:val="18"/>
          <w:szCs w:val="18"/>
        </w:rPr>
        <w:t xml:space="preserve"> DEDJTR, (2016)</w:t>
      </w:r>
    </w:p>
  </w:footnote>
  <w:footnote w:id="22">
    <w:p w:rsidR="000E36A1" w:rsidRPr="007046FB" w:rsidRDefault="000E36A1" w:rsidP="00C1288C">
      <w:pPr>
        <w:pStyle w:val="FootnoteText"/>
        <w:rPr>
          <w:sz w:val="18"/>
          <w:szCs w:val="18"/>
        </w:rPr>
      </w:pPr>
      <w:r w:rsidRPr="007046FB">
        <w:rPr>
          <w:rStyle w:val="FootnoteReference"/>
          <w:sz w:val="18"/>
          <w:szCs w:val="18"/>
        </w:rPr>
        <w:footnoteRef/>
      </w:r>
      <w:r>
        <w:rPr>
          <w:sz w:val="18"/>
          <w:szCs w:val="18"/>
        </w:rPr>
        <w:t xml:space="preserve"> McHugh M</w:t>
      </w:r>
      <w:r w:rsidRPr="007046FB">
        <w:rPr>
          <w:sz w:val="18"/>
          <w:szCs w:val="18"/>
        </w:rPr>
        <w:t>, (</w:t>
      </w:r>
      <w:r>
        <w:rPr>
          <w:sz w:val="18"/>
          <w:szCs w:val="18"/>
        </w:rPr>
        <w:t>16 June 2016), p179</w:t>
      </w:r>
    </w:p>
  </w:footnote>
  <w:footnote w:id="23">
    <w:p w:rsidR="000E36A1" w:rsidRPr="000B1758" w:rsidRDefault="000E36A1" w:rsidP="008A4BD7">
      <w:pPr>
        <w:pStyle w:val="FootnoteText"/>
        <w:rPr>
          <w:sz w:val="18"/>
          <w:szCs w:val="18"/>
        </w:rPr>
      </w:pPr>
      <w:r w:rsidRPr="000B1758">
        <w:rPr>
          <w:rStyle w:val="FootnoteReference"/>
          <w:sz w:val="18"/>
          <w:szCs w:val="18"/>
        </w:rPr>
        <w:footnoteRef/>
      </w:r>
      <w:r w:rsidRPr="000B1758">
        <w:rPr>
          <w:sz w:val="18"/>
          <w:szCs w:val="18"/>
        </w:rPr>
        <w:t xml:space="preserve"> DEDJTR, (2016)</w:t>
      </w:r>
      <w:r w:rsidRPr="00047665">
        <w:t xml:space="preserve"> </w:t>
      </w:r>
      <w:r w:rsidRPr="00047665">
        <w:rPr>
          <w:sz w:val="18"/>
          <w:szCs w:val="18"/>
        </w:rPr>
        <w:t>survey of 724 respondents</w:t>
      </w:r>
      <w:r w:rsidRPr="00047665">
        <w:t xml:space="preserve"> </w:t>
      </w:r>
      <w:r w:rsidRPr="00047665">
        <w:rPr>
          <w:sz w:val="18"/>
          <w:szCs w:val="18"/>
        </w:rPr>
        <w:t>across the industry</w:t>
      </w:r>
    </w:p>
  </w:footnote>
  <w:footnote w:id="24">
    <w:p w:rsidR="000E36A1" w:rsidRDefault="000E36A1" w:rsidP="001B49AC">
      <w:pPr>
        <w:pStyle w:val="FootnoteText"/>
      </w:pPr>
      <w:r w:rsidRPr="00306364">
        <w:rPr>
          <w:rStyle w:val="FootnoteReference"/>
          <w:sz w:val="18"/>
          <w:szCs w:val="18"/>
        </w:rPr>
        <w:footnoteRef/>
      </w:r>
      <w:r w:rsidRPr="00306364">
        <w:rPr>
          <w:sz w:val="18"/>
          <w:szCs w:val="18"/>
        </w:rPr>
        <w:t xml:space="preserve"> DEDJTR, (2016)</w:t>
      </w:r>
    </w:p>
  </w:footnote>
  <w:footnote w:id="25">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Unique means ‘</w:t>
      </w:r>
      <w:r>
        <w:rPr>
          <w:sz w:val="18"/>
          <w:szCs w:val="18"/>
        </w:rPr>
        <w:t xml:space="preserve">an individual or dog </w:t>
      </w:r>
      <w:r w:rsidRPr="004B0055">
        <w:rPr>
          <w:sz w:val="18"/>
          <w:szCs w:val="18"/>
        </w:rPr>
        <w:t>engaged in an activity at least once during the year’</w:t>
      </w:r>
      <w:r>
        <w:rPr>
          <w:sz w:val="18"/>
          <w:szCs w:val="18"/>
        </w:rPr>
        <w:t>, it excludes double counting</w:t>
      </w:r>
      <w:r w:rsidRPr="004B0055">
        <w:rPr>
          <w:sz w:val="18"/>
          <w:szCs w:val="18"/>
        </w:rPr>
        <w:t>.</w:t>
      </w:r>
    </w:p>
  </w:footnote>
  <w:footnote w:id="26">
    <w:p w:rsidR="000E36A1" w:rsidRPr="00876FB1" w:rsidRDefault="000E36A1">
      <w:pPr>
        <w:pStyle w:val="FootnoteText"/>
        <w:rPr>
          <w:sz w:val="18"/>
          <w:szCs w:val="18"/>
        </w:rPr>
      </w:pPr>
      <w:r w:rsidRPr="00876FB1">
        <w:rPr>
          <w:rStyle w:val="FootnoteReference"/>
          <w:sz w:val="18"/>
          <w:szCs w:val="18"/>
        </w:rPr>
        <w:footnoteRef/>
      </w:r>
      <w:r w:rsidRPr="00876FB1">
        <w:rPr>
          <w:sz w:val="18"/>
          <w:szCs w:val="18"/>
        </w:rPr>
        <w:t xml:space="preserve"> Whilst respondents identified themselves as mainly trainers/racers, they may be involved in other activities</w:t>
      </w:r>
      <w:r>
        <w:rPr>
          <w:sz w:val="18"/>
          <w:szCs w:val="18"/>
        </w:rPr>
        <w:t>.</w:t>
      </w:r>
    </w:p>
  </w:footnote>
  <w:footnote w:id="27">
    <w:p w:rsidR="000E36A1" w:rsidRPr="0019737B" w:rsidRDefault="000E36A1">
      <w:pPr>
        <w:pStyle w:val="FootnoteText"/>
        <w:rPr>
          <w:sz w:val="18"/>
          <w:szCs w:val="18"/>
        </w:rPr>
      </w:pPr>
      <w:r w:rsidRPr="0019737B">
        <w:rPr>
          <w:rStyle w:val="FootnoteReference"/>
          <w:sz w:val="18"/>
          <w:szCs w:val="18"/>
        </w:rPr>
        <w:footnoteRef/>
      </w:r>
      <w:r w:rsidRPr="0019737B">
        <w:rPr>
          <w:sz w:val="18"/>
          <w:szCs w:val="18"/>
        </w:rPr>
        <w:t xml:space="preserve"> A litter of 6 dogs typically re</w:t>
      </w:r>
      <w:r>
        <w:rPr>
          <w:sz w:val="18"/>
          <w:szCs w:val="18"/>
        </w:rPr>
        <w:t>flects dog numbers only for</w:t>
      </w:r>
      <w:r w:rsidRPr="0019737B">
        <w:rPr>
          <w:sz w:val="18"/>
          <w:szCs w:val="18"/>
        </w:rPr>
        <w:t xml:space="preserve"> the first 6 weeks when dogs are being whelped.</w:t>
      </w:r>
    </w:p>
  </w:footnote>
  <w:footnote w:id="28">
    <w:p w:rsidR="000E36A1" w:rsidRDefault="000E36A1">
      <w:pPr>
        <w:pStyle w:val="FootnoteText"/>
      </w:pPr>
      <w:r w:rsidRPr="0019737B">
        <w:rPr>
          <w:rStyle w:val="FootnoteReference"/>
          <w:sz w:val="18"/>
        </w:rPr>
        <w:footnoteRef/>
      </w:r>
      <w:r w:rsidRPr="0019737B">
        <w:rPr>
          <w:sz w:val="18"/>
        </w:rPr>
        <w:t xml:space="preserve"> Information presented as whole numbers </w:t>
      </w:r>
      <w:r>
        <w:rPr>
          <w:sz w:val="18"/>
        </w:rPr>
        <w:t xml:space="preserve">is done so </w:t>
      </w:r>
      <w:r w:rsidRPr="0019737B">
        <w:rPr>
          <w:sz w:val="18"/>
        </w:rPr>
        <w:t>for ease of presentation and subject to rounding error.</w:t>
      </w:r>
    </w:p>
  </w:footnote>
  <w:footnote w:id="29">
    <w:p w:rsidR="000E36A1" w:rsidRPr="00DE51D7" w:rsidRDefault="000E36A1" w:rsidP="00C357B6">
      <w:pPr>
        <w:pStyle w:val="FootnoteText"/>
        <w:rPr>
          <w:sz w:val="18"/>
          <w:szCs w:val="18"/>
        </w:rPr>
      </w:pPr>
      <w:r w:rsidRPr="00DE51D7">
        <w:rPr>
          <w:rStyle w:val="FootnoteReference"/>
          <w:sz w:val="18"/>
          <w:szCs w:val="18"/>
        </w:rPr>
        <w:footnoteRef/>
      </w:r>
      <w:r w:rsidRPr="00DE51D7">
        <w:rPr>
          <w:sz w:val="18"/>
          <w:szCs w:val="18"/>
        </w:rPr>
        <w:t xml:space="preserve"> </w:t>
      </w:r>
      <w:r>
        <w:rPr>
          <w:sz w:val="18"/>
          <w:szCs w:val="18"/>
        </w:rPr>
        <w:t>All data in Table 5 represents</w:t>
      </w:r>
      <w:r w:rsidRPr="00DE51D7">
        <w:rPr>
          <w:sz w:val="18"/>
          <w:szCs w:val="18"/>
        </w:rPr>
        <w:t xml:space="preserve"> actual </w:t>
      </w:r>
      <w:r>
        <w:rPr>
          <w:sz w:val="18"/>
          <w:szCs w:val="18"/>
        </w:rPr>
        <w:t>annual data</w:t>
      </w:r>
      <w:r w:rsidRPr="00DE51D7">
        <w:rPr>
          <w:sz w:val="18"/>
          <w:szCs w:val="18"/>
        </w:rPr>
        <w:t>.</w:t>
      </w:r>
      <w:r>
        <w:rPr>
          <w:sz w:val="18"/>
          <w:szCs w:val="18"/>
        </w:rPr>
        <w:t xml:space="preserve"> </w:t>
      </w:r>
      <w:r w:rsidRPr="00584B37">
        <w:rPr>
          <w:sz w:val="18"/>
          <w:szCs w:val="18"/>
        </w:rPr>
        <w:t xml:space="preserve">The </w:t>
      </w:r>
      <w:r>
        <w:rPr>
          <w:sz w:val="18"/>
          <w:szCs w:val="18"/>
        </w:rPr>
        <w:t xml:space="preserve">data </w:t>
      </w:r>
      <w:r w:rsidRPr="00584B37">
        <w:rPr>
          <w:sz w:val="18"/>
          <w:szCs w:val="18"/>
        </w:rPr>
        <w:t xml:space="preserve">is across the whole financial year and reflects the number of dogs associated with each </w:t>
      </w:r>
      <w:r>
        <w:rPr>
          <w:sz w:val="18"/>
          <w:szCs w:val="18"/>
        </w:rPr>
        <w:t xml:space="preserve">activity in that financial year recorded as at 30 June 2016. Dogs </w:t>
      </w:r>
      <w:r w:rsidRPr="00584B37">
        <w:rPr>
          <w:sz w:val="18"/>
          <w:szCs w:val="18"/>
        </w:rPr>
        <w:t xml:space="preserve">can be counted twice as </w:t>
      </w:r>
      <w:r>
        <w:rPr>
          <w:sz w:val="18"/>
          <w:szCs w:val="18"/>
        </w:rPr>
        <w:t xml:space="preserve">dog numbers reflect </w:t>
      </w:r>
      <w:r w:rsidRPr="00584B37">
        <w:rPr>
          <w:sz w:val="18"/>
          <w:szCs w:val="18"/>
        </w:rPr>
        <w:t>the activity</w:t>
      </w:r>
      <w:r>
        <w:rPr>
          <w:sz w:val="18"/>
          <w:szCs w:val="18"/>
        </w:rPr>
        <w:t xml:space="preserve"> being undertaken.</w:t>
      </w:r>
    </w:p>
  </w:footnote>
  <w:footnote w:id="30">
    <w:p w:rsidR="000E36A1" w:rsidRPr="004B0055" w:rsidRDefault="000E36A1" w:rsidP="00C357B6">
      <w:pPr>
        <w:rPr>
          <w:sz w:val="18"/>
          <w:szCs w:val="18"/>
        </w:rPr>
      </w:pPr>
      <w:r w:rsidRPr="004B0055">
        <w:rPr>
          <w:rStyle w:val="FootnoteReference"/>
          <w:sz w:val="18"/>
          <w:szCs w:val="18"/>
        </w:rPr>
        <w:footnoteRef/>
      </w:r>
      <w:r w:rsidRPr="004B0055">
        <w:rPr>
          <w:sz w:val="18"/>
          <w:szCs w:val="18"/>
        </w:rPr>
        <w:t xml:space="preserve"> </w:t>
      </w:r>
      <w:r>
        <w:rPr>
          <w:sz w:val="18"/>
          <w:szCs w:val="18"/>
        </w:rPr>
        <w:t>A</w:t>
      </w:r>
      <w:r w:rsidRPr="004B0055">
        <w:rPr>
          <w:sz w:val="18"/>
          <w:szCs w:val="18"/>
        </w:rPr>
        <w:t>n incentive scheme for greyhound owners and breeders aimed at promoting greyhound breeding and industry by providing bonuses and incentives to owners, GOBIS encouraged volume not a sound breeding strategy.</w:t>
      </w:r>
    </w:p>
  </w:footnote>
  <w:footnote w:id="31">
    <w:p w:rsidR="000E36A1" w:rsidRPr="004B0055" w:rsidRDefault="000E36A1" w:rsidP="00C059D6">
      <w:pPr>
        <w:pStyle w:val="FootnoteText"/>
        <w:rPr>
          <w:sz w:val="18"/>
          <w:szCs w:val="18"/>
        </w:rPr>
      </w:pPr>
      <w:r w:rsidRPr="004B0055">
        <w:rPr>
          <w:rStyle w:val="FootnoteReference"/>
          <w:sz w:val="18"/>
          <w:szCs w:val="18"/>
        </w:rPr>
        <w:footnoteRef/>
      </w:r>
      <w:r w:rsidRPr="004B0055">
        <w:rPr>
          <w:sz w:val="18"/>
          <w:szCs w:val="18"/>
        </w:rPr>
        <w:t xml:space="preserve"> No. whelping and rearing greyhounds (7,981) apportioned against the percentage of large (10.69%) and small (89.31%) breeders, No. breaking in, training, and racing greyhounds (12,725) apportioned against the percentage of large (14.98%) and small (85.02%) trainers.</w:t>
      </w:r>
    </w:p>
  </w:footnote>
  <w:footnote w:id="32">
    <w:p w:rsidR="000E36A1" w:rsidRPr="004B0055" w:rsidRDefault="000E36A1" w:rsidP="00C059D6">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Those that have breeding competency. GRV data July (2016)</w:t>
      </w:r>
      <w:r w:rsidRPr="004B0055">
        <w:rPr>
          <w:sz w:val="18"/>
          <w:szCs w:val="18"/>
        </w:rPr>
        <w:t>.</w:t>
      </w:r>
      <w:r>
        <w:rPr>
          <w:sz w:val="18"/>
          <w:szCs w:val="18"/>
        </w:rPr>
        <w:t xml:space="preserve"> This is different to the number of unique breeders (engaged in the activity) per annum. </w:t>
      </w:r>
      <w:r w:rsidRPr="006279DD">
        <w:rPr>
          <w:sz w:val="18"/>
          <w:szCs w:val="18"/>
        </w:rPr>
        <w:t xml:space="preserve">Participants considered active are those that have bred a litter in that year. This number will change from year to year. </w:t>
      </w:r>
    </w:p>
  </w:footnote>
  <w:footnote w:id="33">
    <w:p w:rsidR="000E36A1" w:rsidRPr="004B0055" w:rsidRDefault="000E36A1" w:rsidP="00C059D6">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 data July (2016)</w:t>
      </w:r>
      <w:r w:rsidRPr="004B0055">
        <w:rPr>
          <w:sz w:val="18"/>
          <w:szCs w:val="18"/>
        </w:rPr>
        <w:t>.</w:t>
      </w:r>
    </w:p>
  </w:footnote>
  <w:footnote w:id="34">
    <w:p w:rsidR="000E36A1" w:rsidRPr="004B0055" w:rsidRDefault="000E36A1" w:rsidP="00C059D6">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 data October (2016).</w:t>
      </w:r>
    </w:p>
  </w:footnote>
  <w:footnote w:id="35">
    <w:p w:rsidR="000E36A1" w:rsidRDefault="000E36A1" w:rsidP="00C059D6">
      <w:pPr>
        <w:pStyle w:val="FootnoteText"/>
      </w:pPr>
      <w:r w:rsidRPr="004B0055">
        <w:rPr>
          <w:rStyle w:val="FootnoteReference"/>
          <w:sz w:val="18"/>
          <w:szCs w:val="18"/>
        </w:rPr>
        <w:footnoteRef/>
      </w:r>
      <w:r w:rsidRPr="004B0055">
        <w:rPr>
          <w:sz w:val="18"/>
          <w:szCs w:val="18"/>
        </w:rPr>
        <w:t xml:space="preserve"> </w:t>
      </w:r>
      <w:r>
        <w:rPr>
          <w:sz w:val="18"/>
          <w:szCs w:val="18"/>
        </w:rPr>
        <w:t>GRV data October (2016).</w:t>
      </w:r>
    </w:p>
  </w:footnote>
  <w:footnote w:id="36">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 data October (2016).</w:t>
      </w:r>
    </w:p>
  </w:footnote>
  <w:footnote w:id="37">
    <w:p w:rsidR="000E36A1" w:rsidRPr="004B0055" w:rsidRDefault="000E36A1" w:rsidP="00941200">
      <w:pPr>
        <w:pStyle w:val="FootnoteText"/>
        <w:rPr>
          <w:sz w:val="18"/>
          <w:szCs w:val="18"/>
        </w:rPr>
      </w:pPr>
      <w:r w:rsidRPr="004B0055">
        <w:rPr>
          <w:rStyle w:val="FootnoteReference"/>
          <w:sz w:val="18"/>
          <w:szCs w:val="18"/>
        </w:rPr>
        <w:footnoteRef/>
      </w:r>
      <w:r w:rsidRPr="004B0055">
        <w:rPr>
          <w:sz w:val="18"/>
          <w:szCs w:val="18"/>
        </w:rPr>
        <w:t xml:space="preserve"> GRV website (2016)</w:t>
      </w:r>
    </w:p>
  </w:footnote>
  <w:footnote w:id="38">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Equal to </w:t>
      </w:r>
      <w:r>
        <w:rPr>
          <w:sz w:val="18"/>
          <w:szCs w:val="18"/>
        </w:rPr>
        <w:t>3,913</w:t>
      </w:r>
      <w:r w:rsidRPr="004B0055">
        <w:rPr>
          <w:sz w:val="18"/>
          <w:szCs w:val="18"/>
        </w:rPr>
        <w:t xml:space="preserve"> dogs x $50/week/dog x 36 weeks of rearing per dog</w:t>
      </w:r>
    </w:p>
  </w:footnote>
  <w:footnote w:id="39">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 data October (2016)</w:t>
      </w:r>
      <w:r w:rsidRPr="004B0055">
        <w:rPr>
          <w:sz w:val="18"/>
          <w:szCs w:val="18"/>
        </w:rPr>
        <w:t>.</w:t>
      </w:r>
    </w:p>
  </w:footnote>
  <w:footnote w:id="40">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 data October (2016).</w:t>
      </w:r>
    </w:p>
  </w:footnote>
  <w:footnote w:id="41">
    <w:p w:rsidR="000E36A1" w:rsidRPr="004B0055" w:rsidRDefault="000E36A1" w:rsidP="00A863D5">
      <w:pPr>
        <w:pStyle w:val="FootnoteText"/>
        <w:rPr>
          <w:sz w:val="18"/>
          <w:szCs w:val="18"/>
        </w:rPr>
      </w:pPr>
      <w:r w:rsidRPr="004B0055">
        <w:rPr>
          <w:rStyle w:val="FootnoteReference"/>
          <w:sz w:val="18"/>
          <w:szCs w:val="18"/>
        </w:rPr>
        <w:footnoteRef/>
      </w:r>
      <w:r w:rsidRPr="004B0055">
        <w:rPr>
          <w:sz w:val="18"/>
          <w:szCs w:val="18"/>
        </w:rPr>
        <w:t xml:space="preserve"> GRV website</w:t>
      </w:r>
      <w:r>
        <w:rPr>
          <w:sz w:val="18"/>
          <w:szCs w:val="18"/>
        </w:rPr>
        <w:t>,</w:t>
      </w:r>
      <w:r w:rsidRPr="004B0055">
        <w:rPr>
          <w:sz w:val="18"/>
          <w:szCs w:val="18"/>
        </w:rPr>
        <w:t xml:space="preserve"> (2016)</w:t>
      </w:r>
      <w:r>
        <w:rPr>
          <w:sz w:val="18"/>
          <w:szCs w:val="18"/>
        </w:rPr>
        <w:t xml:space="preserve"> and GRV data October (2016)</w:t>
      </w:r>
      <w:r w:rsidRPr="004B0055">
        <w:rPr>
          <w:sz w:val="18"/>
          <w:szCs w:val="18"/>
        </w:rPr>
        <w:t>.</w:t>
      </w:r>
    </w:p>
  </w:footnote>
  <w:footnote w:id="42">
    <w:p w:rsidR="000E36A1" w:rsidRPr="004D060C" w:rsidRDefault="000E36A1" w:rsidP="00A863D5">
      <w:pPr>
        <w:pStyle w:val="FootnoteText"/>
        <w:rPr>
          <w:sz w:val="20"/>
          <w:szCs w:val="20"/>
        </w:rPr>
      </w:pPr>
      <w:r w:rsidRPr="004B0055">
        <w:rPr>
          <w:rStyle w:val="FootnoteReference"/>
          <w:sz w:val="18"/>
          <w:szCs w:val="18"/>
        </w:rPr>
        <w:footnoteRef/>
      </w:r>
      <w:r w:rsidRPr="004B0055">
        <w:rPr>
          <w:sz w:val="18"/>
          <w:szCs w:val="18"/>
        </w:rPr>
        <w:t xml:space="preserve"> GRV website, (2016).</w:t>
      </w:r>
    </w:p>
  </w:footnote>
  <w:footnote w:id="43">
    <w:p w:rsidR="000E36A1" w:rsidRPr="004B0055" w:rsidRDefault="000E36A1" w:rsidP="00A863D5">
      <w:pPr>
        <w:pStyle w:val="FootnoteText"/>
        <w:rPr>
          <w:sz w:val="18"/>
          <w:szCs w:val="18"/>
        </w:rPr>
      </w:pPr>
      <w:r w:rsidRPr="004B0055">
        <w:rPr>
          <w:rStyle w:val="FootnoteReference"/>
          <w:sz w:val="18"/>
          <w:szCs w:val="18"/>
        </w:rPr>
        <w:footnoteRef/>
      </w:r>
      <w:r w:rsidRPr="004B0055">
        <w:rPr>
          <w:sz w:val="18"/>
          <w:szCs w:val="18"/>
        </w:rPr>
        <w:t xml:space="preserve"> GRV website, (2016).</w:t>
      </w:r>
    </w:p>
  </w:footnote>
  <w:footnote w:id="44">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Equal to </w:t>
      </w:r>
      <w:r>
        <w:rPr>
          <w:sz w:val="18"/>
          <w:szCs w:val="18"/>
        </w:rPr>
        <w:t>3,052</w:t>
      </w:r>
      <w:r w:rsidRPr="004B0055">
        <w:rPr>
          <w:sz w:val="18"/>
          <w:szCs w:val="18"/>
        </w:rPr>
        <w:t xml:space="preserve"> dogs (see Table 7) x $90/week/dog x 12 weeks of pre-training per dog </w:t>
      </w:r>
    </w:p>
  </w:footnote>
  <w:footnote w:id="45">
    <w:p w:rsidR="000E36A1" w:rsidRPr="00BB5E20" w:rsidRDefault="000E36A1" w:rsidP="001A4E7A">
      <w:pPr>
        <w:pStyle w:val="FootnoteText"/>
        <w:rPr>
          <w:sz w:val="18"/>
          <w:szCs w:val="18"/>
        </w:rPr>
      </w:pPr>
      <w:r w:rsidRPr="00BB5E20">
        <w:rPr>
          <w:rStyle w:val="FootnoteReference"/>
          <w:sz w:val="18"/>
          <w:szCs w:val="18"/>
        </w:rPr>
        <w:footnoteRef/>
      </w:r>
      <w:r w:rsidRPr="00BB5E20">
        <w:rPr>
          <w:sz w:val="18"/>
          <w:szCs w:val="18"/>
        </w:rPr>
        <w:t xml:space="preserve"> McHugh M, (16 June 2016), p105 (V2).</w:t>
      </w:r>
    </w:p>
  </w:footnote>
  <w:footnote w:id="46">
    <w:p w:rsidR="000E36A1" w:rsidRPr="00CD45A2" w:rsidRDefault="000E36A1" w:rsidP="0023255A">
      <w:pPr>
        <w:pStyle w:val="FootnoteText"/>
        <w:rPr>
          <w:sz w:val="18"/>
          <w:szCs w:val="18"/>
        </w:rPr>
      </w:pPr>
      <w:r w:rsidRPr="00CD45A2">
        <w:rPr>
          <w:rStyle w:val="FootnoteReference"/>
          <w:sz w:val="18"/>
          <w:szCs w:val="18"/>
        </w:rPr>
        <w:footnoteRef/>
      </w:r>
      <w:r w:rsidRPr="00CD45A2">
        <w:rPr>
          <w:sz w:val="18"/>
          <w:szCs w:val="18"/>
        </w:rPr>
        <w:t xml:space="preserve"> GRV website, (2016).</w:t>
      </w:r>
    </w:p>
  </w:footnote>
  <w:footnote w:id="47">
    <w:p w:rsidR="000E36A1" w:rsidRDefault="000E36A1" w:rsidP="00610D25">
      <w:pPr>
        <w:pStyle w:val="FootnoteText"/>
      </w:pPr>
      <w:r w:rsidRPr="004B0055">
        <w:rPr>
          <w:rStyle w:val="FootnoteReference"/>
          <w:sz w:val="18"/>
          <w:szCs w:val="18"/>
        </w:rPr>
        <w:footnoteRef/>
      </w:r>
      <w:r w:rsidRPr="004B0055">
        <w:rPr>
          <w:sz w:val="18"/>
          <w:szCs w:val="18"/>
        </w:rPr>
        <w:t xml:space="preserve"> http://gap.grv.org.au/about-gap/intake-model/ accessed 4 July 2016</w:t>
      </w:r>
    </w:p>
  </w:footnote>
  <w:footnote w:id="48">
    <w:p w:rsidR="000E36A1" w:rsidRPr="004B0055" w:rsidRDefault="000E36A1" w:rsidP="00823880">
      <w:pPr>
        <w:pStyle w:val="FootnoteText"/>
        <w:rPr>
          <w:sz w:val="18"/>
          <w:szCs w:val="18"/>
        </w:rPr>
      </w:pPr>
      <w:r w:rsidRPr="004B0055">
        <w:rPr>
          <w:rStyle w:val="FootnoteReference"/>
          <w:sz w:val="18"/>
          <w:szCs w:val="18"/>
        </w:rPr>
        <w:footnoteRef/>
      </w:r>
      <w:r w:rsidRPr="004B0055">
        <w:rPr>
          <w:sz w:val="18"/>
          <w:szCs w:val="18"/>
        </w:rPr>
        <w:t xml:space="preserve"> On advice from DEDJTR</w:t>
      </w:r>
    </w:p>
  </w:footnote>
  <w:footnote w:id="49">
    <w:p w:rsidR="000E36A1" w:rsidRPr="005F7238" w:rsidRDefault="000E36A1" w:rsidP="00E66D8C">
      <w:pPr>
        <w:pStyle w:val="FootnoteText"/>
        <w:rPr>
          <w:sz w:val="18"/>
          <w:szCs w:val="18"/>
        </w:rPr>
      </w:pPr>
      <w:r w:rsidRPr="00E37A28">
        <w:rPr>
          <w:rStyle w:val="FootnoteReference"/>
          <w:sz w:val="18"/>
          <w:szCs w:val="18"/>
        </w:rPr>
        <w:footnoteRef/>
      </w:r>
      <w:r w:rsidRPr="00E37A28">
        <w:rPr>
          <w:sz w:val="18"/>
          <w:szCs w:val="18"/>
        </w:rPr>
        <w:t xml:space="preserve"> </w:t>
      </w:r>
      <w:r>
        <w:rPr>
          <w:sz w:val="18"/>
          <w:szCs w:val="18"/>
        </w:rPr>
        <w:t>GRV data July (2016)</w:t>
      </w:r>
      <w:r w:rsidRPr="00E37A28">
        <w:rPr>
          <w:sz w:val="18"/>
          <w:szCs w:val="18"/>
        </w:rPr>
        <w:t>.</w:t>
      </w:r>
    </w:p>
  </w:footnote>
  <w:footnote w:id="50">
    <w:p w:rsidR="000E36A1" w:rsidRDefault="000E36A1" w:rsidP="00E66D8C">
      <w:pPr>
        <w:pStyle w:val="FootnoteText"/>
      </w:pPr>
      <w:r w:rsidRPr="004B0055">
        <w:rPr>
          <w:rStyle w:val="FootnoteReference"/>
          <w:sz w:val="18"/>
        </w:rPr>
        <w:footnoteRef/>
      </w:r>
      <w:r w:rsidRPr="004B0055">
        <w:rPr>
          <w:sz w:val="18"/>
        </w:rPr>
        <w:t xml:space="preserve"> According to Animals Australia, an estimated ‘5,000 Victorian greyhounds are euthanased each year in total, a figure that encompasses unwanted puppies, retired racers and retired breeders’</w:t>
      </w:r>
      <w:r>
        <w:rPr>
          <w:sz w:val="18"/>
        </w:rPr>
        <w:t xml:space="preserve"> (see </w:t>
      </w:r>
      <w:r w:rsidRPr="00E256F2">
        <w:rPr>
          <w:sz w:val="18"/>
          <w:szCs w:val="18"/>
        </w:rPr>
        <w:t>Milne, C., 2015, p.48</w:t>
      </w:r>
      <w:r>
        <w:rPr>
          <w:sz w:val="18"/>
          <w:szCs w:val="18"/>
        </w:rPr>
        <w:t>).</w:t>
      </w:r>
    </w:p>
  </w:footnote>
  <w:footnote w:id="51">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See Chart 4 for relevant enforcement agency</w:t>
      </w:r>
    </w:p>
  </w:footnote>
  <w:footnote w:id="52">
    <w:p w:rsidR="000E36A1" w:rsidRPr="004B0055" w:rsidRDefault="000E36A1" w:rsidP="00CE4867">
      <w:pPr>
        <w:pStyle w:val="FootnoteText"/>
        <w:rPr>
          <w:sz w:val="18"/>
          <w:szCs w:val="18"/>
        </w:rPr>
      </w:pPr>
      <w:r w:rsidRPr="004B0055">
        <w:rPr>
          <w:rStyle w:val="FootnoteReference"/>
          <w:sz w:val="18"/>
          <w:szCs w:val="18"/>
        </w:rPr>
        <w:footnoteRef/>
      </w:r>
      <w:r w:rsidRPr="004B0055">
        <w:rPr>
          <w:sz w:val="18"/>
          <w:szCs w:val="18"/>
        </w:rPr>
        <w:t xml:space="preserve"> Milne, C., (2015), p.15.</w:t>
      </w:r>
    </w:p>
  </w:footnote>
  <w:footnote w:id="53">
    <w:p w:rsidR="000E36A1" w:rsidRPr="004B0055" w:rsidRDefault="000E36A1" w:rsidP="00A07BC6">
      <w:pPr>
        <w:pStyle w:val="FootnoteText"/>
        <w:rPr>
          <w:sz w:val="18"/>
          <w:szCs w:val="18"/>
        </w:rPr>
      </w:pPr>
      <w:r w:rsidRPr="004B0055">
        <w:rPr>
          <w:rStyle w:val="FootnoteReference"/>
          <w:sz w:val="18"/>
          <w:szCs w:val="18"/>
        </w:rPr>
        <w:footnoteRef/>
      </w:r>
      <w:r w:rsidRPr="004B0055">
        <w:rPr>
          <w:sz w:val="18"/>
          <w:szCs w:val="18"/>
        </w:rPr>
        <w:t xml:space="preserve"> </w:t>
      </w:r>
      <w:r w:rsidRPr="004B0055">
        <w:rPr>
          <w:rFonts w:asciiTheme="majorHAnsi" w:hAnsiTheme="majorHAnsi" w:cs="Arial-BoldMT"/>
          <w:bCs/>
          <w:sz w:val="18"/>
          <w:szCs w:val="18"/>
        </w:rPr>
        <w:t xml:space="preserve">KPMG, </w:t>
      </w:r>
      <w:r w:rsidRPr="004B0055">
        <w:rPr>
          <w:rFonts w:asciiTheme="majorHAnsi" w:hAnsiTheme="majorHAnsi" w:cs="Arial-BoldMT"/>
          <w:bCs/>
          <w:i/>
          <w:sz w:val="18"/>
          <w:szCs w:val="18"/>
        </w:rPr>
        <w:t xml:space="preserve">The Community Investment Dividend’ </w:t>
      </w:r>
      <w:r w:rsidRPr="004B0055">
        <w:rPr>
          <w:rFonts w:asciiTheme="majorHAnsi" w:hAnsiTheme="majorHAnsi" w:cs="Arial-BoldMT"/>
          <w:bCs/>
          <w:sz w:val="18"/>
          <w:szCs w:val="18"/>
        </w:rPr>
        <w:t>2013 p.4.</w:t>
      </w:r>
    </w:p>
  </w:footnote>
  <w:footnote w:id="54">
    <w:p w:rsidR="000E36A1" w:rsidRPr="004D060C" w:rsidRDefault="000E36A1" w:rsidP="00A07BC6">
      <w:pPr>
        <w:pStyle w:val="FootnoteText"/>
        <w:rPr>
          <w:sz w:val="20"/>
          <w:szCs w:val="20"/>
        </w:rPr>
      </w:pPr>
      <w:r w:rsidRPr="004B0055">
        <w:rPr>
          <w:rStyle w:val="FootnoteReference"/>
          <w:sz w:val="18"/>
          <w:szCs w:val="18"/>
        </w:rPr>
        <w:footnoteRef/>
      </w:r>
      <w:r w:rsidRPr="004B0055">
        <w:rPr>
          <w:sz w:val="18"/>
          <w:szCs w:val="18"/>
        </w:rPr>
        <w:t xml:space="preserve"> Pakula, M., (2016), p.3.</w:t>
      </w:r>
    </w:p>
  </w:footnote>
  <w:footnote w:id="55">
    <w:p w:rsidR="000E36A1" w:rsidRPr="004B0055" w:rsidRDefault="000E36A1" w:rsidP="00A07BC6">
      <w:pPr>
        <w:pStyle w:val="FootnoteText"/>
        <w:rPr>
          <w:sz w:val="18"/>
          <w:szCs w:val="18"/>
        </w:rPr>
      </w:pPr>
      <w:r w:rsidRPr="004B0055">
        <w:rPr>
          <w:rStyle w:val="FootnoteReference"/>
          <w:sz w:val="18"/>
          <w:szCs w:val="18"/>
        </w:rPr>
        <w:footnoteRef/>
      </w:r>
      <w:r w:rsidRPr="004B0055">
        <w:rPr>
          <w:sz w:val="18"/>
          <w:szCs w:val="18"/>
        </w:rPr>
        <w:t xml:space="preserve"> McHugh M, (16 June 2016), p18</w:t>
      </w:r>
    </w:p>
  </w:footnote>
  <w:footnote w:id="56">
    <w:p w:rsidR="000E36A1" w:rsidRPr="00552099" w:rsidRDefault="000E36A1" w:rsidP="00657F7C">
      <w:pPr>
        <w:pStyle w:val="FootnoteText"/>
        <w:rPr>
          <w:sz w:val="18"/>
          <w:szCs w:val="18"/>
        </w:rPr>
      </w:pPr>
      <w:r w:rsidRPr="00552099">
        <w:rPr>
          <w:rStyle w:val="FootnoteReference"/>
          <w:sz w:val="18"/>
          <w:szCs w:val="18"/>
        </w:rPr>
        <w:footnoteRef/>
      </w:r>
      <w:r w:rsidRPr="00552099">
        <w:rPr>
          <w:sz w:val="18"/>
          <w:szCs w:val="18"/>
        </w:rPr>
        <w:t xml:space="preserve"> GRNSW, Response to Order (May 2015)</w:t>
      </w:r>
      <w:r w:rsidRPr="00552099">
        <w:rPr>
          <w:rFonts w:asciiTheme="majorHAnsi" w:hAnsiTheme="majorHAnsi"/>
          <w:sz w:val="18"/>
          <w:szCs w:val="18"/>
        </w:rPr>
        <w:t>.</w:t>
      </w:r>
    </w:p>
  </w:footnote>
  <w:footnote w:id="57">
    <w:p w:rsidR="000E36A1" w:rsidRPr="00552099" w:rsidRDefault="000E36A1" w:rsidP="00657F7C">
      <w:pPr>
        <w:pStyle w:val="FootnoteText"/>
        <w:rPr>
          <w:sz w:val="18"/>
          <w:szCs w:val="18"/>
        </w:rPr>
      </w:pPr>
      <w:r w:rsidRPr="00552099">
        <w:rPr>
          <w:rStyle w:val="FootnoteReference"/>
          <w:sz w:val="18"/>
          <w:szCs w:val="18"/>
        </w:rPr>
        <w:footnoteRef/>
      </w:r>
      <w:r w:rsidRPr="00552099">
        <w:rPr>
          <w:sz w:val="18"/>
          <w:szCs w:val="18"/>
        </w:rPr>
        <w:t xml:space="preserve"> RSPCA, (2016), p.1</w:t>
      </w:r>
    </w:p>
  </w:footnote>
  <w:footnote w:id="58">
    <w:p w:rsidR="000E36A1" w:rsidRPr="00552099" w:rsidRDefault="000E36A1" w:rsidP="00657F7C">
      <w:pPr>
        <w:pStyle w:val="FootnoteText"/>
        <w:rPr>
          <w:sz w:val="18"/>
          <w:szCs w:val="18"/>
        </w:rPr>
      </w:pPr>
      <w:r w:rsidRPr="00552099">
        <w:rPr>
          <w:rStyle w:val="FootnoteReference"/>
          <w:sz w:val="18"/>
          <w:szCs w:val="18"/>
        </w:rPr>
        <w:footnoteRef/>
      </w:r>
      <w:r w:rsidRPr="00552099">
        <w:rPr>
          <w:sz w:val="18"/>
          <w:szCs w:val="18"/>
        </w:rPr>
        <w:t xml:space="preserve"> </w:t>
      </w:r>
      <w:r w:rsidRPr="003C5BD9">
        <w:rPr>
          <w:sz w:val="18"/>
          <w:szCs w:val="18"/>
        </w:rPr>
        <w:t>McHugh M, (16 June 2016), p1</w:t>
      </w:r>
    </w:p>
  </w:footnote>
  <w:footnote w:id="59">
    <w:p w:rsidR="000E36A1" w:rsidRPr="00552099" w:rsidRDefault="000E36A1" w:rsidP="00657F7C">
      <w:pPr>
        <w:pStyle w:val="FootnoteText"/>
        <w:rPr>
          <w:sz w:val="18"/>
          <w:szCs w:val="18"/>
        </w:rPr>
      </w:pPr>
      <w:r w:rsidRPr="00552099">
        <w:rPr>
          <w:rStyle w:val="FootnoteReference"/>
          <w:sz w:val="18"/>
          <w:szCs w:val="18"/>
        </w:rPr>
        <w:footnoteRef/>
      </w:r>
      <w:r w:rsidRPr="00552099">
        <w:rPr>
          <w:sz w:val="18"/>
          <w:szCs w:val="18"/>
        </w:rPr>
        <w:t xml:space="preserve"> Animals Australia </w:t>
      </w:r>
      <w:r w:rsidRPr="00552099">
        <w:rPr>
          <w:i/>
          <w:sz w:val="18"/>
          <w:szCs w:val="18"/>
        </w:rPr>
        <w:t>Bred for no other purpose than to race</w:t>
      </w:r>
      <w:r w:rsidRPr="00552099">
        <w:rPr>
          <w:sz w:val="18"/>
          <w:szCs w:val="18"/>
        </w:rPr>
        <w:t xml:space="preserve"> (2015)</w:t>
      </w:r>
    </w:p>
  </w:footnote>
  <w:footnote w:id="60">
    <w:p w:rsidR="000E36A1" w:rsidRPr="004B0055" w:rsidRDefault="000E36A1" w:rsidP="0027521F">
      <w:pPr>
        <w:rPr>
          <w:rFonts w:eastAsia="Times New Roman" w:cs="Times New Roman"/>
          <w:sz w:val="18"/>
          <w:szCs w:val="18"/>
          <w:lang w:val="en-US"/>
        </w:rPr>
      </w:pPr>
      <w:r w:rsidRPr="004B0055">
        <w:rPr>
          <w:rStyle w:val="FootnoteReference"/>
          <w:sz w:val="18"/>
          <w:szCs w:val="18"/>
        </w:rPr>
        <w:footnoteRef/>
      </w:r>
      <w:r w:rsidRPr="004B0055">
        <w:rPr>
          <w:sz w:val="18"/>
          <w:szCs w:val="18"/>
        </w:rPr>
        <w:t xml:space="preserve"> </w:t>
      </w:r>
      <w:r w:rsidRPr="004B0055">
        <w:rPr>
          <w:rFonts w:eastAsia="Times New Roman" w:cs="Times New Roman"/>
          <w:sz w:val="18"/>
          <w:szCs w:val="18"/>
          <w:lang w:val="en-US"/>
        </w:rPr>
        <w:t xml:space="preserve">Office of Racing Regulation (1 April 2014) </w:t>
      </w:r>
      <w:r w:rsidRPr="004B0055">
        <w:rPr>
          <w:rFonts w:eastAsia="Times New Roman" w:cs="Times New Roman"/>
          <w:i/>
          <w:sz w:val="18"/>
          <w:szCs w:val="18"/>
          <w:lang w:val="en-US"/>
        </w:rPr>
        <w:t>Control Body Assessment Program</w:t>
      </w:r>
      <w:r w:rsidRPr="004B0055">
        <w:rPr>
          <w:rFonts w:eastAsia="Times New Roman" w:cs="Times New Roman"/>
          <w:sz w:val="18"/>
          <w:szCs w:val="18"/>
          <w:lang w:val="en-US"/>
        </w:rPr>
        <w:t xml:space="preserve">, Report 2013, p.12. </w:t>
      </w:r>
    </w:p>
  </w:footnote>
  <w:footnote w:id="61">
    <w:p w:rsidR="000E36A1" w:rsidRPr="004B0055" w:rsidRDefault="000E36A1" w:rsidP="00756A2B">
      <w:pPr>
        <w:rPr>
          <w:rFonts w:eastAsia="Times New Roman" w:cs="Times New Roman"/>
          <w:sz w:val="18"/>
          <w:szCs w:val="18"/>
          <w:lang w:val="en-US"/>
        </w:rPr>
      </w:pPr>
      <w:r w:rsidRPr="004B0055">
        <w:rPr>
          <w:rStyle w:val="FootnoteReference"/>
          <w:sz w:val="18"/>
          <w:szCs w:val="18"/>
        </w:rPr>
        <w:footnoteRef/>
      </w:r>
      <w:r w:rsidRPr="004B0055">
        <w:rPr>
          <w:sz w:val="18"/>
          <w:szCs w:val="18"/>
        </w:rPr>
        <w:t xml:space="preserve"> </w:t>
      </w:r>
      <w:r w:rsidRPr="004B0055">
        <w:rPr>
          <w:rFonts w:asciiTheme="majorHAnsi" w:hAnsiTheme="majorHAnsi"/>
          <w:sz w:val="18"/>
          <w:szCs w:val="18"/>
          <w:lang w:val="en-US"/>
        </w:rPr>
        <w:t>Mike Baird, Premier NSW, 7 July 2016</w:t>
      </w:r>
      <w:r w:rsidRPr="004B0055">
        <w:rPr>
          <w:rFonts w:eastAsia="Times New Roman" w:cs="Times New Roman"/>
          <w:sz w:val="18"/>
          <w:szCs w:val="18"/>
          <w:lang w:val="en-US"/>
        </w:rPr>
        <w:t xml:space="preserve">. </w:t>
      </w:r>
    </w:p>
  </w:footnote>
  <w:footnote w:id="62">
    <w:p w:rsidR="000E36A1" w:rsidRPr="00E37A28" w:rsidRDefault="000E36A1" w:rsidP="00DD0F7D">
      <w:pPr>
        <w:pStyle w:val="FootnoteText"/>
        <w:rPr>
          <w:sz w:val="18"/>
          <w:szCs w:val="18"/>
        </w:rPr>
      </w:pPr>
      <w:r w:rsidRPr="00E37A28">
        <w:rPr>
          <w:rStyle w:val="FootnoteReference"/>
          <w:sz w:val="18"/>
          <w:szCs w:val="18"/>
        </w:rPr>
        <w:footnoteRef/>
      </w:r>
      <w:r>
        <w:rPr>
          <w:sz w:val="18"/>
          <w:szCs w:val="18"/>
        </w:rPr>
        <w:t xml:space="preserve"> (see</w:t>
      </w:r>
      <w:r w:rsidRPr="00E37A28">
        <w:rPr>
          <w:sz w:val="18"/>
          <w:szCs w:val="18"/>
        </w:rPr>
        <w:t xml:space="preserve"> http://www.abc.net.au/news/2016-10-11/greyhound-ban-baird-government-confirms-backflip/7921000</w:t>
      </w:r>
      <w:r>
        <w:rPr>
          <w:sz w:val="18"/>
          <w:szCs w:val="18"/>
        </w:rPr>
        <w:t xml:space="preserve"> - accessed 10 October 2016)</w:t>
      </w:r>
    </w:p>
  </w:footnote>
  <w:footnote w:id="63">
    <w:p w:rsidR="000E36A1" w:rsidRPr="004B0055" w:rsidRDefault="000E36A1" w:rsidP="00756A2B">
      <w:pPr>
        <w:pStyle w:val="FootnoteText"/>
        <w:rPr>
          <w:sz w:val="18"/>
          <w:szCs w:val="18"/>
        </w:rPr>
      </w:pPr>
      <w:r w:rsidRPr="004B0055">
        <w:rPr>
          <w:rStyle w:val="FootnoteReference"/>
          <w:sz w:val="18"/>
          <w:szCs w:val="18"/>
        </w:rPr>
        <w:footnoteRef/>
      </w:r>
      <w:r w:rsidRPr="004B0055">
        <w:rPr>
          <w:sz w:val="18"/>
          <w:szCs w:val="18"/>
        </w:rPr>
        <w:t xml:space="preserve"> Wilberforce Society (Draft Policy Paper) (2011), p.5. </w:t>
      </w:r>
    </w:p>
  </w:footnote>
  <w:footnote w:id="64">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Perna, S., (2015), </w:t>
      </w:r>
    </w:p>
  </w:footnote>
  <w:footnote w:id="65">
    <w:p w:rsidR="000E36A1" w:rsidRPr="004D060C" w:rsidRDefault="000E36A1" w:rsidP="00195586">
      <w:pPr>
        <w:pStyle w:val="FootnoteText"/>
        <w:rPr>
          <w:sz w:val="20"/>
          <w:szCs w:val="20"/>
        </w:rPr>
      </w:pPr>
      <w:r w:rsidRPr="004B0055">
        <w:rPr>
          <w:rStyle w:val="FootnoteReference"/>
          <w:sz w:val="18"/>
          <w:szCs w:val="18"/>
        </w:rPr>
        <w:footnoteRef/>
      </w:r>
      <w:r w:rsidRPr="004B0055">
        <w:rPr>
          <w:sz w:val="18"/>
          <w:szCs w:val="18"/>
        </w:rPr>
        <w:t xml:space="preserve"> Bittar, P., (2016).</w:t>
      </w:r>
    </w:p>
  </w:footnote>
  <w:footnote w:id="66">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Perna, S., (2015), p.20.</w:t>
      </w:r>
    </w:p>
  </w:footnote>
  <w:footnote w:id="67">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Bittar, P., (2016).</w:t>
      </w:r>
    </w:p>
  </w:footnote>
  <w:footnote w:id="68">
    <w:p w:rsidR="000E36A1" w:rsidRPr="004B0055" w:rsidRDefault="000E36A1" w:rsidP="00195586">
      <w:pPr>
        <w:autoSpaceDE w:val="0"/>
        <w:autoSpaceDN w:val="0"/>
        <w:adjustRightInd w:val="0"/>
        <w:rPr>
          <w:sz w:val="18"/>
          <w:szCs w:val="18"/>
        </w:rPr>
      </w:pPr>
      <w:r w:rsidRPr="004B0055">
        <w:rPr>
          <w:rStyle w:val="FootnoteReference"/>
          <w:sz w:val="18"/>
          <w:szCs w:val="18"/>
        </w:rPr>
        <w:footnoteRef/>
      </w:r>
      <w:r w:rsidRPr="004B0055">
        <w:rPr>
          <w:sz w:val="18"/>
          <w:szCs w:val="18"/>
        </w:rPr>
        <w:t xml:space="preserve"> </w:t>
      </w:r>
      <w:r w:rsidRPr="004B0055">
        <w:rPr>
          <w:rFonts w:cs="Arial-BoldMT"/>
          <w:bCs/>
          <w:color w:val="000000" w:themeColor="text1"/>
          <w:sz w:val="18"/>
          <w:szCs w:val="18"/>
        </w:rPr>
        <w:t xml:space="preserve">Animals Australia </w:t>
      </w:r>
      <w:r w:rsidRPr="004B0055">
        <w:rPr>
          <w:rFonts w:cs="Arial-BoldMT"/>
          <w:bCs/>
          <w:i/>
          <w:color w:val="000000" w:themeColor="text1"/>
          <w:sz w:val="18"/>
          <w:szCs w:val="18"/>
        </w:rPr>
        <w:t>Greyhound racing: following the money trail (2015)</w:t>
      </w:r>
    </w:p>
  </w:footnote>
  <w:footnote w:id="69">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Milne, C., (2015).</w:t>
      </w:r>
    </w:p>
  </w:footnote>
  <w:footnote w:id="70">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Perna, S., (2015), </w:t>
      </w:r>
    </w:p>
  </w:footnote>
  <w:footnote w:id="71">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Milne, C., (2015).</w:t>
      </w:r>
    </w:p>
  </w:footnote>
  <w:footnote w:id="72">
    <w:p w:rsidR="000E36A1" w:rsidRPr="004D060C" w:rsidRDefault="000E36A1" w:rsidP="00E46874">
      <w:pPr>
        <w:pStyle w:val="FootnoteText"/>
        <w:rPr>
          <w:sz w:val="20"/>
          <w:szCs w:val="20"/>
        </w:rPr>
      </w:pPr>
      <w:r w:rsidRPr="004B0055">
        <w:rPr>
          <w:rStyle w:val="FootnoteReference"/>
          <w:sz w:val="18"/>
          <w:szCs w:val="18"/>
        </w:rPr>
        <w:footnoteRef/>
      </w:r>
      <w:r w:rsidRPr="004B0055">
        <w:rPr>
          <w:sz w:val="18"/>
          <w:szCs w:val="18"/>
        </w:rPr>
        <w:t xml:space="preserve"> RSPCA, (2016).</w:t>
      </w:r>
    </w:p>
  </w:footnote>
  <w:footnote w:id="73">
    <w:p w:rsidR="000E36A1" w:rsidRPr="003C5BD9" w:rsidRDefault="000E36A1" w:rsidP="00E46874">
      <w:pPr>
        <w:pStyle w:val="FootnoteText"/>
        <w:rPr>
          <w:sz w:val="18"/>
          <w:szCs w:val="18"/>
        </w:rPr>
      </w:pPr>
      <w:r w:rsidRPr="003C5BD9">
        <w:rPr>
          <w:rStyle w:val="FootnoteReference"/>
          <w:sz w:val="18"/>
          <w:szCs w:val="18"/>
        </w:rPr>
        <w:footnoteRef/>
      </w:r>
      <w:r w:rsidRPr="003C5BD9">
        <w:rPr>
          <w:sz w:val="18"/>
          <w:szCs w:val="18"/>
        </w:rPr>
        <w:t xml:space="preserve"> McHugh M, (16 June 2016), p137</w:t>
      </w:r>
    </w:p>
  </w:footnote>
  <w:footnote w:id="74">
    <w:p w:rsidR="000E36A1" w:rsidRPr="004D060C" w:rsidRDefault="000E36A1" w:rsidP="00E46874">
      <w:pPr>
        <w:pStyle w:val="FootnoteText"/>
        <w:rPr>
          <w:sz w:val="20"/>
          <w:szCs w:val="20"/>
        </w:rPr>
      </w:pPr>
      <w:r w:rsidRPr="004B0055">
        <w:rPr>
          <w:rStyle w:val="FootnoteReference"/>
          <w:sz w:val="18"/>
          <w:szCs w:val="18"/>
        </w:rPr>
        <w:footnoteRef/>
      </w:r>
      <w:r w:rsidRPr="004B0055">
        <w:rPr>
          <w:sz w:val="18"/>
          <w:szCs w:val="18"/>
        </w:rPr>
        <w:t xml:space="preserve"> OIE, World Organisation for Animal Health, definition animal welfare: http://www.oie.int/en/ (accessed 23 May 2016)</w:t>
      </w:r>
    </w:p>
  </w:footnote>
  <w:footnote w:id="75">
    <w:p w:rsidR="000E36A1" w:rsidRPr="00F30199" w:rsidRDefault="000E36A1" w:rsidP="003434EC">
      <w:pPr>
        <w:pStyle w:val="FootnoteText"/>
        <w:rPr>
          <w:sz w:val="18"/>
          <w:szCs w:val="18"/>
        </w:rPr>
      </w:pPr>
      <w:r w:rsidRPr="00F30199">
        <w:rPr>
          <w:rStyle w:val="FootnoteReference"/>
          <w:sz w:val="18"/>
          <w:szCs w:val="18"/>
        </w:rPr>
        <w:footnoteRef/>
      </w:r>
      <w:r w:rsidRPr="00F30199">
        <w:rPr>
          <w:sz w:val="18"/>
          <w:szCs w:val="18"/>
        </w:rPr>
        <w:t xml:space="preserve"> Beer, L., et al (2008).</w:t>
      </w:r>
    </w:p>
  </w:footnote>
  <w:footnote w:id="76">
    <w:p w:rsidR="000E36A1" w:rsidRPr="007046FB" w:rsidRDefault="000E36A1" w:rsidP="00195586">
      <w:pPr>
        <w:pStyle w:val="FootnoteText"/>
        <w:rPr>
          <w:sz w:val="18"/>
          <w:szCs w:val="18"/>
        </w:rPr>
      </w:pPr>
      <w:r w:rsidRPr="005569EF">
        <w:rPr>
          <w:rStyle w:val="FootnoteReference"/>
          <w:sz w:val="18"/>
          <w:szCs w:val="18"/>
        </w:rPr>
        <w:footnoteRef/>
      </w:r>
      <w:r w:rsidRPr="005569EF">
        <w:rPr>
          <w:sz w:val="18"/>
          <w:szCs w:val="18"/>
        </w:rPr>
        <w:t xml:space="preserve"> McHugh M, (16 June 2016), p49 (V2)</w:t>
      </w:r>
    </w:p>
  </w:footnote>
  <w:footnote w:id="77">
    <w:p w:rsidR="000E36A1" w:rsidRPr="00E37A28" w:rsidRDefault="000E36A1" w:rsidP="00385A2C">
      <w:pPr>
        <w:pStyle w:val="FootnoteText"/>
        <w:rPr>
          <w:sz w:val="18"/>
          <w:szCs w:val="18"/>
        </w:rPr>
      </w:pPr>
      <w:r w:rsidRPr="00E37A28">
        <w:rPr>
          <w:rStyle w:val="FootnoteReference"/>
          <w:sz w:val="18"/>
          <w:szCs w:val="18"/>
        </w:rPr>
        <w:footnoteRef/>
      </w:r>
      <w:r w:rsidRPr="00E37A28">
        <w:rPr>
          <w:sz w:val="18"/>
          <w:szCs w:val="18"/>
        </w:rPr>
        <w:t xml:space="preserve"> Beer et al., (2008).</w:t>
      </w:r>
    </w:p>
  </w:footnote>
  <w:footnote w:id="78">
    <w:p w:rsidR="000E36A1" w:rsidRPr="004B0055" w:rsidRDefault="000E36A1" w:rsidP="00195586">
      <w:pPr>
        <w:pStyle w:val="FootnoteText"/>
        <w:rPr>
          <w:sz w:val="18"/>
          <w:szCs w:val="18"/>
        </w:rPr>
      </w:pPr>
      <w:r w:rsidRPr="004B0055">
        <w:rPr>
          <w:rStyle w:val="FootnoteReference"/>
          <w:sz w:val="18"/>
          <w:szCs w:val="18"/>
        </w:rPr>
        <w:footnoteRef/>
      </w:r>
      <w:r w:rsidRPr="004B0055">
        <w:rPr>
          <w:sz w:val="18"/>
          <w:szCs w:val="18"/>
        </w:rPr>
        <w:t xml:space="preserve"> Cobb, M., et al (2015), p.4</w:t>
      </w:r>
    </w:p>
  </w:footnote>
  <w:footnote w:id="79">
    <w:p w:rsidR="000E36A1" w:rsidRPr="004B0055" w:rsidRDefault="000E36A1" w:rsidP="008A6CE1">
      <w:pPr>
        <w:pStyle w:val="FootnoteText"/>
        <w:rPr>
          <w:sz w:val="18"/>
          <w:szCs w:val="18"/>
        </w:rPr>
      </w:pPr>
      <w:r w:rsidRPr="004B0055">
        <w:rPr>
          <w:rStyle w:val="FootnoteReference"/>
          <w:sz w:val="18"/>
          <w:szCs w:val="18"/>
        </w:rPr>
        <w:footnoteRef/>
      </w:r>
      <w:r w:rsidRPr="004B0055">
        <w:rPr>
          <w:sz w:val="18"/>
          <w:szCs w:val="18"/>
        </w:rPr>
        <w:t xml:space="preserve"> Cobb, M., et al (2015), p.4</w:t>
      </w:r>
    </w:p>
  </w:footnote>
  <w:footnote w:id="80">
    <w:p w:rsidR="000E36A1" w:rsidRPr="004D060C" w:rsidRDefault="000E36A1" w:rsidP="00DB662A">
      <w:pPr>
        <w:pStyle w:val="FootnoteText"/>
        <w:rPr>
          <w:sz w:val="20"/>
          <w:szCs w:val="20"/>
        </w:rPr>
      </w:pPr>
      <w:r w:rsidRPr="004B0055">
        <w:rPr>
          <w:rStyle w:val="FootnoteReference"/>
          <w:sz w:val="18"/>
          <w:szCs w:val="18"/>
        </w:rPr>
        <w:footnoteRef/>
      </w:r>
      <w:r w:rsidRPr="004B0055">
        <w:rPr>
          <w:sz w:val="18"/>
          <w:szCs w:val="18"/>
        </w:rPr>
        <w:t xml:space="preserve"> Cobb, M., et al (2015), p.4</w:t>
      </w:r>
    </w:p>
  </w:footnote>
  <w:footnote w:id="81">
    <w:p w:rsidR="000E36A1" w:rsidRPr="004B0055" w:rsidRDefault="000E36A1" w:rsidP="00DF143E">
      <w:pPr>
        <w:pStyle w:val="FootnoteText"/>
        <w:rPr>
          <w:sz w:val="18"/>
          <w:szCs w:val="18"/>
        </w:rPr>
      </w:pPr>
      <w:r w:rsidRPr="004B0055">
        <w:rPr>
          <w:rStyle w:val="FootnoteReference"/>
          <w:sz w:val="18"/>
          <w:szCs w:val="18"/>
        </w:rPr>
        <w:footnoteRef/>
      </w:r>
      <w:r w:rsidRPr="004B0055">
        <w:rPr>
          <w:sz w:val="18"/>
          <w:szCs w:val="18"/>
        </w:rPr>
        <w:t xml:space="preserve"> </w:t>
      </w:r>
      <w:r w:rsidRPr="004B0055">
        <w:rPr>
          <w:i/>
          <w:sz w:val="18"/>
          <w:szCs w:val="18"/>
        </w:rPr>
        <w:t>Domestic Animals Act 1994</w:t>
      </w:r>
      <w:r w:rsidRPr="004B0055">
        <w:rPr>
          <w:sz w:val="18"/>
          <w:szCs w:val="18"/>
        </w:rPr>
        <w:t xml:space="preserve"> (Authorised Version No. 067) 4 May 2016</w:t>
      </w:r>
    </w:p>
  </w:footnote>
  <w:footnote w:id="82">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Subject to medical, behavioural and legal constraints and requirements.</w:t>
      </w:r>
    </w:p>
  </w:footnote>
  <w:footnote w:id="83">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Pr>
          <w:sz w:val="18"/>
          <w:szCs w:val="18"/>
        </w:rPr>
        <w:t>GRV</w:t>
      </w:r>
      <w:r w:rsidRPr="004B0055">
        <w:rPr>
          <w:sz w:val="18"/>
          <w:szCs w:val="18"/>
        </w:rPr>
        <w:t xml:space="preserve"> October (2016).</w:t>
      </w:r>
    </w:p>
  </w:footnote>
  <w:footnote w:id="84">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sidRPr="0087591C">
        <w:rPr>
          <w:sz w:val="18"/>
          <w:szCs w:val="18"/>
        </w:rPr>
        <w:t>GRV October (2016).</w:t>
      </w:r>
    </w:p>
  </w:footnote>
  <w:footnote w:id="85">
    <w:p w:rsidR="000E36A1" w:rsidRPr="004B0055" w:rsidRDefault="000E36A1" w:rsidP="00DF143E">
      <w:pPr>
        <w:pStyle w:val="FootnoteText"/>
        <w:rPr>
          <w:sz w:val="18"/>
          <w:szCs w:val="18"/>
        </w:rPr>
      </w:pPr>
      <w:r w:rsidRPr="004B0055">
        <w:rPr>
          <w:rStyle w:val="FootnoteReference"/>
          <w:sz w:val="18"/>
          <w:szCs w:val="18"/>
        </w:rPr>
        <w:footnoteRef/>
      </w:r>
      <w:r w:rsidRPr="004B0055">
        <w:rPr>
          <w:sz w:val="18"/>
          <w:szCs w:val="18"/>
        </w:rPr>
        <w:t xml:space="preserve"> Greyhounds Australasia website (May 2016).</w:t>
      </w:r>
    </w:p>
  </w:footnote>
  <w:footnote w:id="86">
    <w:p w:rsidR="000E36A1" w:rsidRPr="0059193F" w:rsidRDefault="000E36A1">
      <w:pPr>
        <w:pStyle w:val="FootnoteText"/>
        <w:rPr>
          <w:sz w:val="18"/>
          <w:szCs w:val="18"/>
        </w:rPr>
      </w:pPr>
      <w:r w:rsidRPr="0059193F">
        <w:rPr>
          <w:rStyle w:val="FootnoteReference"/>
          <w:sz w:val="18"/>
          <w:szCs w:val="18"/>
        </w:rPr>
        <w:footnoteRef/>
      </w:r>
      <w:r w:rsidRPr="0059193F">
        <w:rPr>
          <w:sz w:val="18"/>
          <w:szCs w:val="18"/>
        </w:rPr>
        <w:t xml:space="preserve"> If a respondent undertook both breeding and training activities, they would not list their primary as training.</w:t>
      </w:r>
    </w:p>
  </w:footnote>
  <w:footnote w:id="87">
    <w:p w:rsidR="000E36A1" w:rsidRPr="004D060C" w:rsidRDefault="000E36A1" w:rsidP="00DF143E">
      <w:pPr>
        <w:pStyle w:val="FootnoteText"/>
        <w:rPr>
          <w:sz w:val="20"/>
          <w:szCs w:val="20"/>
        </w:rPr>
      </w:pPr>
      <w:r w:rsidRPr="004B0055">
        <w:rPr>
          <w:rStyle w:val="FootnoteReference"/>
          <w:sz w:val="18"/>
          <w:szCs w:val="18"/>
        </w:rPr>
        <w:footnoteRef/>
      </w:r>
      <w:r w:rsidRPr="004B0055">
        <w:rPr>
          <w:sz w:val="18"/>
          <w:szCs w:val="18"/>
        </w:rPr>
        <w:t xml:space="preserve"> DEDJTR, (2016).</w:t>
      </w:r>
    </w:p>
  </w:footnote>
  <w:footnote w:id="88">
    <w:p w:rsidR="000E36A1" w:rsidRPr="004D060C" w:rsidRDefault="000E36A1" w:rsidP="00065755">
      <w:pPr>
        <w:pStyle w:val="FootnoteText"/>
        <w:rPr>
          <w:sz w:val="20"/>
          <w:szCs w:val="20"/>
        </w:rPr>
      </w:pPr>
      <w:r w:rsidRPr="004B0055">
        <w:rPr>
          <w:rStyle w:val="FootnoteReference"/>
          <w:sz w:val="18"/>
          <w:szCs w:val="20"/>
        </w:rPr>
        <w:footnoteRef/>
      </w:r>
      <w:r w:rsidRPr="004B0055">
        <w:rPr>
          <w:sz w:val="18"/>
          <w:szCs w:val="20"/>
        </w:rPr>
        <w:t xml:space="preserve"> RSPCA, (2016).</w:t>
      </w:r>
    </w:p>
  </w:footnote>
  <w:footnote w:id="89">
    <w:p w:rsidR="000E36A1" w:rsidRPr="004D060C" w:rsidRDefault="000E36A1" w:rsidP="00065755">
      <w:pPr>
        <w:pStyle w:val="FootnoteText"/>
        <w:rPr>
          <w:sz w:val="20"/>
          <w:szCs w:val="20"/>
        </w:rPr>
      </w:pPr>
      <w:r w:rsidRPr="004D060C">
        <w:rPr>
          <w:rStyle w:val="FootnoteReference"/>
          <w:sz w:val="20"/>
          <w:szCs w:val="20"/>
        </w:rPr>
        <w:footnoteRef/>
      </w:r>
      <w:r w:rsidRPr="004D060C">
        <w:rPr>
          <w:sz w:val="20"/>
          <w:szCs w:val="20"/>
        </w:rPr>
        <w:t xml:space="preserve"> RSPCA, (2016).</w:t>
      </w:r>
    </w:p>
  </w:footnote>
  <w:footnote w:id="90">
    <w:p w:rsidR="000E36A1" w:rsidRPr="007046FB" w:rsidRDefault="000E36A1" w:rsidP="00AC6AED">
      <w:pPr>
        <w:pStyle w:val="FootnoteText"/>
        <w:rPr>
          <w:sz w:val="18"/>
          <w:szCs w:val="18"/>
        </w:rPr>
      </w:pPr>
      <w:r w:rsidRPr="007046FB">
        <w:rPr>
          <w:rStyle w:val="FootnoteReference"/>
          <w:sz w:val="18"/>
          <w:szCs w:val="18"/>
        </w:rPr>
        <w:footnoteRef/>
      </w:r>
      <w:r>
        <w:rPr>
          <w:sz w:val="18"/>
          <w:szCs w:val="18"/>
        </w:rPr>
        <w:t xml:space="preserve"> McHugh M</w:t>
      </w:r>
      <w:r w:rsidRPr="007046FB">
        <w:rPr>
          <w:sz w:val="18"/>
          <w:szCs w:val="18"/>
        </w:rPr>
        <w:t>, (</w:t>
      </w:r>
      <w:r>
        <w:rPr>
          <w:sz w:val="18"/>
          <w:szCs w:val="18"/>
        </w:rPr>
        <w:t>16 June 2016), p173</w:t>
      </w:r>
    </w:p>
  </w:footnote>
  <w:footnote w:id="91">
    <w:p w:rsidR="000E36A1" w:rsidRPr="004B0055" w:rsidRDefault="000E36A1" w:rsidP="002A23BE">
      <w:pPr>
        <w:pStyle w:val="FootnoteText"/>
        <w:rPr>
          <w:sz w:val="18"/>
          <w:szCs w:val="18"/>
        </w:rPr>
      </w:pPr>
      <w:r w:rsidRPr="004B0055">
        <w:rPr>
          <w:rStyle w:val="FootnoteReference"/>
          <w:sz w:val="18"/>
          <w:szCs w:val="18"/>
        </w:rPr>
        <w:footnoteRef/>
      </w:r>
      <w:r w:rsidRPr="004B0055">
        <w:rPr>
          <w:sz w:val="18"/>
          <w:szCs w:val="18"/>
        </w:rPr>
        <w:t xml:space="preserve"> Table 12 applies the % of non-compliance to the distribution in the number of registered breeders and trainers by estimated no of dogs under care (Table 4)</w:t>
      </w:r>
    </w:p>
  </w:footnote>
  <w:footnote w:id="92">
    <w:p w:rsidR="000E36A1" w:rsidRPr="004B0055" w:rsidRDefault="000E36A1" w:rsidP="00984171">
      <w:pPr>
        <w:pStyle w:val="FootnoteText"/>
        <w:rPr>
          <w:sz w:val="18"/>
          <w:szCs w:val="18"/>
        </w:rPr>
      </w:pPr>
      <w:r w:rsidRPr="004B0055">
        <w:rPr>
          <w:rStyle w:val="FootnoteReference"/>
          <w:sz w:val="18"/>
          <w:szCs w:val="18"/>
        </w:rPr>
        <w:footnoteRef/>
      </w:r>
      <w:r w:rsidRPr="004B0055">
        <w:rPr>
          <w:sz w:val="18"/>
          <w:szCs w:val="18"/>
        </w:rPr>
        <w:t xml:space="preserve"> Such as wire size, kennel size, or partitions</w:t>
      </w:r>
    </w:p>
  </w:footnote>
  <w:footnote w:id="93">
    <w:p w:rsidR="000E36A1" w:rsidRPr="004B0055" w:rsidRDefault="000E36A1" w:rsidP="00984171">
      <w:pPr>
        <w:pStyle w:val="FootnoteText"/>
        <w:rPr>
          <w:sz w:val="18"/>
          <w:szCs w:val="18"/>
        </w:rPr>
      </w:pPr>
      <w:r w:rsidRPr="004B0055">
        <w:rPr>
          <w:rStyle w:val="FootnoteReference"/>
          <w:sz w:val="18"/>
          <w:szCs w:val="18"/>
        </w:rPr>
        <w:footnoteRef/>
      </w:r>
      <w:r w:rsidRPr="004B0055">
        <w:rPr>
          <w:sz w:val="18"/>
          <w:szCs w:val="18"/>
        </w:rPr>
        <w:t xml:space="preserve"> Such as vet agreements or record books</w:t>
      </w:r>
    </w:p>
  </w:footnote>
  <w:footnote w:id="94">
    <w:p w:rsidR="000E36A1" w:rsidRPr="004B0055" w:rsidRDefault="000E36A1">
      <w:pPr>
        <w:pStyle w:val="FootnoteText"/>
        <w:rPr>
          <w:sz w:val="18"/>
          <w:szCs w:val="18"/>
        </w:rPr>
      </w:pPr>
      <w:r w:rsidRPr="008E207F">
        <w:rPr>
          <w:rStyle w:val="FootnoteReference"/>
          <w:sz w:val="18"/>
          <w:szCs w:val="18"/>
        </w:rPr>
        <w:footnoteRef/>
      </w:r>
      <w:r w:rsidRPr="008E207F">
        <w:rPr>
          <w:sz w:val="18"/>
          <w:szCs w:val="18"/>
        </w:rPr>
        <w:t xml:space="preserve"> See Table A4.29 of Appendix 4 for source of estimates.</w:t>
      </w:r>
    </w:p>
  </w:footnote>
  <w:footnote w:id="95">
    <w:p w:rsidR="000E36A1" w:rsidRPr="00C2340D" w:rsidRDefault="000E36A1" w:rsidP="0073799C">
      <w:pPr>
        <w:pStyle w:val="FootnoteText"/>
        <w:rPr>
          <w:sz w:val="18"/>
          <w:szCs w:val="18"/>
        </w:rPr>
      </w:pPr>
      <w:r w:rsidRPr="00C2340D">
        <w:rPr>
          <w:rStyle w:val="FootnoteReference"/>
          <w:sz w:val="18"/>
          <w:szCs w:val="18"/>
        </w:rPr>
        <w:footnoteRef/>
      </w:r>
      <w:r w:rsidRPr="00C2340D">
        <w:rPr>
          <w:sz w:val="18"/>
          <w:szCs w:val="18"/>
        </w:rPr>
        <w:t xml:space="preserve"> RSPCA, (2016), p.1</w:t>
      </w:r>
    </w:p>
  </w:footnote>
  <w:footnote w:id="96">
    <w:p w:rsidR="000E36A1" w:rsidRDefault="000E36A1">
      <w:pPr>
        <w:pStyle w:val="FootnoteText"/>
      </w:pPr>
      <w:r w:rsidRPr="004B0055">
        <w:rPr>
          <w:rStyle w:val="FootnoteReference"/>
          <w:sz w:val="18"/>
          <w:szCs w:val="18"/>
        </w:rPr>
        <w:footnoteRef/>
      </w:r>
      <w:r w:rsidRPr="004B0055">
        <w:rPr>
          <w:sz w:val="18"/>
          <w:szCs w:val="18"/>
        </w:rPr>
        <w:t xml:space="preserve"> </w:t>
      </w:r>
      <w:r w:rsidRPr="004B0055">
        <w:rPr>
          <w:sz w:val="18"/>
          <w:szCs w:val="18"/>
          <w:lang w:val="en-US"/>
        </w:rPr>
        <w:t>gap.grv.org.au accessed 8/7/16</w:t>
      </w:r>
    </w:p>
  </w:footnote>
  <w:footnote w:id="97">
    <w:p w:rsidR="000E36A1" w:rsidRPr="004B0055" w:rsidRDefault="000E36A1" w:rsidP="00F461C9">
      <w:pPr>
        <w:pStyle w:val="FootnoteText"/>
        <w:rPr>
          <w:sz w:val="18"/>
          <w:szCs w:val="18"/>
        </w:rPr>
      </w:pPr>
      <w:r w:rsidRPr="004B0055">
        <w:rPr>
          <w:rStyle w:val="FootnoteReference"/>
          <w:sz w:val="18"/>
          <w:szCs w:val="18"/>
        </w:rPr>
        <w:footnoteRef/>
      </w:r>
      <w:r w:rsidRPr="004B0055">
        <w:rPr>
          <w:sz w:val="18"/>
          <w:szCs w:val="18"/>
        </w:rPr>
        <w:t xml:space="preserve"> Beer, L., et al (2008), p.7</w:t>
      </w:r>
    </w:p>
  </w:footnote>
  <w:footnote w:id="98">
    <w:p w:rsidR="000E36A1" w:rsidRPr="007046FB" w:rsidRDefault="000E36A1" w:rsidP="000941FB">
      <w:pPr>
        <w:pStyle w:val="FootnoteText"/>
        <w:rPr>
          <w:sz w:val="18"/>
          <w:szCs w:val="18"/>
        </w:rPr>
      </w:pPr>
      <w:r w:rsidRPr="001B3DB8">
        <w:rPr>
          <w:rStyle w:val="FootnoteReference"/>
          <w:sz w:val="18"/>
          <w:szCs w:val="18"/>
        </w:rPr>
        <w:footnoteRef/>
      </w:r>
      <w:r w:rsidRPr="001B3DB8">
        <w:rPr>
          <w:sz w:val="18"/>
          <w:szCs w:val="18"/>
        </w:rPr>
        <w:t xml:space="preserve"> McHugh M, (16 June 2016), p147 (V2).)</w:t>
      </w:r>
    </w:p>
  </w:footnote>
  <w:footnote w:id="99">
    <w:p w:rsidR="000E36A1" w:rsidRDefault="000E36A1">
      <w:pPr>
        <w:pStyle w:val="FootnoteText"/>
      </w:pPr>
      <w:r w:rsidRPr="004B0055">
        <w:rPr>
          <w:rStyle w:val="FootnoteReference"/>
          <w:sz w:val="18"/>
        </w:rPr>
        <w:footnoteRef/>
      </w:r>
      <w:r w:rsidRPr="004B0055">
        <w:rPr>
          <w:sz w:val="18"/>
        </w:rPr>
        <w:t xml:space="preserve"> </w:t>
      </w:r>
      <w:r>
        <w:rPr>
          <w:sz w:val="18"/>
        </w:rPr>
        <w:t>De</w:t>
      </w:r>
      <w:r w:rsidRPr="004B0055">
        <w:rPr>
          <w:sz w:val="18"/>
        </w:rPr>
        <w:t>termined as the difference between current rehoming (686 dogs per annum) and projected potential rehoming (4,876) (See Section A4.3.11 of Appendix 4 for source of estimates)</w:t>
      </w:r>
    </w:p>
  </w:footnote>
  <w:footnote w:id="100">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sidRPr="0061221C">
        <w:rPr>
          <w:sz w:val="18"/>
          <w:szCs w:val="18"/>
        </w:rPr>
        <w:t>Chart 6</w:t>
      </w:r>
      <w:r w:rsidRPr="004B0055">
        <w:rPr>
          <w:sz w:val="18"/>
          <w:szCs w:val="18"/>
        </w:rPr>
        <w:t xml:space="preserve"> illustrates main welfare </w:t>
      </w:r>
      <w:r w:rsidRPr="00A061C1">
        <w:rPr>
          <w:sz w:val="18"/>
          <w:szCs w:val="18"/>
        </w:rPr>
        <w:t xml:space="preserve">and rehoming </w:t>
      </w:r>
      <w:r w:rsidRPr="004B0055">
        <w:rPr>
          <w:sz w:val="18"/>
          <w:szCs w:val="18"/>
        </w:rPr>
        <w:t>provisions</w:t>
      </w:r>
      <w:r>
        <w:rPr>
          <w:sz w:val="18"/>
          <w:szCs w:val="18"/>
        </w:rPr>
        <w:t xml:space="preserve"> for LR42</w:t>
      </w:r>
      <w:r w:rsidRPr="004B0055">
        <w:rPr>
          <w:sz w:val="18"/>
          <w:szCs w:val="18"/>
        </w:rPr>
        <w:t xml:space="preserve"> (</w:t>
      </w:r>
      <w:r w:rsidRPr="00A061C1">
        <w:rPr>
          <w:sz w:val="18"/>
          <w:szCs w:val="18"/>
        </w:rPr>
        <w:t xml:space="preserve">LR42.3 to LR42.5 cross references GAR106(3); </w:t>
      </w:r>
      <w:r w:rsidRPr="004B0055">
        <w:rPr>
          <w:sz w:val="18"/>
          <w:szCs w:val="18"/>
        </w:rPr>
        <w:t>LR42.7 to LR</w:t>
      </w:r>
      <w:r w:rsidRPr="00A061C1">
        <w:rPr>
          <w:sz w:val="18"/>
          <w:szCs w:val="18"/>
        </w:rPr>
        <w:t>42.10</w:t>
      </w:r>
      <w:r w:rsidRPr="004B0055">
        <w:rPr>
          <w:sz w:val="18"/>
          <w:szCs w:val="18"/>
        </w:rPr>
        <w:t xml:space="preserve"> </w:t>
      </w:r>
      <w:r w:rsidRPr="00A061C1">
        <w:rPr>
          <w:sz w:val="18"/>
          <w:szCs w:val="18"/>
        </w:rPr>
        <w:t xml:space="preserve">deal with </w:t>
      </w:r>
      <w:r w:rsidRPr="004B0055">
        <w:rPr>
          <w:sz w:val="18"/>
          <w:szCs w:val="18"/>
        </w:rPr>
        <w:t>euthanasia</w:t>
      </w:r>
      <w:r w:rsidRPr="00A061C1">
        <w:rPr>
          <w:sz w:val="18"/>
          <w:szCs w:val="18"/>
        </w:rPr>
        <w:t xml:space="preserve"> matters; and LR42.11 to LR42.27 deal with lures and other matters).</w:t>
      </w:r>
    </w:p>
  </w:footnote>
  <w:footnote w:id="101">
    <w:p w:rsidR="000E36A1" w:rsidRPr="004B0055" w:rsidRDefault="000E36A1" w:rsidP="007C6CF8">
      <w:pPr>
        <w:pStyle w:val="FootnoteText"/>
        <w:rPr>
          <w:sz w:val="18"/>
          <w:szCs w:val="18"/>
        </w:rPr>
      </w:pPr>
      <w:r w:rsidRPr="004B0055">
        <w:rPr>
          <w:rStyle w:val="FootnoteReference"/>
          <w:sz w:val="18"/>
          <w:szCs w:val="18"/>
        </w:rPr>
        <w:footnoteRef/>
      </w:r>
      <w:r w:rsidRPr="004B0055">
        <w:rPr>
          <w:sz w:val="18"/>
          <w:szCs w:val="18"/>
        </w:rPr>
        <w:t xml:space="preserve"> Cobb, M., et al (2015), p.4</w:t>
      </w:r>
    </w:p>
  </w:footnote>
  <w:footnote w:id="102">
    <w:p w:rsidR="000E36A1" w:rsidRPr="00725372" w:rsidRDefault="000E36A1">
      <w:pPr>
        <w:pStyle w:val="FootnoteText"/>
        <w:rPr>
          <w:sz w:val="18"/>
          <w:szCs w:val="18"/>
        </w:rPr>
      </w:pPr>
      <w:r w:rsidRPr="00725372">
        <w:rPr>
          <w:rStyle w:val="FootnoteReference"/>
          <w:sz w:val="18"/>
          <w:szCs w:val="18"/>
        </w:rPr>
        <w:footnoteRef/>
      </w:r>
      <w:r w:rsidRPr="00725372">
        <w:rPr>
          <w:sz w:val="18"/>
          <w:szCs w:val="18"/>
        </w:rPr>
        <w:t xml:space="preserve"> See Sections A4.3 to A4.12 of Appendix 4 for source of estimates</w:t>
      </w:r>
    </w:p>
  </w:footnote>
  <w:footnote w:id="103">
    <w:p w:rsidR="000E36A1" w:rsidRPr="00825E26" w:rsidRDefault="000E36A1">
      <w:pPr>
        <w:pStyle w:val="FootnoteText"/>
        <w:rPr>
          <w:sz w:val="18"/>
          <w:szCs w:val="18"/>
        </w:rPr>
      </w:pPr>
      <w:r w:rsidRPr="00825E26">
        <w:rPr>
          <w:rStyle w:val="FootnoteReference"/>
          <w:sz w:val="18"/>
          <w:szCs w:val="18"/>
        </w:rPr>
        <w:footnoteRef/>
      </w:r>
      <w:r w:rsidRPr="00825E26">
        <w:rPr>
          <w:sz w:val="18"/>
          <w:szCs w:val="18"/>
        </w:rPr>
        <w:t xml:space="preserve"> Taken as the difference between compliance under the base case of 32.3% (see table 12) and expected compliance under Option 1 of 35%</w:t>
      </w:r>
    </w:p>
  </w:footnote>
  <w:footnote w:id="104">
    <w:p w:rsidR="000E36A1" w:rsidRDefault="000E36A1">
      <w:pPr>
        <w:pStyle w:val="FootnoteText"/>
      </w:pPr>
      <w:r>
        <w:rPr>
          <w:rStyle w:val="FootnoteReference"/>
        </w:rPr>
        <w:footnoteRef/>
      </w:r>
      <w:r>
        <w:t xml:space="preserve"> </w:t>
      </w:r>
      <w:r w:rsidRPr="00825E26">
        <w:rPr>
          <w:sz w:val="18"/>
          <w:szCs w:val="18"/>
        </w:rPr>
        <w:t xml:space="preserve">Taken as the difference between compliance under the base case of 32.3% (see table 12) and expected compliance </w:t>
      </w:r>
      <w:r>
        <w:rPr>
          <w:sz w:val="18"/>
          <w:szCs w:val="18"/>
        </w:rPr>
        <w:t>under Option 2 of 50</w:t>
      </w:r>
      <w:r w:rsidRPr="00825E26">
        <w:rPr>
          <w:sz w:val="18"/>
          <w:szCs w:val="18"/>
        </w:rPr>
        <w:t>%</w:t>
      </w:r>
    </w:p>
  </w:footnote>
  <w:footnote w:id="105">
    <w:p w:rsidR="000E36A1" w:rsidRPr="001A64D9" w:rsidRDefault="000E36A1">
      <w:pPr>
        <w:pStyle w:val="FootnoteText"/>
        <w:rPr>
          <w:sz w:val="18"/>
          <w:szCs w:val="18"/>
        </w:rPr>
      </w:pPr>
      <w:r w:rsidRPr="001A64D9">
        <w:rPr>
          <w:rStyle w:val="FootnoteReference"/>
          <w:sz w:val="18"/>
          <w:szCs w:val="18"/>
        </w:rPr>
        <w:footnoteRef/>
      </w:r>
      <w:r w:rsidRPr="001A64D9">
        <w:rPr>
          <w:sz w:val="18"/>
          <w:szCs w:val="18"/>
        </w:rPr>
        <w:t xml:space="preserve"> Milne, C., (2015), pp 3-4.</w:t>
      </w:r>
    </w:p>
  </w:footnote>
  <w:footnote w:id="106">
    <w:p w:rsidR="000E36A1" w:rsidRDefault="000E36A1" w:rsidP="001A64D9">
      <w:pPr>
        <w:pStyle w:val="FootnoteText"/>
      </w:pPr>
      <w:r w:rsidRPr="00C357B6">
        <w:rPr>
          <w:rStyle w:val="FootnoteReference"/>
          <w:color w:val="auto"/>
          <w:sz w:val="18"/>
          <w:szCs w:val="18"/>
        </w:rPr>
        <w:footnoteRef/>
      </w:r>
      <w:r w:rsidRPr="00C357B6">
        <w:rPr>
          <w:color w:val="auto"/>
          <w:sz w:val="18"/>
          <w:szCs w:val="18"/>
        </w:rPr>
        <w:t xml:space="preserve"> Local Councils may prosecute, however will primarily provide support and assistance to GRV</w:t>
      </w:r>
    </w:p>
  </w:footnote>
  <w:footnote w:id="107">
    <w:p w:rsidR="000E36A1" w:rsidRPr="001A64D9" w:rsidRDefault="000E36A1">
      <w:pPr>
        <w:pStyle w:val="FootnoteText"/>
        <w:rPr>
          <w:sz w:val="18"/>
          <w:szCs w:val="18"/>
        </w:rPr>
      </w:pPr>
      <w:r w:rsidRPr="001A64D9">
        <w:rPr>
          <w:rStyle w:val="FootnoteReference"/>
          <w:sz w:val="18"/>
          <w:szCs w:val="18"/>
        </w:rPr>
        <w:footnoteRef/>
      </w:r>
      <w:r w:rsidRPr="001A64D9">
        <w:rPr>
          <w:sz w:val="18"/>
          <w:szCs w:val="18"/>
        </w:rPr>
        <w:t xml:space="preserve"> This policy outlines the requirements of an authorised officer and addresses revocation and suspension procedures.</w:t>
      </w:r>
    </w:p>
  </w:footnote>
  <w:footnote w:id="108">
    <w:p w:rsidR="000E36A1" w:rsidRPr="006D46B1" w:rsidRDefault="000E36A1" w:rsidP="00115C0A">
      <w:pPr>
        <w:pStyle w:val="FootnoteText"/>
        <w:rPr>
          <w:sz w:val="20"/>
          <w:szCs w:val="20"/>
        </w:rPr>
      </w:pPr>
      <w:r w:rsidRPr="00AB7BA4">
        <w:rPr>
          <w:rStyle w:val="FootnoteReference"/>
          <w:sz w:val="18"/>
          <w:szCs w:val="20"/>
        </w:rPr>
        <w:footnoteRef/>
      </w:r>
      <w:r w:rsidRPr="00AB7BA4">
        <w:rPr>
          <w:sz w:val="18"/>
          <w:szCs w:val="20"/>
        </w:rPr>
        <w:t xml:space="preserve"> Milne, C., (2015)</w:t>
      </w:r>
      <w:r>
        <w:rPr>
          <w:sz w:val="18"/>
          <w:szCs w:val="20"/>
        </w:rPr>
        <w:t>, pp 3-4.</w:t>
      </w:r>
    </w:p>
  </w:footnote>
  <w:footnote w:id="109">
    <w:p w:rsidR="000E36A1" w:rsidRPr="004B0055" w:rsidRDefault="000E36A1">
      <w:pPr>
        <w:pStyle w:val="FootnoteText"/>
        <w:rPr>
          <w:sz w:val="18"/>
          <w:szCs w:val="18"/>
        </w:rPr>
      </w:pPr>
      <w:r w:rsidRPr="004B0055">
        <w:rPr>
          <w:rStyle w:val="FootnoteReference"/>
          <w:sz w:val="18"/>
          <w:szCs w:val="18"/>
        </w:rPr>
        <w:footnoteRef/>
      </w:r>
      <w:r w:rsidRPr="004B0055">
        <w:rPr>
          <w:sz w:val="18"/>
          <w:szCs w:val="18"/>
        </w:rPr>
        <w:t xml:space="preserve"> </w:t>
      </w:r>
      <w:r w:rsidRPr="00E66D8C">
        <w:rPr>
          <w:color w:val="000000" w:themeColor="text1"/>
          <w:sz w:val="18"/>
          <w:szCs w:val="18"/>
        </w:rPr>
        <w:t>B</w:t>
      </w:r>
      <w:r w:rsidRPr="004B0055">
        <w:rPr>
          <w:color w:val="000000" w:themeColor="text1"/>
          <w:sz w:val="18"/>
          <w:szCs w:val="18"/>
        </w:rPr>
        <w:t>reeding/training/boarding establishments for dogs/cats and other domestic animals and livestock in general</w:t>
      </w:r>
      <w:r>
        <w:rPr>
          <w:color w:val="000000" w:themeColor="text1"/>
          <w:sz w:val="18"/>
          <w:szCs w:val="18"/>
        </w:rPr>
        <w:t>.</w:t>
      </w:r>
    </w:p>
  </w:footnote>
  <w:footnote w:id="110">
    <w:p w:rsidR="000E36A1" w:rsidRPr="007F59D9" w:rsidRDefault="000E36A1">
      <w:pPr>
        <w:pStyle w:val="FootnoteText"/>
        <w:rPr>
          <w:sz w:val="18"/>
          <w:szCs w:val="18"/>
        </w:rPr>
      </w:pPr>
      <w:r w:rsidRPr="007F59D9">
        <w:rPr>
          <w:rStyle w:val="FootnoteReference"/>
          <w:sz w:val="18"/>
          <w:szCs w:val="18"/>
        </w:rPr>
        <w:footnoteRef/>
      </w:r>
      <w:r w:rsidRPr="007F59D9">
        <w:rPr>
          <w:sz w:val="18"/>
          <w:szCs w:val="18"/>
        </w:rPr>
        <w:t xml:space="preserve"> DEDJTR advises that there is no additional cost of participants to facilitate audits and that they can be conducted in the absence of a participant.</w:t>
      </w:r>
    </w:p>
  </w:footnote>
  <w:footnote w:id="111">
    <w:p w:rsidR="000E36A1" w:rsidRPr="00264592" w:rsidRDefault="000E36A1">
      <w:pPr>
        <w:pStyle w:val="FootnoteText"/>
        <w:rPr>
          <w:sz w:val="18"/>
          <w:szCs w:val="18"/>
        </w:rPr>
      </w:pPr>
      <w:r w:rsidRPr="00264592">
        <w:rPr>
          <w:rStyle w:val="FootnoteReference"/>
          <w:sz w:val="18"/>
          <w:szCs w:val="18"/>
        </w:rPr>
        <w:footnoteRef/>
      </w:r>
      <w:r w:rsidRPr="00264592">
        <w:rPr>
          <w:sz w:val="18"/>
          <w:szCs w:val="18"/>
        </w:rPr>
        <w:t xml:space="preserve"> See Panel A4.3 of Appendix 4 for source of estimate</w:t>
      </w:r>
    </w:p>
  </w:footnote>
  <w:footnote w:id="112">
    <w:p w:rsidR="000E36A1" w:rsidRPr="00264592" w:rsidRDefault="000E36A1">
      <w:pPr>
        <w:pStyle w:val="FootnoteText"/>
        <w:rPr>
          <w:sz w:val="18"/>
          <w:szCs w:val="18"/>
        </w:rPr>
      </w:pPr>
      <w:r w:rsidRPr="00264592">
        <w:rPr>
          <w:rStyle w:val="FootnoteReference"/>
          <w:sz w:val="18"/>
          <w:szCs w:val="18"/>
        </w:rPr>
        <w:footnoteRef/>
      </w:r>
      <w:r w:rsidRPr="00264592">
        <w:rPr>
          <w:sz w:val="18"/>
          <w:szCs w:val="18"/>
        </w:rPr>
        <w:t xml:space="preserve"> See Panel A4.3 of Appendix 4 for source of estimate</w:t>
      </w:r>
    </w:p>
  </w:footnote>
  <w:footnote w:id="113">
    <w:p w:rsidR="000E36A1" w:rsidRDefault="000E36A1">
      <w:pPr>
        <w:pStyle w:val="FootnoteText"/>
      </w:pPr>
      <w:r w:rsidRPr="00264592">
        <w:rPr>
          <w:rStyle w:val="FootnoteReference"/>
          <w:sz w:val="18"/>
          <w:szCs w:val="18"/>
        </w:rPr>
        <w:footnoteRef/>
      </w:r>
      <w:r w:rsidRPr="00264592">
        <w:rPr>
          <w:sz w:val="18"/>
          <w:szCs w:val="18"/>
        </w:rPr>
        <w:t xml:space="preserve"> See Panel A4.3 of Appendix 4 for source of estimate</w:t>
      </w:r>
    </w:p>
  </w:footnote>
  <w:footnote w:id="114">
    <w:p w:rsidR="000E36A1" w:rsidRPr="00264592" w:rsidRDefault="000E36A1">
      <w:pPr>
        <w:pStyle w:val="FootnoteText"/>
        <w:rPr>
          <w:sz w:val="18"/>
          <w:szCs w:val="18"/>
        </w:rPr>
      </w:pPr>
      <w:r w:rsidRPr="00264592">
        <w:rPr>
          <w:rStyle w:val="FootnoteReference"/>
          <w:sz w:val="18"/>
          <w:szCs w:val="18"/>
        </w:rPr>
        <w:footnoteRef/>
      </w:r>
      <w:r w:rsidRPr="00264592">
        <w:rPr>
          <w:sz w:val="18"/>
          <w:szCs w:val="18"/>
        </w:rPr>
        <w:t xml:space="preserve"> Made up of an incremental cost of $4.28m and an incremental cost saving of $1.66m (see Tables A4.17 and A4.16 of Appendix 4, respectively, for source of estimates)</w:t>
      </w:r>
    </w:p>
  </w:footnote>
  <w:footnote w:id="115">
    <w:p w:rsidR="000E36A1" w:rsidRPr="00706059" w:rsidRDefault="000E36A1">
      <w:pPr>
        <w:pStyle w:val="FootnoteText"/>
        <w:rPr>
          <w:sz w:val="18"/>
          <w:szCs w:val="18"/>
        </w:rPr>
      </w:pPr>
      <w:r w:rsidRPr="00706059">
        <w:rPr>
          <w:rStyle w:val="FootnoteReference"/>
          <w:sz w:val="18"/>
          <w:szCs w:val="18"/>
        </w:rPr>
        <w:footnoteRef/>
      </w:r>
      <w:r w:rsidRPr="00706059">
        <w:rPr>
          <w:sz w:val="18"/>
          <w:szCs w:val="18"/>
        </w:rPr>
        <w:t xml:space="preserve"> One-off cost of rehabilitation</w:t>
      </w:r>
    </w:p>
  </w:footnote>
  <w:footnote w:id="116">
    <w:p w:rsidR="000E36A1" w:rsidRPr="00E02BFF" w:rsidRDefault="000E36A1">
      <w:pPr>
        <w:pStyle w:val="FootnoteText"/>
        <w:rPr>
          <w:sz w:val="18"/>
          <w:szCs w:val="18"/>
        </w:rPr>
      </w:pPr>
      <w:r w:rsidRPr="00E02BFF">
        <w:rPr>
          <w:rStyle w:val="FootnoteReference"/>
          <w:sz w:val="18"/>
          <w:szCs w:val="18"/>
        </w:rPr>
        <w:footnoteRef/>
      </w:r>
      <w:r w:rsidRPr="00E02BFF">
        <w:rPr>
          <w:sz w:val="18"/>
          <w:szCs w:val="18"/>
        </w:rPr>
        <w:t xml:space="preserve"> Euthanasia is only a legal and legitimate option for owners where all avenues for rehoming have been exhausted (GRV will try to promote rehabilitation hence the 14-day notification).</w:t>
      </w:r>
    </w:p>
  </w:footnote>
  <w:footnote w:id="117">
    <w:p w:rsidR="000E36A1" w:rsidRPr="009C0FDE" w:rsidRDefault="000E36A1">
      <w:pPr>
        <w:pStyle w:val="FootnoteText"/>
        <w:rPr>
          <w:sz w:val="18"/>
          <w:szCs w:val="18"/>
        </w:rPr>
      </w:pPr>
      <w:r w:rsidRPr="00E02BFF">
        <w:rPr>
          <w:rStyle w:val="FootnoteReference"/>
          <w:sz w:val="18"/>
          <w:szCs w:val="18"/>
        </w:rPr>
        <w:footnoteRef/>
      </w:r>
      <w:r w:rsidRPr="00E02BFF">
        <w:rPr>
          <w:sz w:val="18"/>
          <w:szCs w:val="18"/>
        </w:rPr>
        <w:t xml:space="preserve"> $155.46 per penalty unit = $38,243 per individual or $93,276 for body corporate</w:t>
      </w:r>
      <w:r>
        <w:rPr>
          <w:sz w:val="18"/>
          <w:szCs w:val="18"/>
        </w:rPr>
        <w:t>.</w:t>
      </w:r>
    </w:p>
  </w:footnote>
  <w:footnote w:id="118">
    <w:p w:rsidR="000E36A1" w:rsidRPr="00C20815" w:rsidRDefault="000E36A1" w:rsidP="00DD6DAF">
      <w:pPr>
        <w:pStyle w:val="FootnoteText"/>
        <w:rPr>
          <w:sz w:val="18"/>
          <w:szCs w:val="18"/>
        </w:rPr>
      </w:pPr>
      <w:r w:rsidRPr="00C20815">
        <w:rPr>
          <w:rStyle w:val="FootnoteReference"/>
          <w:sz w:val="18"/>
          <w:szCs w:val="18"/>
        </w:rPr>
        <w:footnoteRef/>
      </w:r>
      <w:r w:rsidRPr="00C20815">
        <w:rPr>
          <w:sz w:val="18"/>
          <w:szCs w:val="18"/>
        </w:rPr>
        <w:t xml:space="preserve"> A discount factor of </w:t>
      </w:r>
      <w:r>
        <w:rPr>
          <w:sz w:val="18"/>
          <w:szCs w:val="18"/>
        </w:rPr>
        <w:t>4</w:t>
      </w:r>
      <w:r w:rsidRPr="00C20815">
        <w:rPr>
          <w:sz w:val="18"/>
          <w:szCs w:val="18"/>
        </w:rPr>
        <w:t xml:space="preserve">% is used for present value calculations in this </w:t>
      </w:r>
      <w:r>
        <w:rPr>
          <w:sz w:val="18"/>
          <w:szCs w:val="18"/>
        </w:rPr>
        <w:t>RIS</w:t>
      </w:r>
      <w:r w:rsidRPr="00C20815">
        <w:rPr>
          <w:sz w:val="18"/>
          <w:szCs w:val="18"/>
        </w:rPr>
        <w:t xml:space="preserve">, as recommended by the </w:t>
      </w:r>
      <w:r>
        <w:rPr>
          <w:sz w:val="18"/>
          <w:szCs w:val="18"/>
        </w:rPr>
        <w:t>Commissioner for Better Regulation</w:t>
      </w:r>
      <w:r w:rsidRPr="00C20815">
        <w:rPr>
          <w:sz w:val="18"/>
          <w:szCs w:val="18"/>
        </w:rPr>
        <w:t xml:space="preserve">. </w:t>
      </w:r>
    </w:p>
  </w:footnote>
  <w:footnote w:id="119">
    <w:p w:rsidR="000E36A1" w:rsidRPr="000F4F7A" w:rsidRDefault="000E36A1">
      <w:pPr>
        <w:pStyle w:val="FootnoteText"/>
        <w:rPr>
          <w:sz w:val="18"/>
          <w:szCs w:val="18"/>
        </w:rPr>
      </w:pPr>
      <w:r w:rsidRPr="000F4F7A">
        <w:rPr>
          <w:rStyle w:val="FootnoteReference"/>
          <w:sz w:val="18"/>
          <w:szCs w:val="18"/>
        </w:rPr>
        <w:footnoteRef/>
      </w:r>
      <w:r w:rsidRPr="000F4F7A">
        <w:rPr>
          <w:sz w:val="18"/>
          <w:szCs w:val="18"/>
        </w:rPr>
        <w:t xml:space="preserve"> One score is removed for reduced scale of dogs covered by health checks and one score is removed for reduced scope (no additional health checks at all</w:t>
      </w:r>
      <w:r>
        <w:rPr>
          <w:sz w:val="18"/>
          <w:szCs w:val="18"/>
        </w:rPr>
        <w:t xml:space="preserve"> under Option 5</w:t>
      </w:r>
      <w:r w:rsidRPr="000F4F7A">
        <w:rPr>
          <w:sz w:val="18"/>
          <w:szCs w:val="18"/>
        </w:rPr>
        <w:t>).</w:t>
      </w:r>
    </w:p>
  </w:footnote>
  <w:footnote w:id="120">
    <w:p w:rsidR="000E36A1" w:rsidRPr="000F4F7A" w:rsidRDefault="000E36A1" w:rsidP="000F4F7A">
      <w:pPr>
        <w:pStyle w:val="FootnoteText"/>
        <w:rPr>
          <w:sz w:val="18"/>
          <w:szCs w:val="18"/>
        </w:rPr>
      </w:pPr>
      <w:r w:rsidRPr="000F4F7A">
        <w:rPr>
          <w:rStyle w:val="FootnoteReference"/>
          <w:sz w:val="18"/>
          <w:szCs w:val="18"/>
        </w:rPr>
        <w:footnoteRef/>
      </w:r>
      <w:r w:rsidRPr="000F4F7A">
        <w:rPr>
          <w:sz w:val="18"/>
          <w:szCs w:val="18"/>
        </w:rPr>
        <w:t xml:space="preserve"> </w:t>
      </w:r>
      <w:r>
        <w:rPr>
          <w:sz w:val="18"/>
          <w:szCs w:val="18"/>
        </w:rPr>
        <w:t>A score of +7 reflects the reduced opportunities for socialisation under Option 6 due a reduction in rearing time by half and is deemed to have more detrimental effect in terms of exposing 14,185 dogs to welfare risk than reduced health checks under Option 5 (note that dogs would still have routine health checks during vaccinations).</w:t>
      </w:r>
    </w:p>
  </w:footnote>
  <w:footnote w:id="121">
    <w:p w:rsidR="000E36A1" w:rsidRPr="00DF086B" w:rsidRDefault="000E36A1">
      <w:pPr>
        <w:pStyle w:val="FootnoteText"/>
        <w:rPr>
          <w:sz w:val="18"/>
          <w:szCs w:val="18"/>
        </w:rPr>
      </w:pPr>
      <w:r w:rsidRPr="00DF086B">
        <w:rPr>
          <w:rStyle w:val="FootnoteReference"/>
          <w:sz w:val="18"/>
          <w:szCs w:val="18"/>
        </w:rPr>
        <w:footnoteRef/>
      </w:r>
      <w:r w:rsidRPr="00DF086B">
        <w:rPr>
          <w:sz w:val="18"/>
          <w:szCs w:val="18"/>
        </w:rPr>
        <w:t xml:space="preserve"> </w:t>
      </w:r>
      <w:r>
        <w:rPr>
          <w:sz w:val="18"/>
          <w:szCs w:val="18"/>
        </w:rPr>
        <w:t>A</w:t>
      </w:r>
      <w:r w:rsidRPr="00DF086B">
        <w:rPr>
          <w:sz w:val="18"/>
          <w:szCs w:val="18"/>
        </w:rPr>
        <w:t>ll estimates are obtained from Sections A4.3 to A4.13 in Appendix 4 as summarised in Table A4.3</w:t>
      </w:r>
      <w:r>
        <w:rPr>
          <w:sz w:val="18"/>
          <w:szCs w:val="18"/>
        </w:rPr>
        <w:t>6</w:t>
      </w:r>
      <w:r w:rsidRPr="00DF086B">
        <w:rPr>
          <w:sz w:val="18"/>
          <w:szCs w:val="18"/>
        </w:rPr>
        <w:t xml:space="preserve"> of Appendix 4.</w:t>
      </w:r>
    </w:p>
  </w:footnote>
  <w:footnote w:id="122">
    <w:p w:rsidR="000E36A1" w:rsidRPr="005D5686" w:rsidRDefault="000E36A1">
      <w:pPr>
        <w:pStyle w:val="FootnoteText"/>
        <w:rPr>
          <w:sz w:val="18"/>
          <w:szCs w:val="18"/>
        </w:rPr>
      </w:pPr>
      <w:r w:rsidRPr="005D5686">
        <w:rPr>
          <w:rStyle w:val="FootnoteReference"/>
          <w:sz w:val="18"/>
          <w:szCs w:val="18"/>
        </w:rPr>
        <w:footnoteRef/>
      </w:r>
      <w:r w:rsidRPr="005D5686">
        <w:rPr>
          <w:sz w:val="18"/>
          <w:szCs w:val="18"/>
        </w:rPr>
        <w:t xml:space="preserve"> See Table </w:t>
      </w:r>
      <w:r>
        <w:rPr>
          <w:sz w:val="18"/>
          <w:szCs w:val="18"/>
        </w:rPr>
        <w:t>19</w:t>
      </w:r>
    </w:p>
  </w:footnote>
  <w:footnote w:id="123">
    <w:p w:rsidR="000E36A1" w:rsidRPr="007E1AF6" w:rsidRDefault="000E36A1">
      <w:pPr>
        <w:pStyle w:val="FootnoteText"/>
        <w:rPr>
          <w:b/>
          <w:sz w:val="18"/>
          <w:szCs w:val="18"/>
        </w:rPr>
      </w:pPr>
      <w:r w:rsidRPr="007E1AF6">
        <w:rPr>
          <w:rStyle w:val="FootnoteReference"/>
          <w:sz w:val="18"/>
          <w:szCs w:val="18"/>
        </w:rPr>
        <w:footnoteRef/>
      </w:r>
      <w:r w:rsidRPr="007E1AF6">
        <w:rPr>
          <w:sz w:val="18"/>
          <w:szCs w:val="18"/>
        </w:rPr>
        <w:t xml:space="preserve"> See Table A4.25 of Appendix 4 for source of estimates</w:t>
      </w:r>
    </w:p>
  </w:footnote>
  <w:footnote w:id="124">
    <w:p w:rsidR="000E36A1" w:rsidRPr="00841AAB" w:rsidRDefault="000E36A1">
      <w:pPr>
        <w:pStyle w:val="FootnoteText"/>
        <w:rPr>
          <w:sz w:val="18"/>
          <w:szCs w:val="18"/>
        </w:rPr>
      </w:pPr>
      <w:r w:rsidRPr="00841AAB">
        <w:rPr>
          <w:rStyle w:val="FootnoteReference"/>
          <w:sz w:val="18"/>
          <w:szCs w:val="18"/>
        </w:rPr>
        <w:footnoteRef/>
      </w:r>
      <w:r w:rsidRPr="00841AAB">
        <w:rPr>
          <w:sz w:val="18"/>
          <w:szCs w:val="18"/>
        </w:rPr>
        <w:t xml:space="preserve"> See Table 16 for source of estimate</w:t>
      </w:r>
    </w:p>
  </w:footnote>
  <w:footnote w:id="125">
    <w:p w:rsidR="000E36A1" w:rsidRPr="00DD7651" w:rsidRDefault="000E36A1">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savings under Option 1</w:t>
      </w:r>
      <w:r w:rsidRPr="00DD7651">
        <w:rPr>
          <w:sz w:val="18"/>
          <w:szCs w:val="18"/>
        </w:rPr>
        <w:t xml:space="preserve"> represents </w:t>
      </w:r>
      <w:r>
        <w:rPr>
          <w:sz w:val="18"/>
          <w:szCs w:val="18"/>
        </w:rPr>
        <w:t>7</w:t>
      </w:r>
      <w:r w:rsidRPr="00DD7651">
        <w:rPr>
          <w:sz w:val="18"/>
          <w:szCs w:val="18"/>
        </w:rPr>
        <w:t>% of the value of the highest cost option in Table 18.</w:t>
      </w:r>
    </w:p>
  </w:footnote>
  <w:footnote w:id="126">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w:t>
      </w:r>
      <w:r>
        <w:rPr>
          <w:sz w:val="18"/>
          <w:szCs w:val="18"/>
        </w:rPr>
        <w:t xml:space="preserve">See Table A4.25 </w:t>
      </w:r>
      <w:r w:rsidRPr="00C357B6">
        <w:rPr>
          <w:sz w:val="18"/>
          <w:szCs w:val="18"/>
        </w:rPr>
        <w:t>in Appendix 4</w:t>
      </w:r>
      <w:r w:rsidRPr="00E6209E">
        <w:rPr>
          <w:sz w:val="18"/>
          <w:szCs w:val="18"/>
        </w:rPr>
        <w:t xml:space="preserve"> for source of estimates</w:t>
      </w:r>
    </w:p>
  </w:footnote>
  <w:footnote w:id="127">
    <w:p w:rsidR="000E36A1" w:rsidRPr="006220FB" w:rsidRDefault="000E36A1">
      <w:pPr>
        <w:pStyle w:val="FootnoteText"/>
        <w:rPr>
          <w:sz w:val="18"/>
          <w:szCs w:val="18"/>
        </w:rPr>
      </w:pPr>
      <w:r w:rsidRPr="006220FB">
        <w:rPr>
          <w:rStyle w:val="FootnoteReference"/>
          <w:sz w:val="18"/>
          <w:szCs w:val="18"/>
        </w:rPr>
        <w:footnoteRef/>
      </w:r>
      <w:r w:rsidRPr="006220FB">
        <w:rPr>
          <w:sz w:val="18"/>
          <w:szCs w:val="18"/>
        </w:rPr>
        <w:t xml:space="preserve"> </w:t>
      </w:r>
      <w:r>
        <w:rPr>
          <w:sz w:val="18"/>
          <w:szCs w:val="18"/>
        </w:rPr>
        <w:t>See Table 20</w:t>
      </w:r>
    </w:p>
  </w:footnote>
  <w:footnote w:id="128">
    <w:p w:rsidR="000E36A1" w:rsidRPr="007E1AF6" w:rsidRDefault="000E36A1">
      <w:pPr>
        <w:pStyle w:val="FootnoteText"/>
        <w:rPr>
          <w:sz w:val="18"/>
          <w:szCs w:val="18"/>
        </w:rPr>
      </w:pPr>
      <w:r w:rsidRPr="007E1AF6">
        <w:rPr>
          <w:rStyle w:val="FootnoteReference"/>
          <w:sz w:val="18"/>
          <w:szCs w:val="18"/>
        </w:rPr>
        <w:footnoteRef/>
      </w:r>
      <w:r w:rsidRPr="007E1AF6">
        <w:rPr>
          <w:sz w:val="18"/>
          <w:szCs w:val="18"/>
        </w:rPr>
        <w:t xml:space="preserve"> See Table A4.27 of Appendix 4 for source of estimates</w:t>
      </w:r>
    </w:p>
  </w:footnote>
  <w:footnote w:id="129">
    <w:p w:rsidR="000E36A1" w:rsidRPr="00DD7651" w:rsidRDefault="000E36A1" w:rsidP="00841AAB">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under Option 2</w:t>
      </w:r>
      <w:r w:rsidRPr="00DD7651">
        <w:rPr>
          <w:sz w:val="18"/>
          <w:szCs w:val="18"/>
        </w:rPr>
        <w:t xml:space="preserve"> represents </w:t>
      </w:r>
      <w:r>
        <w:rPr>
          <w:sz w:val="18"/>
          <w:szCs w:val="18"/>
        </w:rPr>
        <w:t>30</w:t>
      </w:r>
      <w:r w:rsidRPr="00DD7651">
        <w:rPr>
          <w:sz w:val="18"/>
          <w:szCs w:val="18"/>
        </w:rPr>
        <w:t>% of the value of the highest cost option in Table 18.</w:t>
      </w:r>
    </w:p>
  </w:footnote>
  <w:footnote w:id="130">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See Table A4.27 in Appendix 4 for source of estimates</w:t>
      </w:r>
    </w:p>
  </w:footnote>
  <w:footnote w:id="131">
    <w:p w:rsidR="000E36A1" w:rsidRPr="006220FB" w:rsidRDefault="000E36A1" w:rsidP="00841AAB">
      <w:pPr>
        <w:pStyle w:val="FootnoteText"/>
        <w:rPr>
          <w:sz w:val="18"/>
          <w:szCs w:val="18"/>
        </w:rPr>
      </w:pPr>
      <w:r w:rsidRPr="006220FB">
        <w:rPr>
          <w:rStyle w:val="FootnoteReference"/>
          <w:sz w:val="18"/>
          <w:szCs w:val="18"/>
        </w:rPr>
        <w:footnoteRef/>
      </w:r>
      <w:r w:rsidRPr="006220FB">
        <w:rPr>
          <w:sz w:val="18"/>
          <w:szCs w:val="18"/>
        </w:rPr>
        <w:t xml:space="preserve"> </w:t>
      </w:r>
      <w:r>
        <w:rPr>
          <w:sz w:val="18"/>
          <w:szCs w:val="18"/>
        </w:rPr>
        <w:t>See Table 21</w:t>
      </w:r>
    </w:p>
  </w:footnote>
  <w:footnote w:id="132">
    <w:p w:rsidR="000E36A1" w:rsidRPr="004459E0" w:rsidRDefault="000E36A1">
      <w:pPr>
        <w:pStyle w:val="FootnoteText"/>
        <w:rPr>
          <w:sz w:val="18"/>
          <w:szCs w:val="18"/>
        </w:rPr>
      </w:pPr>
      <w:r w:rsidRPr="004459E0">
        <w:rPr>
          <w:rStyle w:val="FootnoteReference"/>
          <w:sz w:val="18"/>
          <w:szCs w:val="18"/>
        </w:rPr>
        <w:footnoteRef/>
      </w:r>
      <w:r w:rsidRPr="004459E0">
        <w:rPr>
          <w:sz w:val="18"/>
          <w:szCs w:val="18"/>
        </w:rPr>
        <w:t xml:space="preserve"> See Table A4.29 of Appendix 4 for source of estimates</w:t>
      </w:r>
    </w:p>
  </w:footnote>
  <w:footnote w:id="133">
    <w:p w:rsidR="000E36A1" w:rsidRPr="001F7C75" w:rsidRDefault="000E36A1">
      <w:pPr>
        <w:pStyle w:val="FootnoteText"/>
        <w:rPr>
          <w:sz w:val="18"/>
          <w:szCs w:val="18"/>
        </w:rPr>
      </w:pPr>
      <w:r w:rsidRPr="001F7C75">
        <w:rPr>
          <w:rStyle w:val="FootnoteReference"/>
          <w:sz w:val="18"/>
          <w:szCs w:val="18"/>
        </w:rPr>
        <w:footnoteRef/>
      </w:r>
      <w:r w:rsidRPr="001F7C75">
        <w:rPr>
          <w:sz w:val="18"/>
          <w:szCs w:val="18"/>
        </w:rPr>
        <w:t xml:space="preserve"> GRV annual report 2015-16</w:t>
      </w:r>
      <w:r>
        <w:rPr>
          <w:sz w:val="18"/>
          <w:szCs w:val="18"/>
        </w:rPr>
        <w:t>.</w:t>
      </w:r>
    </w:p>
  </w:footnote>
  <w:footnote w:id="134">
    <w:p w:rsidR="000E36A1" w:rsidRPr="00DD7651" w:rsidRDefault="000E36A1" w:rsidP="00B37708">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under Option 3</w:t>
      </w:r>
      <w:r w:rsidRPr="00DD7651">
        <w:rPr>
          <w:sz w:val="18"/>
          <w:szCs w:val="18"/>
        </w:rPr>
        <w:t xml:space="preserve"> represents </w:t>
      </w:r>
      <w:r>
        <w:rPr>
          <w:sz w:val="18"/>
          <w:szCs w:val="18"/>
        </w:rPr>
        <w:t>100</w:t>
      </w:r>
      <w:r w:rsidRPr="00DD7651">
        <w:rPr>
          <w:sz w:val="18"/>
          <w:szCs w:val="18"/>
        </w:rPr>
        <w:t>% of the value of the highest cost option in Table 18.</w:t>
      </w:r>
    </w:p>
  </w:footnote>
  <w:footnote w:id="135">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w:t>
      </w:r>
      <w:r w:rsidRPr="00E6209E">
        <w:rPr>
          <w:sz w:val="18"/>
          <w:szCs w:val="18"/>
        </w:rPr>
        <w:t>See Table A4.29 in Appendix 4 for source of estimates</w:t>
      </w:r>
    </w:p>
  </w:footnote>
  <w:footnote w:id="136">
    <w:p w:rsidR="000E36A1" w:rsidRPr="006220FB" w:rsidRDefault="000E36A1" w:rsidP="004E419C">
      <w:pPr>
        <w:pStyle w:val="FootnoteText"/>
        <w:rPr>
          <w:sz w:val="18"/>
          <w:szCs w:val="18"/>
        </w:rPr>
      </w:pPr>
      <w:r w:rsidRPr="006220FB">
        <w:rPr>
          <w:rStyle w:val="FootnoteReference"/>
          <w:sz w:val="18"/>
          <w:szCs w:val="18"/>
        </w:rPr>
        <w:footnoteRef/>
      </w:r>
      <w:r w:rsidRPr="006220FB">
        <w:rPr>
          <w:sz w:val="18"/>
          <w:szCs w:val="18"/>
        </w:rPr>
        <w:t xml:space="preserve"> </w:t>
      </w:r>
      <w:r>
        <w:rPr>
          <w:sz w:val="18"/>
          <w:szCs w:val="18"/>
        </w:rPr>
        <w:t>See Table 22</w:t>
      </w:r>
    </w:p>
  </w:footnote>
  <w:footnote w:id="137">
    <w:p w:rsidR="000E36A1" w:rsidRPr="007E1AF6" w:rsidRDefault="000E36A1" w:rsidP="004E419C">
      <w:pPr>
        <w:pStyle w:val="FootnoteText"/>
        <w:rPr>
          <w:sz w:val="18"/>
          <w:szCs w:val="18"/>
        </w:rPr>
      </w:pPr>
      <w:r w:rsidRPr="007E1AF6">
        <w:rPr>
          <w:rStyle w:val="FootnoteReference"/>
          <w:sz w:val="18"/>
          <w:szCs w:val="18"/>
        </w:rPr>
        <w:footnoteRef/>
      </w:r>
      <w:r w:rsidRPr="007E1AF6">
        <w:rPr>
          <w:sz w:val="18"/>
          <w:szCs w:val="18"/>
        </w:rPr>
        <w:t xml:space="preserve"> </w:t>
      </w:r>
      <w:r>
        <w:rPr>
          <w:sz w:val="18"/>
          <w:szCs w:val="18"/>
        </w:rPr>
        <w:t>See Table A4.31</w:t>
      </w:r>
      <w:r w:rsidRPr="007E1AF6">
        <w:rPr>
          <w:sz w:val="18"/>
          <w:szCs w:val="18"/>
        </w:rPr>
        <w:t xml:space="preserve"> of Appendix 4 for source of estimates</w:t>
      </w:r>
    </w:p>
  </w:footnote>
  <w:footnote w:id="138">
    <w:p w:rsidR="000E36A1" w:rsidRPr="00DD7651" w:rsidRDefault="000E36A1" w:rsidP="004E419C">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under Option 4</w:t>
      </w:r>
      <w:r w:rsidRPr="00DD7651">
        <w:rPr>
          <w:sz w:val="18"/>
          <w:szCs w:val="18"/>
        </w:rPr>
        <w:t xml:space="preserve"> represents </w:t>
      </w:r>
      <w:r>
        <w:rPr>
          <w:sz w:val="18"/>
          <w:szCs w:val="18"/>
        </w:rPr>
        <w:t>53</w:t>
      </w:r>
      <w:r w:rsidRPr="00DD7651">
        <w:rPr>
          <w:sz w:val="18"/>
          <w:szCs w:val="18"/>
        </w:rPr>
        <w:t>% of the value of the highest cost option in Table 18.</w:t>
      </w:r>
    </w:p>
  </w:footnote>
  <w:footnote w:id="139">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See Table A4.31 in Appendix 4 for source of estimates</w:t>
      </w:r>
    </w:p>
  </w:footnote>
  <w:footnote w:id="140">
    <w:p w:rsidR="000E36A1" w:rsidRPr="00364829" w:rsidRDefault="000E36A1">
      <w:pPr>
        <w:pStyle w:val="FootnoteText"/>
        <w:rPr>
          <w:sz w:val="18"/>
          <w:szCs w:val="18"/>
        </w:rPr>
      </w:pPr>
      <w:r w:rsidRPr="00364829">
        <w:rPr>
          <w:rStyle w:val="FootnoteReference"/>
          <w:sz w:val="18"/>
          <w:szCs w:val="18"/>
        </w:rPr>
        <w:footnoteRef/>
      </w:r>
      <w:r w:rsidRPr="00364829">
        <w:rPr>
          <w:sz w:val="18"/>
          <w:szCs w:val="18"/>
        </w:rPr>
        <w:t xml:space="preserve"> See Table 23</w:t>
      </w:r>
    </w:p>
  </w:footnote>
  <w:footnote w:id="141">
    <w:p w:rsidR="000E36A1" w:rsidRPr="00DD7651" w:rsidRDefault="000E36A1" w:rsidP="00665517">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under Option 5</w:t>
      </w:r>
      <w:r w:rsidRPr="00DD7651">
        <w:rPr>
          <w:sz w:val="18"/>
          <w:szCs w:val="18"/>
        </w:rPr>
        <w:t xml:space="preserve"> represents </w:t>
      </w:r>
      <w:r>
        <w:rPr>
          <w:sz w:val="18"/>
          <w:szCs w:val="18"/>
        </w:rPr>
        <w:t>87</w:t>
      </w:r>
      <w:r w:rsidRPr="00DD7651">
        <w:rPr>
          <w:sz w:val="18"/>
          <w:szCs w:val="18"/>
        </w:rPr>
        <w:t>% of the value of the highest cost option in Table 18.</w:t>
      </w:r>
    </w:p>
  </w:footnote>
  <w:footnote w:id="142">
    <w:p w:rsidR="000E36A1" w:rsidRPr="00C357B6" w:rsidRDefault="000E36A1">
      <w:pPr>
        <w:pStyle w:val="FootnoteText"/>
        <w:rPr>
          <w:sz w:val="18"/>
          <w:szCs w:val="18"/>
        </w:rPr>
      </w:pPr>
      <w:r w:rsidRPr="00C357B6">
        <w:rPr>
          <w:rStyle w:val="FootnoteReference"/>
          <w:sz w:val="18"/>
          <w:szCs w:val="18"/>
        </w:rPr>
        <w:footnoteRef/>
      </w:r>
      <w:r w:rsidRPr="00C357B6">
        <w:rPr>
          <w:sz w:val="18"/>
          <w:szCs w:val="18"/>
        </w:rPr>
        <w:t xml:space="preserve"> </w:t>
      </w:r>
      <w:r w:rsidRPr="00E6209E">
        <w:rPr>
          <w:sz w:val="18"/>
          <w:szCs w:val="18"/>
        </w:rPr>
        <w:t>See Table A4.29</w:t>
      </w:r>
      <w:r w:rsidRPr="00C357B6">
        <w:rPr>
          <w:sz w:val="18"/>
          <w:szCs w:val="18"/>
        </w:rPr>
        <w:t xml:space="preserve"> in Appendix 4 for source of estimates</w:t>
      </w:r>
      <w:r>
        <w:rPr>
          <w:sz w:val="18"/>
          <w:szCs w:val="18"/>
        </w:rPr>
        <w:t xml:space="preserve"> (as with Option 3 but no additional health check requirements)</w:t>
      </w:r>
    </w:p>
  </w:footnote>
  <w:footnote w:id="143">
    <w:p w:rsidR="000E36A1" w:rsidRPr="00364829" w:rsidRDefault="000E36A1">
      <w:pPr>
        <w:pStyle w:val="FootnoteText"/>
        <w:rPr>
          <w:sz w:val="18"/>
          <w:szCs w:val="18"/>
        </w:rPr>
      </w:pPr>
      <w:r w:rsidRPr="00364829">
        <w:rPr>
          <w:rStyle w:val="FootnoteReference"/>
          <w:sz w:val="18"/>
          <w:szCs w:val="18"/>
        </w:rPr>
        <w:footnoteRef/>
      </w:r>
      <w:r w:rsidRPr="00364829">
        <w:rPr>
          <w:sz w:val="18"/>
          <w:szCs w:val="18"/>
        </w:rPr>
        <w:t xml:space="preserve"> See Table 24</w:t>
      </w:r>
    </w:p>
  </w:footnote>
  <w:footnote w:id="144">
    <w:p w:rsidR="000E36A1" w:rsidRPr="00DD7651" w:rsidRDefault="000E36A1" w:rsidP="00665517">
      <w:pPr>
        <w:pStyle w:val="FootnoteText"/>
        <w:rPr>
          <w:sz w:val="18"/>
          <w:szCs w:val="18"/>
        </w:rPr>
      </w:pPr>
      <w:r w:rsidRPr="00DD7651">
        <w:rPr>
          <w:rStyle w:val="FootnoteReference"/>
          <w:sz w:val="18"/>
          <w:szCs w:val="18"/>
        </w:rPr>
        <w:footnoteRef/>
      </w:r>
      <w:r w:rsidRPr="00DD7651">
        <w:rPr>
          <w:sz w:val="18"/>
          <w:szCs w:val="18"/>
        </w:rPr>
        <w:t xml:space="preserve"> </w:t>
      </w:r>
      <w:r>
        <w:rPr>
          <w:sz w:val="18"/>
          <w:szCs w:val="18"/>
        </w:rPr>
        <w:t>The net cost under Option 6</w:t>
      </w:r>
      <w:r w:rsidRPr="00DD7651">
        <w:rPr>
          <w:sz w:val="18"/>
          <w:szCs w:val="18"/>
        </w:rPr>
        <w:t xml:space="preserve"> represents </w:t>
      </w:r>
      <w:r>
        <w:rPr>
          <w:sz w:val="18"/>
          <w:szCs w:val="18"/>
        </w:rPr>
        <w:t>73</w:t>
      </w:r>
      <w:r w:rsidRPr="00DD7651">
        <w:rPr>
          <w:sz w:val="18"/>
          <w:szCs w:val="18"/>
        </w:rPr>
        <w:t>% of the value of the highest cost option in Table 18.</w:t>
      </w:r>
    </w:p>
  </w:footnote>
  <w:footnote w:id="145">
    <w:p w:rsidR="000E36A1" w:rsidRPr="00C357B6" w:rsidRDefault="000E36A1">
      <w:pPr>
        <w:pStyle w:val="FootnoteText"/>
        <w:rPr>
          <w:sz w:val="18"/>
          <w:szCs w:val="18"/>
        </w:rPr>
      </w:pPr>
      <w:r w:rsidRPr="00C357B6">
        <w:rPr>
          <w:rStyle w:val="FootnoteReference"/>
          <w:sz w:val="18"/>
          <w:szCs w:val="18"/>
        </w:rPr>
        <w:footnoteRef/>
      </w:r>
      <w:r>
        <w:rPr>
          <w:sz w:val="18"/>
          <w:szCs w:val="18"/>
        </w:rPr>
        <w:t xml:space="preserve"> See Table A4.31</w:t>
      </w:r>
      <w:r w:rsidRPr="00C357B6">
        <w:rPr>
          <w:sz w:val="18"/>
          <w:szCs w:val="18"/>
        </w:rPr>
        <w:t xml:space="preserve"> in Appendix 4 for source of estimates</w:t>
      </w:r>
      <w:r>
        <w:rPr>
          <w:sz w:val="18"/>
          <w:szCs w:val="18"/>
        </w:rPr>
        <w:t xml:space="preserve"> </w:t>
      </w:r>
      <w:r w:rsidRPr="00C357B6">
        <w:rPr>
          <w:sz w:val="18"/>
          <w:szCs w:val="18"/>
        </w:rPr>
        <w:t xml:space="preserve">(as with Option 3 but </w:t>
      </w:r>
      <w:r>
        <w:rPr>
          <w:sz w:val="18"/>
          <w:szCs w:val="18"/>
        </w:rPr>
        <w:t xml:space="preserve">reduced rearing </w:t>
      </w:r>
      <w:r w:rsidRPr="00C357B6">
        <w:rPr>
          <w:sz w:val="18"/>
          <w:szCs w:val="18"/>
        </w:rPr>
        <w:t>requirements)</w:t>
      </w:r>
    </w:p>
  </w:footnote>
  <w:footnote w:id="146">
    <w:p w:rsidR="000E36A1" w:rsidRPr="004B0055" w:rsidRDefault="000E36A1" w:rsidP="0093368F">
      <w:pPr>
        <w:pStyle w:val="FootnoteText"/>
        <w:rPr>
          <w:sz w:val="18"/>
          <w:szCs w:val="18"/>
        </w:rPr>
      </w:pPr>
      <w:r w:rsidRPr="004B0055">
        <w:rPr>
          <w:rStyle w:val="FootnoteReference"/>
          <w:sz w:val="18"/>
          <w:szCs w:val="18"/>
        </w:rPr>
        <w:footnoteRef/>
      </w:r>
      <w:r w:rsidRPr="004B0055">
        <w:rPr>
          <w:sz w:val="18"/>
          <w:szCs w:val="18"/>
        </w:rPr>
        <w:t xml:space="preserve"> GRV website, (2016).</w:t>
      </w:r>
    </w:p>
  </w:footnote>
  <w:footnote w:id="147">
    <w:p w:rsidR="000E36A1" w:rsidRPr="004134B2" w:rsidRDefault="000E36A1" w:rsidP="007C72F9">
      <w:pPr>
        <w:pStyle w:val="FootnoteText"/>
        <w:rPr>
          <w:sz w:val="18"/>
          <w:szCs w:val="18"/>
        </w:rPr>
      </w:pPr>
      <w:r w:rsidRPr="004134B2">
        <w:rPr>
          <w:rStyle w:val="FootnoteReference"/>
          <w:sz w:val="18"/>
          <w:szCs w:val="18"/>
        </w:rPr>
        <w:footnoteRef/>
      </w:r>
      <w:r w:rsidRPr="004134B2">
        <w:rPr>
          <w:sz w:val="18"/>
          <w:szCs w:val="18"/>
        </w:rPr>
        <w:t xml:space="preserve"> DEDJTR, (2016)</w:t>
      </w:r>
    </w:p>
  </w:footnote>
  <w:footnote w:id="148">
    <w:p w:rsidR="000E36A1" w:rsidRPr="00054CD3" w:rsidRDefault="000E36A1" w:rsidP="002162DA">
      <w:pPr>
        <w:pStyle w:val="FootnoteText"/>
        <w:rPr>
          <w:i/>
          <w:sz w:val="18"/>
          <w:szCs w:val="18"/>
        </w:rPr>
      </w:pPr>
      <w:r w:rsidRPr="00C20815">
        <w:rPr>
          <w:rStyle w:val="FootnoteReference"/>
          <w:sz w:val="18"/>
          <w:szCs w:val="18"/>
        </w:rPr>
        <w:footnoteRef/>
      </w:r>
      <w:r w:rsidRPr="00C20815">
        <w:rPr>
          <w:sz w:val="18"/>
          <w:szCs w:val="18"/>
        </w:rPr>
        <w:t xml:space="preserve"> Government of Victoria, 201</w:t>
      </w:r>
      <w:r>
        <w:rPr>
          <w:sz w:val="18"/>
          <w:szCs w:val="18"/>
        </w:rPr>
        <w:t>6</w:t>
      </w:r>
      <w:r w:rsidRPr="00C20815">
        <w:rPr>
          <w:sz w:val="18"/>
          <w:szCs w:val="18"/>
        </w:rPr>
        <w:t xml:space="preserve">, </w:t>
      </w:r>
      <w:r w:rsidRPr="00C20815">
        <w:rPr>
          <w:i/>
          <w:sz w:val="18"/>
          <w:szCs w:val="18"/>
        </w:rPr>
        <w:t>Victorian Guide to Regulation</w:t>
      </w:r>
      <w:r>
        <w:rPr>
          <w:i/>
          <w:sz w:val="18"/>
          <w:szCs w:val="18"/>
        </w:rPr>
        <w:t xml:space="preserve">: A handbook for policy-makers </w:t>
      </w:r>
      <w:r w:rsidRPr="002162DA">
        <w:rPr>
          <w:i/>
          <w:sz w:val="18"/>
          <w:szCs w:val="18"/>
        </w:rPr>
        <w:t>in Victoria</w:t>
      </w:r>
      <w:r w:rsidRPr="00C20815">
        <w:rPr>
          <w:sz w:val="18"/>
          <w:szCs w:val="18"/>
        </w:rPr>
        <w:t>,</w:t>
      </w:r>
      <w:r>
        <w:rPr>
          <w:sz w:val="18"/>
          <w:szCs w:val="18"/>
        </w:rPr>
        <w:t xml:space="preserve"> </w:t>
      </w:r>
      <w:r w:rsidRPr="00C20815">
        <w:rPr>
          <w:sz w:val="18"/>
          <w:szCs w:val="18"/>
        </w:rPr>
        <w:t>Department of Treasury and Finance, Melbourne</w:t>
      </w:r>
    </w:p>
  </w:footnote>
  <w:footnote w:id="149">
    <w:p w:rsidR="000E36A1" w:rsidRPr="00DA5C54" w:rsidRDefault="000E36A1" w:rsidP="00720916">
      <w:pPr>
        <w:pStyle w:val="FootnoteText"/>
        <w:rPr>
          <w:sz w:val="18"/>
          <w:szCs w:val="18"/>
        </w:rPr>
      </w:pPr>
      <w:r w:rsidRPr="00DA5C54">
        <w:rPr>
          <w:rStyle w:val="FootnoteReference"/>
          <w:sz w:val="18"/>
          <w:szCs w:val="18"/>
        </w:rPr>
        <w:footnoteRef/>
      </w:r>
      <w:r w:rsidRPr="00DA5C54">
        <w:rPr>
          <w:sz w:val="18"/>
          <w:szCs w:val="18"/>
        </w:rPr>
        <w:t xml:space="preserve"> </w:t>
      </w:r>
      <w:r w:rsidRPr="00DA5C54">
        <w:rPr>
          <w:rFonts w:cs="Calibri"/>
          <w:sz w:val="18"/>
          <w:szCs w:val="18"/>
        </w:rPr>
        <w:t>One penalty unit is $</w:t>
      </w:r>
      <w:r w:rsidRPr="00DA5C54">
        <w:rPr>
          <w:sz w:val="18"/>
          <w:szCs w:val="18"/>
        </w:rPr>
        <w:t xml:space="preserve"> </w:t>
      </w:r>
      <w:r w:rsidRPr="00DA5C54">
        <w:rPr>
          <w:rFonts w:cs="Calibri"/>
          <w:sz w:val="18"/>
          <w:szCs w:val="18"/>
        </w:rPr>
        <w:t>$155.46 as at 1 July 2016.</w:t>
      </w:r>
    </w:p>
  </w:footnote>
  <w:footnote w:id="150">
    <w:p w:rsidR="000E36A1" w:rsidRPr="00AC0AE6" w:rsidRDefault="000E36A1" w:rsidP="00B82EE8">
      <w:pPr>
        <w:pStyle w:val="FootnoteText"/>
        <w:rPr>
          <w:rFonts w:asciiTheme="majorHAnsi" w:hAnsiTheme="majorHAnsi"/>
          <w:sz w:val="18"/>
          <w:szCs w:val="18"/>
        </w:rPr>
      </w:pPr>
      <w:r w:rsidRPr="00AC0AE6">
        <w:rPr>
          <w:rStyle w:val="FootnoteReference"/>
          <w:rFonts w:asciiTheme="majorHAnsi" w:hAnsiTheme="majorHAnsi"/>
          <w:sz w:val="18"/>
          <w:szCs w:val="18"/>
        </w:rPr>
        <w:footnoteRef/>
      </w:r>
      <w:r w:rsidRPr="00AC0AE6">
        <w:rPr>
          <w:rFonts w:asciiTheme="majorHAnsi" w:hAnsiTheme="majorHAnsi"/>
          <w:sz w:val="18"/>
          <w:szCs w:val="18"/>
        </w:rPr>
        <w:t xml:space="preserve"> New Zealand Greyhound Racing Association, (25 June 2013) p. 19</w:t>
      </w:r>
    </w:p>
  </w:footnote>
  <w:footnote w:id="151">
    <w:p w:rsidR="000E36A1" w:rsidRPr="00B82EE8" w:rsidRDefault="000E36A1">
      <w:pPr>
        <w:pStyle w:val="FootnoteText"/>
        <w:rPr>
          <w:sz w:val="18"/>
          <w:szCs w:val="18"/>
        </w:rPr>
      </w:pPr>
      <w:r w:rsidRPr="00B82EE8">
        <w:rPr>
          <w:rStyle w:val="FootnoteReference"/>
          <w:sz w:val="18"/>
          <w:szCs w:val="18"/>
        </w:rPr>
        <w:footnoteRef/>
      </w:r>
      <w:r w:rsidRPr="00B82EE8">
        <w:rPr>
          <w:sz w:val="18"/>
          <w:szCs w:val="18"/>
        </w:rPr>
        <w:t xml:space="preserve"> GRV (May 2016), Developing GRV’s Strategy for 2016-2019, </w:t>
      </w:r>
      <w:r w:rsidRPr="00B82EE8">
        <w:rPr>
          <w:i/>
          <w:sz w:val="18"/>
          <w:szCs w:val="18"/>
        </w:rPr>
        <w:t>draft for Consultation purposes</w:t>
      </w:r>
      <w:r w:rsidRPr="00B82EE8">
        <w:rPr>
          <w:sz w:val="18"/>
          <w:szCs w:val="18"/>
        </w:rPr>
        <w:t>, p.2</w:t>
      </w:r>
    </w:p>
  </w:footnote>
  <w:footnote w:id="152">
    <w:p w:rsidR="000E36A1" w:rsidRPr="004B0055" w:rsidRDefault="000E36A1" w:rsidP="002876C0">
      <w:pPr>
        <w:pStyle w:val="FootnoteText"/>
        <w:rPr>
          <w:sz w:val="18"/>
          <w:szCs w:val="18"/>
        </w:rPr>
      </w:pPr>
      <w:r w:rsidRPr="004B0055">
        <w:rPr>
          <w:rStyle w:val="FootnoteReference"/>
          <w:sz w:val="18"/>
          <w:szCs w:val="18"/>
        </w:rPr>
        <w:footnoteRef/>
      </w:r>
      <w:r w:rsidRPr="004B0055">
        <w:rPr>
          <w:sz w:val="18"/>
          <w:szCs w:val="18"/>
        </w:rPr>
        <w:t xml:space="preserve"> Greyhounds Australasia website (May 2016).</w:t>
      </w:r>
    </w:p>
  </w:footnote>
  <w:footnote w:id="153">
    <w:p w:rsidR="000E36A1" w:rsidRPr="004D060C" w:rsidRDefault="000E36A1" w:rsidP="002876C0">
      <w:pPr>
        <w:pStyle w:val="FootnoteText"/>
        <w:rPr>
          <w:sz w:val="20"/>
          <w:szCs w:val="20"/>
        </w:rPr>
      </w:pPr>
      <w:r w:rsidRPr="004B0055">
        <w:rPr>
          <w:rStyle w:val="FootnoteReference"/>
          <w:sz w:val="18"/>
          <w:szCs w:val="18"/>
        </w:rPr>
        <w:footnoteRef/>
      </w:r>
      <w:r w:rsidRPr="004B0055">
        <w:rPr>
          <w:sz w:val="18"/>
          <w:szCs w:val="18"/>
        </w:rPr>
        <w:t xml:space="preserve"> DEDJTR, (2016).</w:t>
      </w:r>
    </w:p>
  </w:footnote>
  <w:footnote w:id="154">
    <w:p w:rsidR="000E36A1" w:rsidRPr="004D060C" w:rsidRDefault="000E36A1" w:rsidP="00FB57A1">
      <w:pPr>
        <w:pStyle w:val="FootnoteText"/>
        <w:rPr>
          <w:sz w:val="20"/>
          <w:szCs w:val="20"/>
        </w:rPr>
      </w:pPr>
      <w:r w:rsidRPr="004D060C">
        <w:rPr>
          <w:rStyle w:val="FootnoteReference"/>
          <w:sz w:val="20"/>
          <w:szCs w:val="20"/>
        </w:rPr>
        <w:footnoteRef/>
      </w:r>
      <w:r w:rsidRPr="004D060C">
        <w:rPr>
          <w:sz w:val="20"/>
          <w:szCs w:val="20"/>
        </w:rPr>
        <w:t xml:space="preserve"> </w:t>
      </w:r>
      <w:r w:rsidRPr="004D060C">
        <w:rPr>
          <w:i/>
          <w:sz w:val="20"/>
          <w:szCs w:val="20"/>
        </w:rPr>
        <w:t>Prevention of Cruelty to Animals Act 1986</w:t>
      </w:r>
      <w:r w:rsidRPr="004D060C">
        <w:rPr>
          <w:sz w:val="20"/>
          <w:szCs w:val="20"/>
        </w:rPr>
        <w:t xml:space="preserve"> (Authorised Version No. 088) 4 May 2016</w:t>
      </w:r>
    </w:p>
  </w:footnote>
  <w:footnote w:id="155">
    <w:p w:rsidR="000E36A1" w:rsidRDefault="000E36A1" w:rsidP="00FB57A1">
      <w:pPr>
        <w:pStyle w:val="FootnoteText"/>
      </w:pPr>
      <w:r w:rsidRPr="004D060C">
        <w:rPr>
          <w:rStyle w:val="FootnoteReference"/>
          <w:sz w:val="20"/>
          <w:szCs w:val="20"/>
        </w:rPr>
        <w:footnoteRef/>
      </w:r>
      <w:r w:rsidRPr="004D060C">
        <w:rPr>
          <w:sz w:val="20"/>
          <w:szCs w:val="20"/>
        </w:rPr>
        <w:t xml:space="preserve"> </w:t>
      </w:r>
      <w:r w:rsidRPr="004D060C">
        <w:rPr>
          <w:i/>
          <w:sz w:val="20"/>
          <w:szCs w:val="20"/>
        </w:rPr>
        <w:t>Domestic Animals Act 1994</w:t>
      </w:r>
      <w:r w:rsidRPr="004D060C">
        <w:rPr>
          <w:sz w:val="20"/>
          <w:szCs w:val="20"/>
        </w:rPr>
        <w:t xml:space="preserve"> (Authorised Version No. 067) 4 May 2016</w:t>
      </w:r>
    </w:p>
  </w:footnote>
  <w:footnote w:id="156">
    <w:p w:rsidR="000E36A1" w:rsidRPr="004D060C" w:rsidRDefault="000E36A1" w:rsidP="00313CBE">
      <w:pPr>
        <w:pStyle w:val="FootnoteText"/>
        <w:rPr>
          <w:sz w:val="20"/>
          <w:szCs w:val="20"/>
        </w:rPr>
      </w:pPr>
      <w:r w:rsidRPr="004D060C">
        <w:rPr>
          <w:rStyle w:val="FootnoteReference"/>
          <w:sz w:val="20"/>
          <w:szCs w:val="20"/>
        </w:rPr>
        <w:footnoteRef/>
      </w:r>
      <w:r w:rsidRPr="004D060C">
        <w:rPr>
          <w:sz w:val="20"/>
          <w:szCs w:val="20"/>
        </w:rPr>
        <w:t xml:space="preserve"> Victorian Government Gazette, (17 March 2011), page 637, gazette G11</w:t>
      </w:r>
    </w:p>
  </w:footnote>
  <w:footnote w:id="157">
    <w:p w:rsidR="000E36A1" w:rsidRPr="004D060C" w:rsidRDefault="000E36A1" w:rsidP="00FB57A1">
      <w:pPr>
        <w:pStyle w:val="FootnoteText"/>
        <w:rPr>
          <w:sz w:val="20"/>
          <w:szCs w:val="20"/>
        </w:rPr>
      </w:pPr>
      <w:r w:rsidRPr="004D060C">
        <w:rPr>
          <w:rStyle w:val="FootnoteReference"/>
          <w:sz w:val="20"/>
          <w:szCs w:val="20"/>
        </w:rPr>
        <w:footnoteRef/>
      </w:r>
      <w:r w:rsidRPr="004D060C">
        <w:rPr>
          <w:sz w:val="20"/>
          <w:szCs w:val="20"/>
        </w:rPr>
        <w:t xml:space="preserve"> </w:t>
      </w:r>
      <w:r w:rsidRPr="004D060C">
        <w:rPr>
          <w:i/>
          <w:sz w:val="20"/>
          <w:szCs w:val="20"/>
        </w:rPr>
        <w:t xml:space="preserve">Racing Act 1958 </w:t>
      </w:r>
      <w:r w:rsidRPr="004D060C">
        <w:rPr>
          <w:sz w:val="20"/>
          <w:szCs w:val="20"/>
        </w:rPr>
        <w:t>(Authorised Version No. 170) 4 May 2016</w:t>
      </w:r>
    </w:p>
  </w:footnote>
  <w:footnote w:id="158">
    <w:p w:rsidR="000E36A1" w:rsidRPr="004D060C" w:rsidRDefault="000E36A1" w:rsidP="00FB57A1">
      <w:pPr>
        <w:pStyle w:val="FootnoteText"/>
        <w:rPr>
          <w:sz w:val="20"/>
          <w:szCs w:val="20"/>
        </w:rPr>
      </w:pPr>
      <w:r w:rsidRPr="004D060C">
        <w:rPr>
          <w:rStyle w:val="FootnoteReference"/>
          <w:sz w:val="20"/>
          <w:szCs w:val="20"/>
        </w:rPr>
        <w:footnoteRef/>
      </w:r>
      <w:r w:rsidRPr="004D060C">
        <w:rPr>
          <w:sz w:val="20"/>
          <w:szCs w:val="20"/>
        </w:rPr>
        <w:t xml:space="preserve"> Greyhound Racing Victoria Local Racing Rules, As at 14 June 2016</w:t>
      </w:r>
    </w:p>
  </w:footnote>
  <w:footnote w:id="159">
    <w:p w:rsidR="000E36A1" w:rsidRPr="004D060C" w:rsidRDefault="000E36A1" w:rsidP="00FB57A1">
      <w:pPr>
        <w:pStyle w:val="FootnoteText"/>
        <w:rPr>
          <w:sz w:val="20"/>
          <w:szCs w:val="20"/>
        </w:rPr>
      </w:pPr>
      <w:r w:rsidRPr="004D060C">
        <w:rPr>
          <w:rStyle w:val="FootnoteReference"/>
          <w:sz w:val="20"/>
          <w:szCs w:val="20"/>
        </w:rPr>
        <w:footnoteRef/>
      </w:r>
      <w:r w:rsidRPr="004D060C">
        <w:rPr>
          <w:sz w:val="20"/>
          <w:szCs w:val="20"/>
        </w:rPr>
        <w:t xml:space="preserve"> Greyhounds Australasia Rules, as Amended by Greyhounds Australasia 01/01/2016 and effective from 01/06/2016</w:t>
      </w:r>
    </w:p>
  </w:footnote>
  <w:footnote w:id="160">
    <w:p w:rsidR="000E36A1" w:rsidRPr="004D060C" w:rsidRDefault="000E36A1" w:rsidP="00FB57A1">
      <w:pPr>
        <w:pStyle w:val="FootnoteText"/>
        <w:rPr>
          <w:sz w:val="20"/>
          <w:szCs w:val="20"/>
        </w:rPr>
      </w:pPr>
      <w:r w:rsidRPr="004D060C">
        <w:rPr>
          <w:rStyle w:val="FootnoteReference"/>
          <w:sz w:val="20"/>
          <w:szCs w:val="20"/>
        </w:rPr>
        <w:footnoteRef/>
      </w:r>
      <w:r w:rsidRPr="004D060C">
        <w:rPr>
          <w:sz w:val="20"/>
          <w:szCs w:val="20"/>
        </w:rPr>
        <w:t xml:space="preserve"> Victorian </w:t>
      </w:r>
      <w:r w:rsidRPr="003A66D3">
        <w:rPr>
          <w:sz w:val="20"/>
          <w:szCs w:val="20"/>
        </w:rPr>
        <w:t xml:space="preserve">Government (2006) </w:t>
      </w:r>
      <w:r w:rsidRPr="003A66D3">
        <w:rPr>
          <w:i/>
          <w:sz w:val="20"/>
          <w:szCs w:val="20"/>
        </w:rPr>
        <w:t>Code</w:t>
      </w:r>
      <w:r w:rsidRPr="004D060C">
        <w:rPr>
          <w:i/>
          <w:sz w:val="20"/>
          <w:szCs w:val="20"/>
        </w:rPr>
        <w:t xml:space="preserve"> of Practice for the Operation of Greyhound Establishments</w:t>
      </w:r>
    </w:p>
  </w:footnote>
  <w:footnote w:id="161">
    <w:p w:rsidR="000E36A1" w:rsidRPr="004B0055" w:rsidRDefault="000E36A1" w:rsidP="008239A8">
      <w:pPr>
        <w:pStyle w:val="FootnoteText"/>
        <w:rPr>
          <w:sz w:val="18"/>
          <w:szCs w:val="18"/>
        </w:rPr>
      </w:pPr>
      <w:r w:rsidRPr="004B0055">
        <w:rPr>
          <w:rStyle w:val="FootnoteReference"/>
          <w:sz w:val="18"/>
          <w:szCs w:val="18"/>
        </w:rPr>
        <w:footnoteRef/>
      </w:r>
      <w:r w:rsidRPr="004B0055">
        <w:rPr>
          <w:sz w:val="18"/>
          <w:szCs w:val="18"/>
        </w:rPr>
        <w:t xml:space="preserve"> Charge out rates assume and on cost multiplier of 1.165 and an overhead cost multiplie</w:t>
      </w:r>
      <w:r>
        <w:rPr>
          <w:sz w:val="18"/>
          <w:szCs w:val="18"/>
        </w:rPr>
        <w:t>r</w:t>
      </w:r>
      <w:r w:rsidRPr="004B0055">
        <w:rPr>
          <w:sz w:val="18"/>
          <w:szCs w:val="18"/>
        </w:rPr>
        <w:t xml:space="preserve"> of 1.5</w:t>
      </w:r>
    </w:p>
  </w:footnote>
  <w:footnote w:id="162">
    <w:p w:rsidR="000E36A1" w:rsidRPr="00363A35" w:rsidRDefault="000E36A1">
      <w:pPr>
        <w:pStyle w:val="FootnoteText"/>
        <w:rPr>
          <w:sz w:val="18"/>
          <w:szCs w:val="18"/>
        </w:rPr>
      </w:pPr>
      <w:r w:rsidRPr="00363A35">
        <w:rPr>
          <w:rStyle w:val="FootnoteReference"/>
          <w:sz w:val="18"/>
          <w:szCs w:val="18"/>
        </w:rPr>
        <w:footnoteRef/>
      </w:r>
      <w:r w:rsidRPr="00363A35">
        <w:rPr>
          <w:sz w:val="18"/>
          <w:szCs w:val="18"/>
        </w:rPr>
        <w:t xml:space="preserve"> See Table 11 in this RIS for source of estimates</w:t>
      </w:r>
    </w:p>
  </w:footnote>
  <w:footnote w:id="163">
    <w:p w:rsidR="000E36A1" w:rsidRPr="00FA5DA3" w:rsidRDefault="000E36A1">
      <w:pPr>
        <w:pStyle w:val="FootnoteText"/>
        <w:rPr>
          <w:sz w:val="18"/>
          <w:szCs w:val="18"/>
        </w:rPr>
      </w:pPr>
      <w:r w:rsidRPr="00FA5DA3">
        <w:rPr>
          <w:rStyle w:val="FootnoteReference"/>
          <w:sz w:val="18"/>
          <w:szCs w:val="18"/>
        </w:rPr>
        <w:footnoteRef/>
      </w:r>
      <w:r w:rsidRPr="00FA5DA3">
        <w:rPr>
          <w:sz w:val="18"/>
          <w:szCs w:val="18"/>
        </w:rPr>
        <w:t xml:space="preserve"> All present value calculations use a real discount rate of 4%</w:t>
      </w:r>
    </w:p>
  </w:footnote>
  <w:footnote w:id="164">
    <w:p w:rsidR="000E36A1" w:rsidRPr="000A52A8" w:rsidRDefault="000E36A1" w:rsidP="000F0143">
      <w:pPr>
        <w:pStyle w:val="FootnoteText"/>
        <w:rPr>
          <w:sz w:val="18"/>
          <w:szCs w:val="18"/>
        </w:rPr>
      </w:pPr>
      <w:r w:rsidRPr="000A52A8">
        <w:rPr>
          <w:rStyle w:val="FootnoteReference"/>
          <w:sz w:val="18"/>
          <w:szCs w:val="18"/>
        </w:rPr>
        <w:footnoteRef/>
      </w:r>
      <w:r w:rsidRPr="000A52A8">
        <w:rPr>
          <w:sz w:val="18"/>
          <w:szCs w:val="18"/>
        </w:rPr>
        <w:t xml:space="preserve"> All estimates provided are rounded </w:t>
      </w:r>
      <w:r>
        <w:rPr>
          <w:sz w:val="18"/>
          <w:szCs w:val="18"/>
        </w:rPr>
        <w:t xml:space="preserve">to whole dollars </w:t>
      </w:r>
      <w:r w:rsidRPr="000A52A8">
        <w:rPr>
          <w:sz w:val="18"/>
          <w:szCs w:val="18"/>
        </w:rPr>
        <w:t>for ease of presentation and therefore subject to rounding error.</w:t>
      </w:r>
    </w:p>
  </w:footnote>
  <w:footnote w:id="165">
    <w:p w:rsidR="000E36A1" w:rsidRPr="00E0608E" w:rsidRDefault="000E36A1">
      <w:pPr>
        <w:pStyle w:val="FootnoteText"/>
        <w:rPr>
          <w:sz w:val="18"/>
          <w:szCs w:val="18"/>
        </w:rPr>
      </w:pPr>
      <w:r w:rsidRPr="00E0608E">
        <w:rPr>
          <w:rStyle w:val="FootnoteReference"/>
          <w:sz w:val="18"/>
          <w:szCs w:val="18"/>
        </w:rPr>
        <w:footnoteRef/>
      </w:r>
      <w:r w:rsidRPr="00E0608E">
        <w:rPr>
          <w:sz w:val="18"/>
          <w:szCs w:val="18"/>
        </w:rPr>
        <w:t xml:space="preserve"> Estimates rounded to whole numbers of ease of presentation and subject to rounding error.</w:t>
      </w:r>
    </w:p>
  </w:footnote>
  <w:footnote w:id="166">
    <w:p w:rsidR="000E36A1" w:rsidRPr="00786432" w:rsidRDefault="000E36A1">
      <w:pPr>
        <w:pStyle w:val="FootnoteText"/>
        <w:rPr>
          <w:sz w:val="18"/>
          <w:szCs w:val="18"/>
        </w:rPr>
      </w:pPr>
      <w:r w:rsidRPr="00786432">
        <w:rPr>
          <w:rStyle w:val="FootnoteReference"/>
          <w:sz w:val="18"/>
          <w:szCs w:val="18"/>
        </w:rPr>
        <w:footnoteRef/>
      </w:r>
      <w:r w:rsidRPr="00786432">
        <w:rPr>
          <w:sz w:val="18"/>
          <w:szCs w:val="18"/>
        </w:rPr>
        <w:t xml:space="preserve"> Estimates rounded to whole numbers of ease of presentation and subject to rounding error.</w:t>
      </w:r>
    </w:p>
  </w:footnote>
  <w:footnote w:id="167">
    <w:p w:rsidR="000E36A1" w:rsidRPr="00CA6884" w:rsidRDefault="000E36A1" w:rsidP="00CA6884">
      <w:pPr>
        <w:pStyle w:val="FootnoteText"/>
        <w:spacing w:before="240"/>
        <w:rPr>
          <w:sz w:val="18"/>
          <w:szCs w:val="18"/>
        </w:rPr>
      </w:pPr>
      <w:r w:rsidRPr="00CA6884">
        <w:rPr>
          <w:rStyle w:val="FootnoteReference"/>
          <w:sz w:val="18"/>
          <w:szCs w:val="18"/>
        </w:rPr>
        <w:footnoteRef/>
      </w:r>
      <w:r w:rsidRPr="00CA6884">
        <w:rPr>
          <w:sz w:val="18"/>
          <w:szCs w:val="18"/>
        </w:rPr>
        <w:t xml:space="preserve"> $65.71 for dishwasher</w:t>
      </w:r>
      <w:r>
        <w:rPr>
          <w:sz w:val="18"/>
          <w:szCs w:val="18"/>
        </w:rPr>
        <w:t xml:space="preserve"> cost per year for 5 dogs (see </w:t>
      </w:r>
      <w:r w:rsidRPr="00CA6884">
        <w:rPr>
          <w:sz w:val="18"/>
          <w:szCs w:val="18"/>
        </w:rPr>
        <w:t>http://energyusecalculator.com/electricity_dishwasher.htm</w:t>
      </w:r>
      <w:r>
        <w:rPr>
          <w:sz w:val="18"/>
          <w:szCs w:val="18"/>
        </w:rPr>
        <w:t>)</w:t>
      </w:r>
    </w:p>
  </w:footnote>
  <w:footnote w:id="168">
    <w:p w:rsidR="000E36A1" w:rsidRPr="004506D7" w:rsidRDefault="000E36A1">
      <w:pPr>
        <w:pStyle w:val="FootnoteText"/>
        <w:rPr>
          <w:sz w:val="18"/>
          <w:szCs w:val="18"/>
        </w:rPr>
      </w:pPr>
      <w:r w:rsidRPr="004506D7">
        <w:rPr>
          <w:rStyle w:val="FootnoteReference"/>
          <w:sz w:val="18"/>
          <w:szCs w:val="18"/>
        </w:rPr>
        <w:footnoteRef/>
      </w:r>
      <w:r w:rsidRPr="004506D7">
        <w:rPr>
          <w:sz w:val="18"/>
          <w:szCs w:val="18"/>
        </w:rPr>
        <w:t xml:space="preserve"> All estimates are rounded for ease of presentation and therefore subject to rounding error</w:t>
      </w:r>
    </w:p>
  </w:footnote>
  <w:footnote w:id="169">
    <w:p w:rsidR="000E36A1" w:rsidRPr="002B361B" w:rsidRDefault="000E36A1">
      <w:pPr>
        <w:pStyle w:val="FootnoteText"/>
        <w:rPr>
          <w:sz w:val="18"/>
          <w:szCs w:val="18"/>
        </w:rPr>
      </w:pPr>
      <w:r w:rsidRPr="002B361B">
        <w:rPr>
          <w:rStyle w:val="FootnoteReference"/>
          <w:sz w:val="18"/>
          <w:szCs w:val="18"/>
        </w:rPr>
        <w:footnoteRef/>
      </w:r>
      <w:r w:rsidRPr="002B361B">
        <w:rPr>
          <w:sz w:val="18"/>
          <w:szCs w:val="18"/>
        </w:rPr>
        <w:t xml:space="preserve"> Calculated as 4,068 dogs whelped and an average of 6.5 dogs per litter = 626 dogs)</w:t>
      </w:r>
    </w:p>
  </w:footnote>
  <w:footnote w:id="170">
    <w:p w:rsidR="000E36A1" w:rsidRPr="002B361B" w:rsidRDefault="000E36A1">
      <w:pPr>
        <w:pStyle w:val="FootnoteText"/>
        <w:rPr>
          <w:sz w:val="18"/>
          <w:szCs w:val="18"/>
        </w:rPr>
      </w:pPr>
      <w:r w:rsidRPr="002B361B">
        <w:rPr>
          <w:rStyle w:val="FootnoteReference"/>
          <w:sz w:val="18"/>
          <w:szCs w:val="18"/>
        </w:rPr>
        <w:footnoteRef/>
      </w:r>
      <w:r w:rsidRPr="002B361B">
        <w:rPr>
          <w:sz w:val="18"/>
          <w:szCs w:val="18"/>
        </w:rPr>
        <w:t xml:space="preserve"> 58 large breeders out of 542 total breeders</w:t>
      </w:r>
      <w:r>
        <w:rPr>
          <w:sz w:val="18"/>
          <w:szCs w:val="18"/>
        </w:rPr>
        <w:t xml:space="preserve"> (see Table 4)</w:t>
      </w:r>
    </w:p>
  </w:footnote>
  <w:footnote w:id="171">
    <w:p w:rsidR="000E36A1" w:rsidRPr="00A8083C" w:rsidRDefault="000E36A1">
      <w:pPr>
        <w:pStyle w:val="FootnoteText"/>
        <w:rPr>
          <w:sz w:val="18"/>
          <w:szCs w:val="18"/>
        </w:rPr>
      </w:pPr>
      <w:r w:rsidRPr="00A8083C">
        <w:rPr>
          <w:rStyle w:val="FootnoteReference"/>
          <w:sz w:val="18"/>
          <w:szCs w:val="18"/>
        </w:rPr>
        <w:footnoteRef/>
      </w:r>
      <w:r w:rsidRPr="00A8083C">
        <w:rPr>
          <w:sz w:val="18"/>
          <w:szCs w:val="18"/>
        </w:rPr>
        <w:t xml:space="preserve"> 484 small breeders out of 542 breeders (See Table 4)</w:t>
      </w:r>
    </w:p>
  </w:footnote>
  <w:footnote w:id="172">
    <w:p w:rsidR="000E36A1" w:rsidRPr="002B361B" w:rsidRDefault="000E36A1" w:rsidP="00AC2CB7">
      <w:pPr>
        <w:pStyle w:val="FootnoteText"/>
        <w:rPr>
          <w:sz w:val="18"/>
          <w:szCs w:val="18"/>
        </w:rPr>
      </w:pPr>
      <w:r w:rsidRPr="002B361B">
        <w:rPr>
          <w:rStyle w:val="FootnoteReference"/>
          <w:sz w:val="18"/>
          <w:szCs w:val="18"/>
        </w:rPr>
        <w:footnoteRef/>
      </w:r>
      <w:r w:rsidRPr="002B361B">
        <w:rPr>
          <w:sz w:val="18"/>
          <w:szCs w:val="18"/>
        </w:rPr>
        <w:t xml:space="preserve"> </w:t>
      </w:r>
      <w:r>
        <w:rPr>
          <w:sz w:val="18"/>
          <w:szCs w:val="18"/>
        </w:rPr>
        <w:t>Based on GRV data</w:t>
      </w:r>
    </w:p>
  </w:footnote>
  <w:footnote w:id="173">
    <w:p w:rsidR="000E36A1" w:rsidRPr="002B361B" w:rsidRDefault="000E36A1" w:rsidP="00AC2CB7">
      <w:pPr>
        <w:pStyle w:val="FootnoteText"/>
        <w:rPr>
          <w:sz w:val="18"/>
          <w:szCs w:val="18"/>
        </w:rPr>
      </w:pPr>
      <w:r w:rsidRPr="002B361B">
        <w:rPr>
          <w:rStyle w:val="FootnoteReference"/>
          <w:sz w:val="18"/>
          <w:szCs w:val="18"/>
        </w:rPr>
        <w:footnoteRef/>
      </w:r>
      <w:r w:rsidRPr="002B361B">
        <w:rPr>
          <w:sz w:val="18"/>
          <w:szCs w:val="18"/>
        </w:rPr>
        <w:t xml:space="preserve"> 58 large breeders out of 542 total breeders</w:t>
      </w:r>
      <w:r>
        <w:rPr>
          <w:sz w:val="18"/>
          <w:szCs w:val="18"/>
        </w:rPr>
        <w:t xml:space="preserve"> (see Table 4)</w:t>
      </w:r>
    </w:p>
  </w:footnote>
  <w:footnote w:id="174">
    <w:p w:rsidR="000E36A1" w:rsidRPr="00A8083C" w:rsidRDefault="000E36A1" w:rsidP="00AC2CB7">
      <w:pPr>
        <w:pStyle w:val="FootnoteText"/>
        <w:rPr>
          <w:sz w:val="18"/>
          <w:szCs w:val="18"/>
        </w:rPr>
      </w:pPr>
      <w:r w:rsidRPr="00A8083C">
        <w:rPr>
          <w:rStyle w:val="FootnoteReference"/>
          <w:sz w:val="18"/>
          <w:szCs w:val="18"/>
        </w:rPr>
        <w:footnoteRef/>
      </w:r>
      <w:r w:rsidRPr="00A8083C">
        <w:rPr>
          <w:sz w:val="18"/>
          <w:szCs w:val="18"/>
        </w:rPr>
        <w:t xml:space="preserve"> 484 small breeders out of 542 breeders (See Table 4)</w:t>
      </w:r>
    </w:p>
  </w:footnote>
  <w:footnote w:id="175">
    <w:p w:rsidR="000E36A1" w:rsidRPr="002B361B" w:rsidRDefault="000E36A1" w:rsidP="005374C1">
      <w:pPr>
        <w:pStyle w:val="FootnoteText"/>
        <w:rPr>
          <w:sz w:val="18"/>
          <w:szCs w:val="18"/>
        </w:rPr>
      </w:pPr>
      <w:r w:rsidRPr="002B361B">
        <w:rPr>
          <w:rStyle w:val="FootnoteReference"/>
          <w:sz w:val="18"/>
          <w:szCs w:val="18"/>
        </w:rPr>
        <w:footnoteRef/>
      </w:r>
      <w:r w:rsidRPr="002B361B">
        <w:rPr>
          <w:sz w:val="18"/>
          <w:szCs w:val="18"/>
        </w:rPr>
        <w:t xml:space="preserve"> </w:t>
      </w:r>
      <w:r>
        <w:rPr>
          <w:sz w:val="18"/>
          <w:szCs w:val="18"/>
        </w:rPr>
        <w:t>Based on GRV data</w:t>
      </w:r>
    </w:p>
  </w:footnote>
  <w:footnote w:id="176">
    <w:p w:rsidR="000E36A1" w:rsidRPr="002B361B" w:rsidRDefault="000E36A1" w:rsidP="005374C1">
      <w:pPr>
        <w:pStyle w:val="FootnoteText"/>
        <w:rPr>
          <w:sz w:val="18"/>
          <w:szCs w:val="18"/>
        </w:rPr>
      </w:pPr>
      <w:r w:rsidRPr="002B361B">
        <w:rPr>
          <w:rStyle w:val="FootnoteReference"/>
          <w:sz w:val="18"/>
          <w:szCs w:val="18"/>
        </w:rPr>
        <w:footnoteRef/>
      </w:r>
      <w:r w:rsidRPr="002B361B">
        <w:rPr>
          <w:sz w:val="18"/>
          <w:szCs w:val="18"/>
        </w:rPr>
        <w:t xml:space="preserve"> 58 large breeders out of 542 total breeders</w:t>
      </w:r>
      <w:r>
        <w:rPr>
          <w:sz w:val="18"/>
          <w:szCs w:val="18"/>
        </w:rPr>
        <w:t xml:space="preserve"> (see Table 4)</w:t>
      </w:r>
    </w:p>
  </w:footnote>
  <w:footnote w:id="177">
    <w:p w:rsidR="000E36A1" w:rsidRPr="00A8083C" w:rsidRDefault="000E36A1" w:rsidP="005374C1">
      <w:pPr>
        <w:pStyle w:val="FootnoteText"/>
        <w:rPr>
          <w:sz w:val="18"/>
          <w:szCs w:val="18"/>
        </w:rPr>
      </w:pPr>
      <w:r w:rsidRPr="00A8083C">
        <w:rPr>
          <w:rStyle w:val="FootnoteReference"/>
          <w:sz w:val="18"/>
          <w:szCs w:val="18"/>
        </w:rPr>
        <w:footnoteRef/>
      </w:r>
      <w:r w:rsidRPr="00A8083C">
        <w:rPr>
          <w:sz w:val="18"/>
          <w:szCs w:val="18"/>
        </w:rPr>
        <w:t xml:space="preserve"> 484 small breeders out of 542 breeders (See Table 4)</w:t>
      </w:r>
    </w:p>
  </w:footnote>
  <w:footnote w:id="178">
    <w:p w:rsidR="000E36A1" w:rsidRPr="003C40A5" w:rsidRDefault="000E36A1">
      <w:pPr>
        <w:pStyle w:val="FootnoteText"/>
        <w:rPr>
          <w:sz w:val="18"/>
          <w:szCs w:val="18"/>
        </w:rPr>
      </w:pPr>
      <w:r w:rsidRPr="003C40A5">
        <w:rPr>
          <w:rStyle w:val="FootnoteReference"/>
          <w:sz w:val="18"/>
          <w:szCs w:val="18"/>
        </w:rPr>
        <w:footnoteRef/>
      </w:r>
      <w:r w:rsidRPr="003C40A5">
        <w:rPr>
          <w:sz w:val="18"/>
          <w:szCs w:val="18"/>
        </w:rPr>
        <w:t xml:space="preserve"> 255 large trainers out of 1,705 total trainers (see Table 4)</w:t>
      </w:r>
    </w:p>
  </w:footnote>
  <w:footnote w:id="179">
    <w:p w:rsidR="000E36A1" w:rsidRPr="003C40A5" w:rsidRDefault="000E36A1">
      <w:pPr>
        <w:pStyle w:val="FootnoteText"/>
        <w:rPr>
          <w:sz w:val="18"/>
          <w:szCs w:val="18"/>
        </w:rPr>
      </w:pPr>
      <w:r w:rsidRPr="003C40A5">
        <w:rPr>
          <w:rStyle w:val="FootnoteReference"/>
          <w:sz w:val="18"/>
          <w:szCs w:val="18"/>
        </w:rPr>
        <w:footnoteRef/>
      </w:r>
      <w:r w:rsidRPr="003C40A5">
        <w:rPr>
          <w:sz w:val="18"/>
          <w:szCs w:val="18"/>
        </w:rPr>
        <w:t xml:space="preserve"> 1,449 small trainers out of 1,705 total trainers (see Table 4)</w:t>
      </w:r>
    </w:p>
  </w:footnote>
  <w:footnote w:id="180">
    <w:p w:rsidR="000E36A1" w:rsidRPr="00462118" w:rsidRDefault="000E36A1">
      <w:pPr>
        <w:pStyle w:val="FootnoteText"/>
        <w:rPr>
          <w:sz w:val="18"/>
          <w:szCs w:val="18"/>
        </w:rPr>
      </w:pPr>
      <w:r w:rsidRPr="00462118">
        <w:rPr>
          <w:rStyle w:val="FootnoteReference"/>
          <w:sz w:val="18"/>
          <w:szCs w:val="18"/>
        </w:rPr>
        <w:footnoteRef/>
      </w:r>
      <w:r w:rsidRPr="00462118">
        <w:rPr>
          <w:sz w:val="18"/>
          <w:szCs w:val="18"/>
        </w:rPr>
        <w:t xml:space="preserve"> Calculated as</w:t>
      </w:r>
      <w:r>
        <w:rPr>
          <w:sz w:val="18"/>
          <w:szCs w:val="18"/>
        </w:rPr>
        <w:t>:</w:t>
      </w:r>
      <w:r w:rsidRPr="00462118">
        <w:rPr>
          <w:sz w:val="18"/>
          <w:szCs w:val="18"/>
        </w:rPr>
        <w:t xml:space="preserve"> 2.69%</w:t>
      </w:r>
      <w:r>
        <w:rPr>
          <w:sz w:val="18"/>
          <w:szCs w:val="18"/>
        </w:rPr>
        <w:t xml:space="preserve"> </w:t>
      </w:r>
      <w:r w:rsidRPr="00462118">
        <w:rPr>
          <w:sz w:val="18"/>
          <w:szCs w:val="18"/>
        </w:rPr>
        <w:t>(incremental change in behaviour of Option 1 compared to the base case</w:t>
      </w:r>
      <w:r>
        <w:rPr>
          <w:sz w:val="18"/>
          <w:szCs w:val="18"/>
        </w:rPr>
        <w:t>)</w:t>
      </w:r>
      <w:r w:rsidRPr="00462118">
        <w:rPr>
          <w:sz w:val="18"/>
          <w:szCs w:val="18"/>
        </w:rPr>
        <w:t xml:space="preserve"> /67.69% (incremental change in behaviour of Option 3 compared to the base case) x the change in % of dogs not going to GAP under Option 3 (i.e. 76.20% which is based on advice from DEDJTR = drop from 84.2% under the base case (See Panel A4.3) to 8% under Option 3 (See Panel A4.4)</w:t>
      </w:r>
      <w:r>
        <w:rPr>
          <w:sz w:val="18"/>
          <w:szCs w:val="18"/>
        </w:rPr>
        <w:t>)</w:t>
      </w:r>
    </w:p>
  </w:footnote>
  <w:footnote w:id="181">
    <w:p w:rsidR="000E36A1" w:rsidRPr="00462118" w:rsidRDefault="000E36A1">
      <w:pPr>
        <w:pStyle w:val="FootnoteText"/>
        <w:rPr>
          <w:sz w:val="18"/>
          <w:szCs w:val="18"/>
        </w:rPr>
      </w:pPr>
      <w:r w:rsidRPr="00462118">
        <w:rPr>
          <w:rStyle w:val="FootnoteReference"/>
          <w:sz w:val="18"/>
          <w:szCs w:val="18"/>
        </w:rPr>
        <w:footnoteRef/>
      </w:r>
      <w:r w:rsidRPr="00462118">
        <w:rPr>
          <w:sz w:val="18"/>
          <w:szCs w:val="18"/>
        </w:rPr>
        <w:t xml:space="preserve"> Calculated as</w:t>
      </w:r>
      <w:r>
        <w:rPr>
          <w:sz w:val="18"/>
          <w:szCs w:val="18"/>
        </w:rPr>
        <w:t xml:space="preserve">: </w:t>
      </w:r>
      <w:r w:rsidRPr="00462118">
        <w:rPr>
          <w:sz w:val="18"/>
          <w:szCs w:val="18"/>
        </w:rPr>
        <w:t>17.69%</w:t>
      </w:r>
      <w:r>
        <w:rPr>
          <w:sz w:val="18"/>
          <w:szCs w:val="18"/>
        </w:rPr>
        <w:t xml:space="preserve"> </w:t>
      </w:r>
      <w:r w:rsidRPr="00462118">
        <w:rPr>
          <w:sz w:val="18"/>
          <w:szCs w:val="18"/>
        </w:rPr>
        <w:t>(incremental change in behaviour of Option 2 compared to the base case</w:t>
      </w:r>
      <w:r>
        <w:rPr>
          <w:sz w:val="18"/>
          <w:szCs w:val="18"/>
        </w:rPr>
        <w:t>)</w:t>
      </w:r>
      <w:r w:rsidRPr="00462118">
        <w:rPr>
          <w:sz w:val="18"/>
          <w:szCs w:val="18"/>
        </w:rPr>
        <w:t xml:space="preserve"> /67.69% x the change in % of dogs not going to GAP under Option 3 (i.e. 76.20%)</w:t>
      </w:r>
    </w:p>
  </w:footnote>
  <w:footnote w:id="182">
    <w:p w:rsidR="000E36A1" w:rsidRPr="00C357B6" w:rsidRDefault="000E36A1">
      <w:pPr>
        <w:pStyle w:val="FootnoteText"/>
        <w:rPr>
          <w:sz w:val="20"/>
          <w:szCs w:val="20"/>
        </w:rPr>
      </w:pPr>
      <w:r w:rsidRPr="00C357B6">
        <w:rPr>
          <w:rStyle w:val="FootnoteReference"/>
          <w:sz w:val="18"/>
          <w:szCs w:val="20"/>
        </w:rPr>
        <w:footnoteRef/>
      </w:r>
      <w:r w:rsidRPr="00C357B6">
        <w:rPr>
          <w:sz w:val="18"/>
          <w:szCs w:val="20"/>
        </w:rPr>
        <w:t xml:space="preserve"> Calculated as 84.2% of dogs under the base case not going to GAP less the drop under Option 3 of 76.2% based on DEDJTR advice.</w:t>
      </w:r>
    </w:p>
  </w:footnote>
  <w:footnote w:id="183">
    <w:p w:rsidR="000E36A1" w:rsidRPr="00462118" w:rsidRDefault="000E36A1">
      <w:pPr>
        <w:pStyle w:val="FootnoteText"/>
        <w:rPr>
          <w:sz w:val="18"/>
          <w:szCs w:val="18"/>
        </w:rPr>
      </w:pPr>
      <w:r w:rsidRPr="00462118">
        <w:rPr>
          <w:rStyle w:val="FootnoteReference"/>
          <w:sz w:val="18"/>
          <w:szCs w:val="18"/>
        </w:rPr>
        <w:footnoteRef/>
      </w:r>
      <w:r w:rsidRPr="00462118">
        <w:rPr>
          <w:sz w:val="18"/>
          <w:szCs w:val="18"/>
        </w:rPr>
        <w:t xml:space="preserve"> Calculated a</w:t>
      </w:r>
      <w:r>
        <w:rPr>
          <w:sz w:val="18"/>
          <w:szCs w:val="18"/>
        </w:rPr>
        <w:t>s:</w:t>
      </w:r>
      <w:r w:rsidRPr="00462118">
        <w:rPr>
          <w:sz w:val="18"/>
          <w:szCs w:val="18"/>
        </w:rPr>
        <w:t xml:space="preserve"> </w:t>
      </w:r>
      <w:r>
        <w:rPr>
          <w:sz w:val="18"/>
          <w:szCs w:val="18"/>
        </w:rPr>
        <w:t>42</w:t>
      </w:r>
      <w:r w:rsidRPr="00462118">
        <w:rPr>
          <w:sz w:val="18"/>
          <w:szCs w:val="18"/>
        </w:rPr>
        <w:t>.69%</w:t>
      </w:r>
      <w:r>
        <w:rPr>
          <w:sz w:val="18"/>
          <w:szCs w:val="18"/>
        </w:rPr>
        <w:t xml:space="preserve"> </w:t>
      </w:r>
      <w:r w:rsidRPr="00462118">
        <w:rPr>
          <w:sz w:val="18"/>
          <w:szCs w:val="18"/>
        </w:rPr>
        <w:t>(incremental change in behaviour of</w:t>
      </w:r>
      <w:r>
        <w:rPr>
          <w:sz w:val="18"/>
          <w:szCs w:val="18"/>
        </w:rPr>
        <w:t xml:space="preserve"> Option 4</w:t>
      </w:r>
      <w:r w:rsidRPr="00462118">
        <w:rPr>
          <w:sz w:val="18"/>
          <w:szCs w:val="18"/>
        </w:rPr>
        <w:t xml:space="preserve"> compared to the base case</w:t>
      </w:r>
      <w:r>
        <w:rPr>
          <w:sz w:val="18"/>
          <w:szCs w:val="18"/>
        </w:rPr>
        <w:t>)</w:t>
      </w:r>
      <w:r w:rsidRPr="00462118">
        <w:rPr>
          <w:sz w:val="18"/>
          <w:szCs w:val="18"/>
        </w:rPr>
        <w:t xml:space="preserve"> /67.69% x the change in % of dogs not going to GAP under Option 3 (i.e. </w:t>
      </w:r>
      <w:r>
        <w:rPr>
          <w:sz w:val="18"/>
          <w:szCs w:val="18"/>
        </w:rPr>
        <w:t>76.20%</w:t>
      </w:r>
      <w:r w:rsidRPr="00462118">
        <w:rPr>
          <w:sz w:val="18"/>
          <w:szCs w:val="18"/>
        </w:rPr>
        <w:t>)</w:t>
      </w:r>
    </w:p>
  </w:footnote>
  <w:footnote w:id="184">
    <w:p w:rsidR="000E36A1" w:rsidRPr="00462118" w:rsidRDefault="000E36A1" w:rsidP="002C7707">
      <w:pPr>
        <w:pStyle w:val="FootnoteText"/>
        <w:rPr>
          <w:sz w:val="18"/>
          <w:szCs w:val="18"/>
        </w:rPr>
      </w:pPr>
      <w:r w:rsidRPr="00462118">
        <w:rPr>
          <w:rStyle w:val="FootnoteReference"/>
          <w:sz w:val="18"/>
          <w:szCs w:val="18"/>
        </w:rPr>
        <w:footnoteRef/>
      </w:r>
      <w:r>
        <w:rPr>
          <w:sz w:val="18"/>
          <w:szCs w:val="18"/>
        </w:rPr>
        <w:t xml:space="preserve"> </w:t>
      </w:r>
      <w:r w:rsidRPr="0050038E">
        <w:rPr>
          <w:sz w:val="18"/>
          <w:szCs w:val="20"/>
        </w:rPr>
        <w:t xml:space="preserve">Calculated as 84.2% of dogs under the base case not going to GAP </w:t>
      </w:r>
      <w:r>
        <w:rPr>
          <w:sz w:val="18"/>
          <w:szCs w:val="20"/>
        </w:rPr>
        <w:t>less 38.10% (i.e. half the drop under Option 3 of 76.2% reflecting a 50% reduction in rearing time under Option 6 as compared with Option 3)</w:t>
      </w:r>
    </w:p>
  </w:footnote>
  <w:footnote w:id="185">
    <w:p w:rsidR="000E36A1" w:rsidRPr="00BF6BE2" w:rsidRDefault="000E36A1">
      <w:pPr>
        <w:pStyle w:val="FootnoteText"/>
        <w:rPr>
          <w:sz w:val="18"/>
          <w:szCs w:val="18"/>
        </w:rPr>
      </w:pPr>
      <w:r w:rsidRPr="00BF6BE2">
        <w:rPr>
          <w:rStyle w:val="FootnoteReference"/>
          <w:sz w:val="18"/>
          <w:szCs w:val="18"/>
        </w:rPr>
        <w:footnoteRef/>
      </w:r>
      <w:r w:rsidRPr="00BF6BE2">
        <w:rPr>
          <w:sz w:val="18"/>
          <w:szCs w:val="18"/>
        </w:rPr>
        <w:t xml:space="preserve"> This combines the participants with dogs under their care for the 1 to 5 dog and 6 to 10 dog categories in Table 4.</w:t>
      </w:r>
    </w:p>
  </w:footnote>
  <w:footnote w:id="186">
    <w:p w:rsidR="000E36A1" w:rsidRPr="00577280" w:rsidRDefault="000E36A1">
      <w:pPr>
        <w:pStyle w:val="FootnoteText"/>
        <w:rPr>
          <w:sz w:val="18"/>
          <w:szCs w:val="18"/>
        </w:rPr>
      </w:pPr>
      <w:r w:rsidRPr="00577280">
        <w:rPr>
          <w:rStyle w:val="FootnoteReference"/>
          <w:sz w:val="18"/>
          <w:szCs w:val="18"/>
        </w:rPr>
        <w:footnoteRef/>
      </w:r>
      <w:r w:rsidRPr="00577280">
        <w:rPr>
          <w:sz w:val="18"/>
          <w:szCs w:val="18"/>
        </w:rPr>
        <w:t xml:space="preserve"> Based on advice from DEDJTR</w:t>
      </w:r>
    </w:p>
  </w:footnote>
  <w:footnote w:id="187">
    <w:p w:rsidR="000E36A1" w:rsidRPr="00577280" w:rsidRDefault="000E36A1">
      <w:pPr>
        <w:pStyle w:val="FootnoteText"/>
        <w:rPr>
          <w:sz w:val="18"/>
          <w:szCs w:val="18"/>
        </w:rPr>
      </w:pPr>
      <w:r w:rsidRPr="00577280">
        <w:rPr>
          <w:rStyle w:val="FootnoteReference"/>
          <w:sz w:val="18"/>
          <w:szCs w:val="18"/>
        </w:rPr>
        <w:footnoteRef/>
      </w:r>
      <w:r w:rsidRPr="00577280">
        <w:rPr>
          <w:sz w:val="18"/>
          <w:szCs w:val="18"/>
        </w:rPr>
        <w:t xml:space="preserve"> Based on advice from DEDJTR</w:t>
      </w:r>
    </w:p>
  </w:footnote>
  <w:footnote w:id="188">
    <w:p w:rsidR="000E36A1" w:rsidRPr="002B361B" w:rsidRDefault="000E36A1" w:rsidP="00F0121C">
      <w:pPr>
        <w:pStyle w:val="FootnoteText"/>
        <w:rPr>
          <w:sz w:val="18"/>
          <w:szCs w:val="18"/>
        </w:rPr>
      </w:pPr>
      <w:r w:rsidRPr="002B361B">
        <w:rPr>
          <w:rStyle w:val="FootnoteReference"/>
          <w:sz w:val="18"/>
          <w:szCs w:val="18"/>
        </w:rPr>
        <w:footnoteRef/>
      </w:r>
      <w:r w:rsidRPr="002B361B">
        <w:rPr>
          <w:sz w:val="18"/>
          <w:szCs w:val="18"/>
        </w:rPr>
        <w:t xml:space="preserve"> </w:t>
      </w:r>
      <w:r>
        <w:rPr>
          <w:sz w:val="18"/>
          <w:szCs w:val="18"/>
        </w:rPr>
        <w:t>Based on GRV data</w:t>
      </w:r>
    </w:p>
  </w:footnote>
  <w:footnote w:id="189">
    <w:p w:rsidR="000E36A1" w:rsidRPr="002B361B" w:rsidRDefault="000E36A1" w:rsidP="00F0121C">
      <w:pPr>
        <w:pStyle w:val="FootnoteText"/>
        <w:rPr>
          <w:sz w:val="18"/>
          <w:szCs w:val="18"/>
        </w:rPr>
      </w:pPr>
      <w:r w:rsidRPr="002B361B">
        <w:rPr>
          <w:rStyle w:val="FootnoteReference"/>
          <w:sz w:val="18"/>
          <w:szCs w:val="18"/>
        </w:rPr>
        <w:footnoteRef/>
      </w:r>
      <w:r w:rsidRPr="002B361B">
        <w:rPr>
          <w:sz w:val="18"/>
          <w:szCs w:val="18"/>
        </w:rPr>
        <w:t xml:space="preserve"> 58 large breeders out of 542 total breeders</w:t>
      </w:r>
      <w:r>
        <w:rPr>
          <w:sz w:val="18"/>
          <w:szCs w:val="18"/>
        </w:rPr>
        <w:t xml:space="preserve"> (see Table 4)</w:t>
      </w:r>
    </w:p>
  </w:footnote>
  <w:footnote w:id="190">
    <w:p w:rsidR="000E36A1" w:rsidRPr="00A8083C" w:rsidRDefault="000E36A1" w:rsidP="00F0121C">
      <w:pPr>
        <w:pStyle w:val="FootnoteText"/>
        <w:rPr>
          <w:sz w:val="18"/>
          <w:szCs w:val="18"/>
        </w:rPr>
      </w:pPr>
      <w:r w:rsidRPr="00A8083C">
        <w:rPr>
          <w:rStyle w:val="FootnoteReference"/>
          <w:sz w:val="18"/>
          <w:szCs w:val="18"/>
        </w:rPr>
        <w:footnoteRef/>
      </w:r>
      <w:r w:rsidRPr="00A8083C">
        <w:rPr>
          <w:sz w:val="18"/>
          <w:szCs w:val="18"/>
        </w:rPr>
        <w:t xml:space="preserve"> 484 small breeders out of 542 breeders (See Table 4)</w:t>
      </w:r>
    </w:p>
  </w:footnote>
  <w:footnote w:id="191">
    <w:p w:rsidR="000E36A1" w:rsidRPr="003C40A5" w:rsidRDefault="000E36A1" w:rsidP="00F0121C">
      <w:pPr>
        <w:pStyle w:val="FootnoteText"/>
        <w:rPr>
          <w:sz w:val="18"/>
          <w:szCs w:val="18"/>
        </w:rPr>
      </w:pPr>
      <w:r w:rsidRPr="003C40A5">
        <w:rPr>
          <w:rStyle w:val="FootnoteReference"/>
          <w:sz w:val="18"/>
          <w:szCs w:val="18"/>
        </w:rPr>
        <w:footnoteRef/>
      </w:r>
      <w:r w:rsidRPr="003C40A5">
        <w:rPr>
          <w:sz w:val="18"/>
          <w:szCs w:val="18"/>
        </w:rPr>
        <w:t xml:space="preserve"> 255 large trainers out of 1,705 total trainers (see Table 4)</w:t>
      </w:r>
    </w:p>
  </w:footnote>
  <w:footnote w:id="192">
    <w:p w:rsidR="000E36A1" w:rsidRPr="003C40A5" w:rsidRDefault="000E36A1" w:rsidP="00F0121C">
      <w:pPr>
        <w:pStyle w:val="FootnoteText"/>
        <w:rPr>
          <w:sz w:val="18"/>
          <w:szCs w:val="18"/>
        </w:rPr>
      </w:pPr>
      <w:r w:rsidRPr="003C40A5">
        <w:rPr>
          <w:rStyle w:val="FootnoteReference"/>
          <w:sz w:val="18"/>
          <w:szCs w:val="18"/>
        </w:rPr>
        <w:footnoteRef/>
      </w:r>
      <w:r w:rsidRPr="003C40A5">
        <w:rPr>
          <w:sz w:val="18"/>
          <w:szCs w:val="18"/>
        </w:rPr>
        <w:t xml:space="preserve"> 1,449 small trainers out of 1,705 total trainers (see Table 4)</w:t>
      </w:r>
    </w:p>
  </w:footnote>
  <w:footnote w:id="193">
    <w:p w:rsidR="000E36A1" w:rsidRPr="006D3AE0" w:rsidRDefault="000E36A1">
      <w:pPr>
        <w:pStyle w:val="FootnoteText"/>
        <w:rPr>
          <w:sz w:val="18"/>
          <w:szCs w:val="18"/>
        </w:rPr>
      </w:pPr>
      <w:r w:rsidRPr="006D3AE0">
        <w:rPr>
          <w:rStyle w:val="FootnoteReference"/>
          <w:sz w:val="18"/>
          <w:szCs w:val="18"/>
        </w:rPr>
        <w:footnoteRef/>
      </w:r>
      <w:r w:rsidRPr="006D3AE0">
        <w:rPr>
          <w:sz w:val="18"/>
          <w:szCs w:val="18"/>
        </w:rPr>
        <w:t xml:space="preserve"> </w:t>
      </w:r>
      <w:r>
        <w:rPr>
          <w:sz w:val="18"/>
          <w:szCs w:val="18"/>
        </w:rPr>
        <w:t>S</w:t>
      </w:r>
      <w:r w:rsidRPr="006D3AE0">
        <w:rPr>
          <w:sz w:val="18"/>
          <w:szCs w:val="18"/>
        </w:rPr>
        <w:t>ee Table 5 for estimates</w:t>
      </w:r>
    </w:p>
  </w:footnote>
  <w:footnote w:id="194">
    <w:p w:rsidR="000E36A1" w:rsidRPr="003C40A5" w:rsidRDefault="000E36A1" w:rsidP="006D3AE0">
      <w:pPr>
        <w:pStyle w:val="FootnoteText"/>
        <w:rPr>
          <w:sz w:val="18"/>
          <w:szCs w:val="18"/>
        </w:rPr>
      </w:pPr>
      <w:r w:rsidRPr="003C40A5">
        <w:rPr>
          <w:rStyle w:val="FootnoteReference"/>
          <w:sz w:val="18"/>
          <w:szCs w:val="18"/>
        </w:rPr>
        <w:footnoteRef/>
      </w:r>
      <w:r w:rsidRPr="003C40A5">
        <w:rPr>
          <w:sz w:val="18"/>
          <w:szCs w:val="18"/>
        </w:rPr>
        <w:t xml:space="preserve"> 255 large trainers out of 1,705 total trainers (see Table 4)</w:t>
      </w:r>
    </w:p>
  </w:footnote>
  <w:footnote w:id="195">
    <w:p w:rsidR="000E36A1" w:rsidRPr="003C40A5" w:rsidRDefault="000E36A1" w:rsidP="006D3AE0">
      <w:pPr>
        <w:pStyle w:val="FootnoteText"/>
        <w:rPr>
          <w:sz w:val="18"/>
          <w:szCs w:val="18"/>
        </w:rPr>
      </w:pPr>
      <w:r w:rsidRPr="003C40A5">
        <w:rPr>
          <w:rStyle w:val="FootnoteReference"/>
          <w:sz w:val="18"/>
          <w:szCs w:val="18"/>
        </w:rPr>
        <w:footnoteRef/>
      </w:r>
      <w:r w:rsidRPr="003C40A5">
        <w:rPr>
          <w:sz w:val="18"/>
          <w:szCs w:val="18"/>
        </w:rPr>
        <w:t xml:space="preserve"> 1,449 small trainers out of 1,705 total trainers (see Table 4)</w:t>
      </w:r>
    </w:p>
  </w:footnote>
  <w:footnote w:id="196">
    <w:p w:rsidR="000E36A1" w:rsidRPr="00577280" w:rsidRDefault="000E36A1">
      <w:pPr>
        <w:pStyle w:val="FootnoteText"/>
        <w:rPr>
          <w:sz w:val="18"/>
          <w:szCs w:val="18"/>
        </w:rPr>
      </w:pPr>
      <w:r w:rsidRPr="00577280">
        <w:rPr>
          <w:rStyle w:val="FootnoteReference"/>
          <w:sz w:val="18"/>
          <w:szCs w:val="18"/>
        </w:rPr>
        <w:footnoteRef/>
      </w:r>
      <w:r w:rsidRPr="00577280">
        <w:rPr>
          <w:sz w:val="18"/>
          <w:szCs w:val="18"/>
        </w:rPr>
        <w:t xml:space="preserve"> Based on advice from DEDJTR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36A1" w:rsidRDefault="000E36A1" w:rsidP="00D14D52">
    <w:pPr>
      <w:pStyle w:val="Header"/>
    </w:pPr>
    <w:r>
      <w:rPr>
        <w:noProof/>
        <w:lang w:eastAsia="en-AU"/>
      </w:rPr>
      <mc:AlternateContent>
        <mc:Choice Requires="wps">
          <w:drawing>
            <wp:anchor distT="0" distB="0" distL="114300" distR="114300" simplePos="0" relativeHeight="251657216" behindDoc="0" locked="0" layoutInCell="1" allowOverlap="1" wp14:anchorId="26EB984B" wp14:editId="373E40B3">
              <wp:simplePos x="0" y="0"/>
              <wp:positionH relativeFrom="column">
                <wp:posOffset>6049010</wp:posOffset>
              </wp:positionH>
              <wp:positionV relativeFrom="paragraph">
                <wp:posOffset>-27940</wp:posOffset>
              </wp:positionV>
              <wp:extent cx="392400" cy="284400"/>
              <wp:effectExtent l="0" t="0" r="8255" b="1905"/>
              <wp:wrapNone/>
              <wp:docPr id="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00" cy="284400"/>
                      </a:xfrm>
                      <a:custGeom>
                        <a:avLst/>
                        <a:gdLst>
                          <a:gd name="connsiteX0" fmla="*/ 0 w 390525"/>
                          <a:gd name="connsiteY0" fmla="*/ 0 h 285750"/>
                          <a:gd name="connsiteX1" fmla="*/ 390525 w 390525"/>
                          <a:gd name="connsiteY1" fmla="*/ 0 h 285750"/>
                          <a:gd name="connsiteX2" fmla="*/ 390525 w 390525"/>
                          <a:gd name="connsiteY2" fmla="*/ 285750 h 285750"/>
                          <a:gd name="connsiteX3" fmla="*/ 0 w 390525"/>
                          <a:gd name="connsiteY3" fmla="*/ 285750 h 285750"/>
                          <a:gd name="connsiteX4" fmla="*/ 0 w 390525"/>
                          <a:gd name="connsiteY4" fmla="*/ 0 h 285750"/>
                          <a:gd name="connsiteX0" fmla="*/ 142875 w 390525"/>
                          <a:gd name="connsiteY0" fmla="*/ 0 h 285750"/>
                          <a:gd name="connsiteX1" fmla="*/ 390525 w 390525"/>
                          <a:gd name="connsiteY1" fmla="*/ 0 h 285750"/>
                          <a:gd name="connsiteX2" fmla="*/ 390525 w 390525"/>
                          <a:gd name="connsiteY2" fmla="*/ 285750 h 285750"/>
                          <a:gd name="connsiteX3" fmla="*/ 0 w 390525"/>
                          <a:gd name="connsiteY3" fmla="*/ 285750 h 285750"/>
                          <a:gd name="connsiteX4" fmla="*/ 142875 w 390525"/>
                          <a:gd name="connsiteY4" fmla="*/ 0 h 2857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0525" h="285750">
                            <a:moveTo>
                              <a:pt x="142875" y="0"/>
                            </a:moveTo>
                            <a:lnTo>
                              <a:pt x="390525" y="0"/>
                            </a:lnTo>
                            <a:lnTo>
                              <a:pt x="390525" y="285750"/>
                            </a:lnTo>
                            <a:lnTo>
                              <a:pt x="0" y="285750"/>
                            </a:lnTo>
                            <a:lnTo>
                              <a:pt x="142875" y="0"/>
                            </a:lnTo>
                            <a:close/>
                          </a:path>
                        </a:pathLst>
                      </a:custGeom>
                      <a:solidFill>
                        <a:srgbClr val="53565A"/>
                      </a:solidFill>
                      <a:ln w="9525">
                        <a:noFill/>
                        <a:miter lim="800000"/>
                        <a:headEnd/>
                        <a:tailEnd/>
                      </a:ln>
                    </wps:spPr>
                    <wps:txbx>
                      <w:txbxContent>
                        <w:p w:rsidR="000E36A1" w:rsidRPr="00CB0255" w:rsidRDefault="000E36A1">
                          <w:pPr>
                            <w:pStyle w:val="Footer"/>
                            <w:jc w:val="right"/>
                            <w:rPr>
                              <w:b/>
                              <w:bCs/>
                              <w:iCs/>
                              <w:color w:val="FFFFFF" w:themeColor="background1"/>
                              <w:sz w:val="24"/>
                              <w:szCs w:val="36"/>
                            </w:rPr>
                          </w:pPr>
                          <w:r w:rsidRPr="00CB0255">
                            <w:rPr>
                              <w:sz w:val="16"/>
                            </w:rPr>
                            <w:fldChar w:fldCharType="begin"/>
                          </w:r>
                          <w:r w:rsidRPr="00CB0255">
                            <w:rPr>
                              <w:sz w:val="16"/>
                            </w:rPr>
                            <w:instrText xml:space="preserve"> PAGE    \* MERGEFORMAT </w:instrText>
                          </w:r>
                          <w:r w:rsidRPr="00CB0255">
                            <w:rPr>
                              <w:sz w:val="16"/>
                            </w:rPr>
                            <w:fldChar w:fldCharType="separate"/>
                          </w:r>
                          <w:r w:rsidR="00A36E29" w:rsidRPr="00A36E29">
                            <w:rPr>
                              <w:b/>
                              <w:bCs/>
                              <w:iCs/>
                              <w:noProof/>
                              <w:color w:val="FFFFFF" w:themeColor="background1"/>
                              <w:sz w:val="24"/>
                              <w:szCs w:val="36"/>
                            </w:rPr>
                            <w:t>3</w:t>
                          </w:r>
                          <w:r w:rsidRPr="00CB0255">
                            <w:rPr>
                              <w:b/>
                              <w:bCs/>
                              <w:iCs/>
                              <w:noProof/>
                              <w:color w:val="FFFFFF" w:themeColor="background1"/>
                              <w:sz w:val="24"/>
                              <w:szCs w:val="36"/>
                            </w:rPr>
                            <w:fldChar w:fldCharType="end"/>
                          </w:r>
                        </w:p>
                      </w:txbxContent>
                    </wps:txbx>
                    <wps:bodyPr rot="0" vert="horz" wrap="square" lIns="54864" tIns="0" rIns="54864" bIns="0" anchor="b"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26" style="position:absolute;margin-left:476.3pt;margin-top:-2.2pt;width:30.9pt;height:2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coordsize="390525,285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" adj="-11796480,,5400" path="m142875,l390525,r,285750l,285750,142875,xe" fillcolor="#53565a" stroked="f">
              <v:stroke joinstyle="miter"/>
              <v:formulas/>
              <v:path o:connecttype="custom" o:connectlocs="143561,0;392400,0;392400,284400;0,284400;143561,0" o:connectangles="0,0,0,0,0" textboxrect="0,0,390525,285750"/>
              <v:textbox inset="4.32pt,0,4.32pt,0">
                <w:txbxContent>
                  <w:p w:rsidR="000E36A1" w:rsidRPr="00CB0255" w:rsidRDefault="000E36A1">
                    <w:pPr>
                      <w:pStyle w:val="Footer"/>
                      <w:jc w:val="right"/>
                      <w:rPr>
                        <w:b/>
                        <w:bCs/>
                        <w:iCs/>
                        <w:color w:val="FFFFFF" w:themeColor="background1"/>
                        <w:sz w:val="24"/>
                        <w:szCs w:val="36"/>
                      </w:rPr>
                    </w:pPr>
                    <w:r w:rsidRPr="00CB0255">
                      <w:rPr>
                        <w:sz w:val="16"/>
                      </w:rPr>
                      <w:fldChar w:fldCharType="begin"/>
                    </w:r>
                    <w:r w:rsidRPr="00CB0255">
                      <w:rPr>
                        <w:sz w:val="16"/>
                      </w:rPr>
                      <w:instrText xml:space="preserve"> PAGE    \* MERGEFORMAT </w:instrText>
                    </w:r>
                    <w:r w:rsidRPr="00CB0255">
                      <w:rPr>
                        <w:sz w:val="16"/>
                      </w:rPr>
                      <w:fldChar w:fldCharType="separate"/>
                    </w:r>
                    <w:r w:rsidR="00A36E29" w:rsidRPr="00A36E29">
                      <w:rPr>
                        <w:b/>
                        <w:bCs/>
                        <w:iCs/>
                        <w:noProof/>
                        <w:color w:val="FFFFFF" w:themeColor="background1"/>
                        <w:sz w:val="24"/>
                        <w:szCs w:val="36"/>
                      </w:rPr>
                      <w:t>3</w:t>
                    </w:r>
                    <w:r w:rsidRPr="00CB0255">
                      <w:rPr>
                        <w:b/>
                        <w:bCs/>
                        <w:iCs/>
                        <w:noProof/>
                        <w:color w:val="FFFFFF" w:themeColor="background1"/>
                        <w:sz w:val="24"/>
                        <w:szCs w:val="3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94055"/>
    <w:multiLevelType w:val="hybridMultilevel"/>
    <w:tmpl w:val="9E5834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2330A9F"/>
    <w:multiLevelType w:val="hybridMultilevel"/>
    <w:tmpl w:val="3EE40872"/>
    <w:lvl w:ilvl="0" w:tplc="0C090001">
      <w:start w:val="1"/>
      <w:numFmt w:val="bullet"/>
      <w:lvlText w:val=""/>
      <w:lvlJc w:val="left"/>
      <w:pPr>
        <w:ind w:left="466" w:hanging="360"/>
      </w:pPr>
      <w:rPr>
        <w:rFonts w:ascii="Symbol" w:hAnsi="Symbol" w:hint="default"/>
      </w:rPr>
    </w:lvl>
    <w:lvl w:ilvl="1" w:tplc="0C090003">
      <w:start w:val="1"/>
      <w:numFmt w:val="bullet"/>
      <w:lvlText w:val="o"/>
      <w:lvlJc w:val="left"/>
      <w:pPr>
        <w:ind w:left="1186" w:hanging="360"/>
      </w:pPr>
      <w:rPr>
        <w:rFonts w:ascii="Courier New" w:hAnsi="Courier New" w:hint="default"/>
      </w:rPr>
    </w:lvl>
    <w:lvl w:ilvl="2" w:tplc="0C090005" w:tentative="1">
      <w:start w:val="1"/>
      <w:numFmt w:val="bullet"/>
      <w:lvlText w:val=""/>
      <w:lvlJc w:val="left"/>
      <w:pPr>
        <w:ind w:left="1906" w:hanging="360"/>
      </w:pPr>
      <w:rPr>
        <w:rFonts w:ascii="Wingdings" w:hAnsi="Wingdings" w:hint="default"/>
      </w:rPr>
    </w:lvl>
    <w:lvl w:ilvl="3" w:tplc="0C090001" w:tentative="1">
      <w:start w:val="1"/>
      <w:numFmt w:val="bullet"/>
      <w:lvlText w:val=""/>
      <w:lvlJc w:val="left"/>
      <w:pPr>
        <w:ind w:left="2626" w:hanging="360"/>
      </w:pPr>
      <w:rPr>
        <w:rFonts w:ascii="Symbol" w:hAnsi="Symbol" w:hint="default"/>
      </w:rPr>
    </w:lvl>
    <w:lvl w:ilvl="4" w:tplc="0C090003" w:tentative="1">
      <w:start w:val="1"/>
      <w:numFmt w:val="bullet"/>
      <w:lvlText w:val="o"/>
      <w:lvlJc w:val="left"/>
      <w:pPr>
        <w:ind w:left="3346" w:hanging="360"/>
      </w:pPr>
      <w:rPr>
        <w:rFonts w:ascii="Courier New" w:hAnsi="Courier New" w:hint="default"/>
      </w:rPr>
    </w:lvl>
    <w:lvl w:ilvl="5" w:tplc="0C090005" w:tentative="1">
      <w:start w:val="1"/>
      <w:numFmt w:val="bullet"/>
      <w:lvlText w:val=""/>
      <w:lvlJc w:val="left"/>
      <w:pPr>
        <w:ind w:left="4066" w:hanging="360"/>
      </w:pPr>
      <w:rPr>
        <w:rFonts w:ascii="Wingdings" w:hAnsi="Wingdings" w:hint="default"/>
      </w:rPr>
    </w:lvl>
    <w:lvl w:ilvl="6" w:tplc="0C090001" w:tentative="1">
      <w:start w:val="1"/>
      <w:numFmt w:val="bullet"/>
      <w:lvlText w:val=""/>
      <w:lvlJc w:val="left"/>
      <w:pPr>
        <w:ind w:left="4786" w:hanging="360"/>
      </w:pPr>
      <w:rPr>
        <w:rFonts w:ascii="Symbol" w:hAnsi="Symbol" w:hint="default"/>
      </w:rPr>
    </w:lvl>
    <w:lvl w:ilvl="7" w:tplc="0C090003" w:tentative="1">
      <w:start w:val="1"/>
      <w:numFmt w:val="bullet"/>
      <w:lvlText w:val="o"/>
      <w:lvlJc w:val="left"/>
      <w:pPr>
        <w:ind w:left="5506" w:hanging="360"/>
      </w:pPr>
      <w:rPr>
        <w:rFonts w:ascii="Courier New" w:hAnsi="Courier New" w:hint="default"/>
      </w:rPr>
    </w:lvl>
    <w:lvl w:ilvl="8" w:tplc="0C090005" w:tentative="1">
      <w:start w:val="1"/>
      <w:numFmt w:val="bullet"/>
      <w:lvlText w:val=""/>
      <w:lvlJc w:val="left"/>
      <w:pPr>
        <w:ind w:left="6226" w:hanging="360"/>
      </w:pPr>
      <w:rPr>
        <w:rFonts w:ascii="Wingdings" w:hAnsi="Wingdings" w:hint="default"/>
      </w:rPr>
    </w:lvl>
  </w:abstractNum>
  <w:abstractNum w:abstractNumId="2">
    <w:nsid w:val="03434DEF"/>
    <w:multiLevelType w:val="hybridMultilevel"/>
    <w:tmpl w:val="1A0A60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4B72117"/>
    <w:multiLevelType w:val="multilevel"/>
    <w:tmpl w:val="32E280AA"/>
    <w:lvl w:ilvl="0">
      <w:start w:val="7"/>
      <w:numFmt w:val="decimal"/>
      <w:lvlText w:val="%1"/>
      <w:lvlJc w:val="left"/>
      <w:pPr>
        <w:ind w:left="495" w:hanging="495"/>
      </w:pPr>
      <w:rPr>
        <w:rFonts w:hint="default"/>
      </w:rPr>
    </w:lvl>
    <w:lvl w:ilvl="1">
      <w:start w:val="5"/>
      <w:numFmt w:val="decimal"/>
      <w:lvlText w:val="%1.%2"/>
      <w:lvlJc w:val="left"/>
      <w:pPr>
        <w:ind w:left="495" w:hanging="495"/>
      </w:pPr>
      <w:rPr>
        <w:rFonts w:hint="default"/>
      </w:rPr>
    </w:lvl>
    <w:lvl w:ilvl="2">
      <w:start w:val="6"/>
      <w:numFmt w:val="decimal"/>
      <w:lvlText w:val="%1.%2.%3"/>
      <w:lvlJc w:val="left"/>
      <w:pPr>
        <w:ind w:left="495" w:hanging="495"/>
      </w:pPr>
      <w:rPr>
        <w:rFonts w:hint="default"/>
      </w:rPr>
    </w:lvl>
    <w:lvl w:ilvl="3">
      <w:start w:val="2"/>
      <w:numFmt w:val="decimal"/>
      <w:lvlText w:val="%1.%2.%3.%4"/>
      <w:lvlJc w:val="left"/>
      <w:pPr>
        <w:ind w:left="1146"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
    <w:nsid w:val="07A32427"/>
    <w:multiLevelType w:val="hybridMultilevel"/>
    <w:tmpl w:val="D30C2D3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8E97539"/>
    <w:multiLevelType w:val="multilevel"/>
    <w:tmpl w:val="4A4CAC10"/>
    <w:lvl w:ilvl="0">
      <w:start w:val="7"/>
      <w:numFmt w:val="decimal"/>
      <w:lvlText w:val="%1."/>
      <w:lvlJc w:val="left"/>
      <w:pPr>
        <w:ind w:left="720" w:hanging="360"/>
      </w:pPr>
      <w:rPr>
        <w:rFonts w:hint="default"/>
      </w:rPr>
    </w:lvl>
    <w:lvl w:ilvl="1">
      <w:start w:val="1"/>
      <w:numFmt w:val="decimal"/>
      <w:isLgl/>
      <w:lvlText w:val="%1.%2"/>
      <w:lvlJc w:val="left"/>
      <w:pPr>
        <w:ind w:left="1260" w:hanging="720"/>
      </w:pPr>
      <w:rPr>
        <w:rFonts w:hint="default"/>
        <w:b/>
      </w:rPr>
    </w:lvl>
    <w:lvl w:ilvl="2">
      <w:start w:val="1"/>
      <w:numFmt w:val="decimal"/>
      <w:lvlText w:val="7.1.%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
    <w:nsid w:val="0DDD1537"/>
    <w:multiLevelType w:val="hybridMultilevel"/>
    <w:tmpl w:val="4630F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F3D5A9C"/>
    <w:multiLevelType w:val="multilevel"/>
    <w:tmpl w:val="B1B05A44"/>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5424008"/>
    <w:multiLevelType w:val="hybridMultilevel"/>
    <w:tmpl w:val="73B21840"/>
    <w:lvl w:ilvl="0" w:tplc="462EC782">
      <w:start w:val="1"/>
      <w:numFmt w:val="decimal"/>
      <w:lvlText w:val="%1."/>
      <w:lvlJc w:val="left"/>
      <w:pPr>
        <w:ind w:left="720" w:hanging="360"/>
      </w:pPr>
      <w:rPr>
        <w:rFonts w:eastAsiaTheme="minorEastAsia" w:cs="Minion Pro" w:hint="default"/>
        <w:w w:val="10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1B4734C7"/>
    <w:multiLevelType w:val="hybridMultilevel"/>
    <w:tmpl w:val="F99C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093DD3"/>
    <w:multiLevelType w:val="hybridMultilevel"/>
    <w:tmpl w:val="EDD49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C315CC"/>
    <w:multiLevelType w:val="hybridMultilevel"/>
    <w:tmpl w:val="7B841AF8"/>
    <w:lvl w:ilvl="0" w:tplc="E1C83740">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19B638B"/>
    <w:multiLevelType w:val="hybridMultilevel"/>
    <w:tmpl w:val="F412F3F0"/>
    <w:lvl w:ilvl="0" w:tplc="F46452CE">
      <w:start w:val="1"/>
      <w:numFmt w:val="decimal"/>
      <w:lvlText w:val="5.%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36D52FD"/>
    <w:multiLevelType w:val="multilevel"/>
    <w:tmpl w:val="45704F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6"/>
      <w:numFmt w:val="bullet"/>
      <w:lvlText w:val="-"/>
      <w:lvlJc w:val="left"/>
      <w:pPr>
        <w:ind w:left="2160" w:hanging="360"/>
      </w:pPr>
      <w:rPr>
        <w:rFonts w:ascii="Calibri" w:eastAsiaTheme="minorEastAsia" w:hAnsi="Calibri" w:cstheme="minorBidi" w:hint="default"/>
        <w:color w:val="FF000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39E2811"/>
    <w:multiLevelType w:val="hybridMultilevel"/>
    <w:tmpl w:val="B04E36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4F04404"/>
    <w:multiLevelType w:val="hybridMultilevel"/>
    <w:tmpl w:val="429834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7E8332A"/>
    <w:multiLevelType w:val="hybridMultilevel"/>
    <w:tmpl w:val="7C8A20C8"/>
    <w:lvl w:ilvl="0" w:tplc="F3440A60">
      <w:start w:val="1"/>
      <w:numFmt w:val="decimal"/>
      <w:lvlText w:val="4.%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A651033"/>
    <w:multiLevelType w:val="hybridMultilevel"/>
    <w:tmpl w:val="73B41FAE"/>
    <w:lvl w:ilvl="0" w:tplc="1CE03C52">
      <w:start w:val="2"/>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B3B3641"/>
    <w:multiLevelType w:val="hybridMultilevel"/>
    <w:tmpl w:val="13283C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CB37D8C"/>
    <w:multiLevelType w:val="hybridMultilevel"/>
    <w:tmpl w:val="6DD27602"/>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FD65C36"/>
    <w:multiLevelType w:val="hybridMultilevel"/>
    <w:tmpl w:val="1CFA2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0597D1D"/>
    <w:multiLevelType w:val="multilevel"/>
    <w:tmpl w:val="18C456A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2">
    <w:nsid w:val="351A61F7"/>
    <w:multiLevelType w:val="hybridMultilevel"/>
    <w:tmpl w:val="32A2E9C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5B77C86"/>
    <w:multiLevelType w:val="hybridMultilevel"/>
    <w:tmpl w:val="04547F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5C15960"/>
    <w:multiLevelType w:val="hybridMultilevel"/>
    <w:tmpl w:val="23028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657754B"/>
    <w:multiLevelType w:val="hybridMultilevel"/>
    <w:tmpl w:val="066E0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6EE10D6"/>
    <w:multiLevelType w:val="hybridMultilevel"/>
    <w:tmpl w:val="303616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9A77BE1"/>
    <w:multiLevelType w:val="multilevel"/>
    <w:tmpl w:val="AE9055B8"/>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3B4E5387"/>
    <w:multiLevelType w:val="hybridMultilevel"/>
    <w:tmpl w:val="87820734"/>
    <w:lvl w:ilvl="0" w:tplc="C040D2E4">
      <w:start w:val="1"/>
      <w:numFmt w:val="decimal"/>
      <w:lvlText w:val="3.%1"/>
      <w:lvlJc w:val="left"/>
      <w:pPr>
        <w:ind w:left="502"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3E1438B2"/>
    <w:multiLevelType w:val="hybridMultilevel"/>
    <w:tmpl w:val="9864D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3E866969"/>
    <w:multiLevelType w:val="hybridMultilevel"/>
    <w:tmpl w:val="5F42FD68"/>
    <w:lvl w:ilvl="0" w:tplc="2312B85C">
      <w:numFmt w:val="bullet"/>
      <w:lvlText w:val="•"/>
      <w:lvlJc w:val="left"/>
      <w:pPr>
        <w:ind w:left="1440" w:hanging="720"/>
      </w:pPr>
      <w:rPr>
        <w:rFonts w:ascii="Calibri" w:eastAsiaTheme="minorEastAsia"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nsid w:val="3EEC1F9A"/>
    <w:multiLevelType w:val="multilevel"/>
    <w:tmpl w:val="1F7890BC"/>
    <w:lvl w:ilvl="0">
      <w:start w:val="1"/>
      <w:numFmt w:val="decimal"/>
      <w:lvlText w:val="5.3.%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2">
    <w:nsid w:val="400969A7"/>
    <w:multiLevelType w:val="hybridMultilevel"/>
    <w:tmpl w:val="10BEA704"/>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12A299E"/>
    <w:multiLevelType w:val="hybridMultilevel"/>
    <w:tmpl w:val="B262EA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420C172D"/>
    <w:multiLevelType w:val="hybridMultilevel"/>
    <w:tmpl w:val="201C29EA"/>
    <w:lvl w:ilvl="0" w:tplc="6CF215C2">
      <w:numFmt w:val="bullet"/>
      <w:lvlText w:val="•"/>
      <w:lvlJc w:val="left"/>
      <w:pPr>
        <w:ind w:left="720" w:hanging="360"/>
      </w:pPr>
      <w:rPr>
        <w:rFonts w:ascii="Calibri" w:eastAsiaTheme="minorEastAsia" w:hAnsi="Calibri" w:cs="Lucida Grand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3624E77"/>
    <w:multiLevelType w:val="hybridMultilevel"/>
    <w:tmpl w:val="C5ACE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446D3A6A"/>
    <w:multiLevelType w:val="multilevel"/>
    <w:tmpl w:val="A214506C"/>
    <w:lvl w:ilvl="0">
      <w:start w:val="1"/>
      <w:numFmt w:val="bullet"/>
      <w:pStyle w:val="Bullet1"/>
      <w:lvlText w:val=""/>
      <w:lvlJc w:val="left"/>
      <w:pPr>
        <w:tabs>
          <w:tab w:val="num" w:pos="1077"/>
        </w:tabs>
        <w:ind w:left="1077" w:hanging="283"/>
      </w:pPr>
      <w:rPr>
        <w:rFonts w:ascii="Symbol" w:hAnsi="Symbol" w:hint="default"/>
        <w:b w:val="0"/>
        <w:i w:val="0"/>
        <w:vanish w:val="0"/>
        <w:color w:val="auto"/>
        <w:sz w:val="22"/>
      </w:rPr>
    </w:lvl>
    <w:lvl w:ilvl="1">
      <w:start w:val="1"/>
      <w:numFmt w:val="bullet"/>
      <w:pStyle w:val="Bullet1"/>
      <w:lvlText w:val="–"/>
      <w:lvlJc w:val="left"/>
      <w:pPr>
        <w:tabs>
          <w:tab w:val="num" w:pos="1361"/>
        </w:tabs>
        <w:ind w:left="1361" w:hanging="284"/>
      </w:pPr>
      <w:rPr>
        <w:rFonts w:ascii="Calibri" w:hAnsi="Calibri" w:hint="default"/>
        <w:b w:val="0"/>
        <w:i w:val="0"/>
        <w:vanish w:val="0"/>
        <w:color w:val="auto"/>
        <w:sz w:val="22"/>
      </w:rPr>
    </w:lvl>
    <w:lvl w:ilvl="2">
      <w:start w:val="1"/>
      <w:numFmt w:val="bullet"/>
      <w:pStyle w:val="Bullet2"/>
      <w:lvlText w:val=""/>
      <w:lvlJc w:val="left"/>
      <w:pPr>
        <w:tabs>
          <w:tab w:val="num" w:pos="1644"/>
        </w:tabs>
        <w:ind w:left="1644" w:hanging="283"/>
      </w:pPr>
      <w:rPr>
        <w:rFonts w:ascii="Symbol" w:hAnsi="Symbol" w:hint="default"/>
        <w:b w:val="0"/>
        <w:i w:val="0"/>
        <w:vanish w:val="0"/>
        <w:color w:val="auto"/>
        <w:sz w:val="22"/>
      </w:rPr>
    </w:lvl>
    <w:lvl w:ilvl="3">
      <w:start w:val="1"/>
      <w:numFmt w:val="bullet"/>
      <w:lvlText w:val=""/>
      <w:lvlJc w:val="left"/>
      <w:pPr>
        <w:tabs>
          <w:tab w:val="num" w:pos="1928"/>
        </w:tabs>
        <w:ind w:left="1928" w:hanging="284"/>
      </w:pPr>
      <w:rPr>
        <w:rFonts w:ascii="Symbol" w:hAnsi="Symbol" w:hint="default"/>
        <w:b w:val="0"/>
        <w:i w:val="0"/>
        <w:vanish w:val="0"/>
        <w:color w:val="auto"/>
        <w:sz w:val="22"/>
      </w:rPr>
    </w:lvl>
    <w:lvl w:ilvl="4">
      <w:start w:val="1"/>
      <w:numFmt w:val="bullet"/>
      <w:lvlText w:val=""/>
      <w:lvlJc w:val="left"/>
      <w:pPr>
        <w:tabs>
          <w:tab w:val="num" w:pos="2211"/>
        </w:tabs>
        <w:ind w:left="2211" w:hanging="283"/>
      </w:pPr>
      <w:rPr>
        <w:rFonts w:ascii="Symbol" w:hAnsi="Symbol" w:hint="default"/>
        <w:b w:val="0"/>
        <w:i w:val="0"/>
        <w:vanish w:val="0"/>
        <w:color w:val="auto"/>
        <w:sz w:val="22"/>
      </w:rPr>
    </w:lvl>
    <w:lvl w:ilvl="5">
      <w:start w:val="1"/>
      <w:numFmt w:val="bullet"/>
      <w:lvlText w:val=""/>
      <w:lvlJc w:val="left"/>
      <w:pPr>
        <w:tabs>
          <w:tab w:val="num" w:pos="2495"/>
        </w:tabs>
        <w:ind w:left="2495" w:hanging="284"/>
      </w:pPr>
      <w:rPr>
        <w:rFonts w:ascii="Symbol" w:hAnsi="Symbol" w:hint="default"/>
        <w:b w:val="0"/>
        <w:i w:val="0"/>
        <w:vanish w:val="0"/>
        <w:color w:val="auto"/>
        <w:sz w:val="22"/>
      </w:rPr>
    </w:lvl>
    <w:lvl w:ilvl="6">
      <w:start w:val="1"/>
      <w:numFmt w:val="bullet"/>
      <w:lvlText w:val=""/>
      <w:lvlJc w:val="left"/>
      <w:pPr>
        <w:tabs>
          <w:tab w:val="num" w:pos="2778"/>
        </w:tabs>
        <w:ind w:left="2778" w:hanging="283"/>
      </w:pPr>
      <w:rPr>
        <w:rFonts w:ascii="Symbol" w:hAnsi="Symbol" w:hint="default"/>
        <w:b w:val="0"/>
        <w:i w:val="0"/>
        <w:vanish w:val="0"/>
        <w:color w:val="auto"/>
        <w:sz w:val="22"/>
      </w:rPr>
    </w:lvl>
    <w:lvl w:ilvl="7">
      <w:start w:val="1"/>
      <w:numFmt w:val="bullet"/>
      <w:lvlText w:val=""/>
      <w:lvlJc w:val="left"/>
      <w:pPr>
        <w:tabs>
          <w:tab w:val="num" w:pos="3062"/>
        </w:tabs>
        <w:ind w:left="3062" w:hanging="284"/>
      </w:pPr>
      <w:rPr>
        <w:rFonts w:ascii="Symbol" w:hAnsi="Symbol" w:hint="default"/>
        <w:b w:val="0"/>
        <w:i w:val="0"/>
        <w:vanish w:val="0"/>
        <w:color w:val="auto"/>
        <w:sz w:val="22"/>
      </w:rPr>
    </w:lvl>
    <w:lvl w:ilvl="8">
      <w:start w:val="1"/>
      <w:numFmt w:val="bullet"/>
      <w:lvlText w:val=""/>
      <w:lvlJc w:val="left"/>
      <w:pPr>
        <w:tabs>
          <w:tab w:val="num" w:pos="3345"/>
        </w:tabs>
        <w:ind w:left="3345" w:hanging="283"/>
      </w:pPr>
      <w:rPr>
        <w:rFonts w:ascii="Symbol" w:hAnsi="Symbol" w:hint="default"/>
        <w:b w:val="0"/>
        <w:i w:val="0"/>
        <w:vanish w:val="0"/>
        <w:color w:val="auto"/>
        <w:sz w:val="22"/>
      </w:rPr>
    </w:lvl>
  </w:abstractNum>
  <w:abstractNum w:abstractNumId="37">
    <w:nsid w:val="460D26B2"/>
    <w:multiLevelType w:val="hybridMultilevel"/>
    <w:tmpl w:val="BC00DD4C"/>
    <w:lvl w:ilvl="0" w:tplc="0409000D">
      <w:start w:val="1"/>
      <w:numFmt w:val="bullet"/>
      <w:lvlText w:val=""/>
      <w:lvlJc w:val="left"/>
      <w:pPr>
        <w:ind w:left="720" w:hanging="360"/>
      </w:pPr>
      <w:rPr>
        <w:rFonts w:ascii="Wingdings" w:hAnsi="Wingdings" w:hint="default"/>
      </w:rPr>
    </w:lvl>
    <w:lvl w:ilvl="1" w:tplc="405ED618">
      <w:numFmt w:val="bullet"/>
      <w:lvlText w:val="•"/>
      <w:lvlJc w:val="left"/>
      <w:pPr>
        <w:ind w:left="1500" w:hanging="420"/>
      </w:pPr>
      <w:rPr>
        <w:rFonts w:ascii="Calibri" w:eastAsiaTheme="minorEastAsia" w:hAnsi="Calibri" w:cs="Lucida Gran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6A87031"/>
    <w:multiLevelType w:val="hybridMultilevel"/>
    <w:tmpl w:val="A70CE21E"/>
    <w:lvl w:ilvl="0" w:tplc="2312B85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7DB5478"/>
    <w:multiLevelType w:val="hybridMultilevel"/>
    <w:tmpl w:val="B236763C"/>
    <w:lvl w:ilvl="0" w:tplc="0C090001">
      <w:start w:val="1"/>
      <w:numFmt w:val="bullet"/>
      <w:lvlText w:val=""/>
      <w:lvlJc w:val="left"/>
      <w:pPr>
        <w:tabs>
          <w:tab w:val="num" w:pos="1154"/>
        </w:tabs>
        <w:ind w:left="1154" w:hanging="360"/>
      </w:pPr>
      <w:rPr>
        <w:rFonts w:ascii="Symbol" w:hAnsi="Symbol" w:hint="default"/>
      </w:rPr>
    </w:lvl>
    <w:lvl w:ilvl="1" w:tplc="0C090003" w:tentative="1">
      <w:start w:val="1"/>
      <w:numFmt w:val="bullet"/>
      <w:lvlText w:val="o"/>
      <w:lvlJc w:val="left"/>
      <w:pPr>
        <w:tabs>
          <w:tab w:val="num" w:pos="1874"/>
        </w:tabs>
        <w:ind w:left="1874" w:hanging="360"/>
      </w:pPr>
      <w:rPr>
        <w:rFonts w:ascii="Courier New" w:hAnsi="Courier New" w:hint="default"/>
      </w:rPr>
    </w:lvl>
    <w:lvl w:ilvl="2" w:tplc="0C090005" w:tentative="1">
      <w:start w:val="1"/>
      <w:numFmt w:val="bullet"/>
      <w:lvlText w:val=""/>
      <w:lvlJc w:val="left"/>
      <w:pPr>
        <w:tabs>
          <w:tab w:val="num" w:pos="2594"/>
        </w:tabs>
        <w:ind w:left="2594" w:hanging="360"/>
      </w:pPr>
      <w:rPr>
        <w:rFonts w:ascii="Wingdings" w:hAnsi="Wingdings" w:hint="default"/>
      </w:rPr>
    </w:lvl>
    <w:lvl w:ilvl="3" w:tplc="0C090001" w:tentative="1">
      <w:start w:val="1"/>
      <w:numFmt w:val="bullet"/>
      <w:lvlText w:val=""/>
      <w:lvlJc w:val="left"/>
      <w:pPr>
        <w:tabs>
          <w:tab w:val="num" w:pos="3314"/>
        </w:tabs>
        <w:ind w:left="3314" w:hanging="360"/>
      </w:pPr>
      <w:rPr>
        <w:rFonts w:ascii="Symbol" w:hAnsi="Symbol" w:hint="default"/>
      </w:rPr>
    </w:lvl>
    <w:lvl w:ilvl="4" w:tplc="0C090003" w:tentative="1">
      <w:start w:val="1"/>
      <w:numFmt w:val="bullet"/>
      <w:lvlText w:val="o"/>
      <w:lvlJc w:val="left"/>
      <w:pPr>
        <w:tabs>
          <w:tab w:val="num" w:pos="4034"/>
        </w:tabs>
        <w:ind w:left="4034" w:hanging="360"/>
      </w:pPr>
      <w:rPr>
        <w:rFonts w:ascii="Courier New" w:hAnsi="Courier New" w:hint="default"/>
      </w:rPr>
    </w:lvl>
    <w:lvl w:ilvl="5" w:tplc="0C090005" w:tentative="1">
      <w:start w:val="1"/>
      <w:numFmt w:val="bullet"/>
      <w:lvlText w:val=""/>
      <w:lvlJc w:val="left"/>
      <w:pPr>
        <w:tabs>
          <w:tab w:val="num" w:pos="4754"/>
        </w:tabs>
        <w:ind w:left="4754" w:hanging="360"/>
      </w:pPr>
      <w:rPr>
        <w:rFonts w:ascii="Wingdings" w:hAnsi="Wingdings" w:hint="default"/>
      </w:rPr>
    </w:lvl>
    <w:lvl w:ilvl="6" w:tplc="0C090001" w:tentative="1">
      <w:start w:val="1"/>
      <w:numFmt w:val="bullet"/>
      <w:lvlText w:val=""/>
      <w:lvlJc w:val="left"/>
      <w:pPr>
        <w:tabs>
          <w:tab w:val="num" w:pos="5474"/>
        </w:tabs>
        <w:ind w:left="5474" w:hanging="360"/>
      </w:pPr>
      <w:rPr>
        <w:rFonts w:ascii="Symbol" w:hAnsi="Symbol" w:hint="default"/>
      </w:rPr>
    </w:lvl>
    <w:lvl w:ilvl="7" w:tplc="0C090003" w:tentative="1">
      <w:start w:val="1"/>
      <w:numFmt w:val="bullet"/>
      <w:lvlText w:val="o"/>
      <w:lvlJc w:val="left"/>
      <w:pPr>
        <w:tabs>
          <w:tab w:val="num" w:pos="6194"/>
        </w:tabs>
        <w:ind w:left="6194" w:hanging="360"/>
      </w:pPr>
      <w:rPr>
        <w:rFonts w:ascii="Courier New" w:hAnsi="Courier New" w:hint="default"/>
      </w:rPr>
    </w:lvl>
    <w:lvl w:ilvl="8" w:tplc="0C090005" w:tentative="1">
      <w:start w:val="1"/>
      <w:numFmt w:val="bullet"/>
      <w:lvlText w:val=""/>
      <w:lvlJc w:val="left"/>
      <w:pPr>
        <w:tabs>
          <w:tab w:val="num" w:pos="6914"/>
        </w:tabs>
        <w:ind w:left="6914" w:hanging="360"/>
      </w:pPr>
      <w:rPr>
        <w:rFonts w:ascii="Wingdings" w:hAnsi="Wingdings" w:hint="default"/>
      </w:rPr>
    </w:lvl>
  </w:abstractNum>
  <w:abstractNum w:abstractNumId="40">
    <w:nsid w:val="4EB30034"/>
    <w:multiLevelType w:val="hybridMultilevel"/>
    <w:tmpl w:val="1506E934"/>
    <w:lvl w:ilvl="0" w:tplc="2312B85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39F402B"/>
    <w:multiLevelType w:val="hybridMultilevel"/>
    <w:tmpl w:val="E402A0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3BC1828"/>
    <w:multiLevelType w:val="multilevel"/>
    <w:tmpl w:val="F8DA6B04"/>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43">
    <w:nsid w:val="555434F8"/>
    <w:multiLevelType w:val="hybridMultilevel"/>
    <w:tmpl w:val="7AA697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5AE4C16"/>
    <w:multiLevelType w:val="hybridMultilevel"/>
    <w:tmpl w:val="41F81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6A67685"/>
    <w:multiLevelType w:val="hybridMultilevel"/>
    <w:tmpl w:val="249831A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E01406"/>
    <w:multiLevelType w:val="hybridMultilevel"/>
    <w:tmpl w:val="D0366764"/>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5763306C"/>
    <w:multiLevelType w:val="hybridMultilevel"/>
    <w:tmpl w:val="2904D798"/>
    <w:lvl w:ilvl="0" w:tplc="2312B85C">
      <w:numFmt w:val="bullet"/>
      <w:lvlText w:val="•"/>
      <w:lvlJc w:val="left"/>
      <w:pPr>
        <w:ind w:left="720" w:hanging="36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58207D94"/>
    <w:multiLevelType w:val="multilevel"/>
    <w:tmpl w:val="19CE48CC"/>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9">
    <w:nsid w:val="592C2D8C"/>
    <w:multiLevelType w:val="hybridMultilevel"/>
    <w:tmpl w:val="2F482A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92F1C68"/>
    <w:multiLevelType w:val="multilevel"/>
    <w:tmpl w:val="3CD40034"/>
    <w:lvl w:ilvl="0">
      <w:start w:val="1"/>
      <w:numFmt w:val="bullet"/>
      <w:lvlText w:val=""/>
      <w:lvlJc w:val="left"/>
      <w:pPr>
        <w:ind w:left="1440" w:hanging="720"/>
      </w:pPr>
      <w:rPr>
        <w:rFonts w:ascii="Symbol" w:hAnsi="Symbol" w:hint="default"/>
      </w:rPr>
    </w:lvl>
    <w:lvl w:ilvl="1">
      <w:start w:val="1"/>
      <w:numFmt w:val="lowerLetter"/>
      <w:lvlText w:val="%2)"/>
      <w:lvlJc w:val="left"/>
      <w:pPr>
        <w:ind w:left="180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1080"/>
      </w:pPr>
      <w:rPr>
        <w:rFonts w:cs="Times New Roman" w:hint="default"/>
      </w:rPr>
    </w:lvl>
    <w:lvl w:ilvl="4">
      <w:start w:val="1"/>
      <w:numFmt w:val="decimal"/>
      <w:lvlText w:val="%1.%2.%3.%4.%5"/>
      <w:lvlJc w:val="left"/>
      <w:pPr>
        <w:ind w:left="5040" w:hanging="1440"/>
      </w:pPr>
      <w:rPr>
        <w:rFonts w:cs="Times New Roman" w:hint="default"/>
      </w:rPr>
    </w:lvl>
    <w:lvl w:ilvl="5">
      <w:start w:val="1"/>
      <w:numFmt w:val="decimal"/>
      <w:lvlText w:val="%1.%2.%3.%4.%5.%6"/>
      <w:lvlJc w:val="left"/>
      <w:pPr>
        <w:ind w:left="5760" w:hanging="1440"/>
      </w:pPr>
      <w:rPr>
        <w:rFonts w:cs="Times New Roman" w:hint="default"/>
      </w:rPr>
    </w:lvl>
    <w:lvl w:ilvl="6">
      <w:start w:val="1"/>
      <w:numFmt w:val="decimal"/>
      <w:lvlText w:val="%1.%2.%3.%4.%5.%6.%7"/>
      <w:lvlJc w:val="left"/>
      <w:pPr>
        <w:ind w:left="6840" w:hanging="1800"/>
      </w:pPr>
      <w:rPr>
        <w:rFonts w:cs="Times New Roman" w:hint="default"/>
      </w:rPr>
    </w:lvl>
    <w:lvl w:ilvl="7">
      <w:start w:val="1"/>
      <w:numFmt w:val="decimal"/>
      <w:lvlText w:val="%1.%2.%3.%4.%5.%6.%7.%8"/>
      <w:lvlJc w:val="left"/>
      <w:pPr>
        <w:ind w:left="7560" w:hanging="1800"/>
      </w:pPr>
      <w:rPr>
        <w:rFonts w:cs="Times New Roman" w:hint="default"/>
      </w:rPr>
    </w:lvl>
    <w:lvl w:ilvl="8">
      <w:start w:val="1"/>
      <w:numFmt w:val="decimal"/>
      <w:lvlText w:val="%1.%2.%3.%4.%5.%6.%7.%8.%9"/>
      <w:lvlJc w:val="left"/>
      <w:pPr>
        <w:ind w:left="8640" w:hanging="2160"/>
      </w:pPr>
      <w:rPr>
        <w:rFonts w:cs="Times New Roman" w:hint="default"/>
      </w:rPr>
    </w:lvl>
  </w:abstractNum>
  <w:abstractNum w:abstractNumId="51">
    <w:nsid w:val="5A327794"/>
    <w:multiLevelType w:val="multilevel"/>
    <w:tmpl w:val="9912B44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52">
    <w:nsid w:val="5AAE1F63"/>
    <w:multiLevelType w:val="hybridMultilevel"/>
    <w:tmpl w:val="891466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C334E4E"/>
    <w:multiLevelType w:val="hybridMultilevel"/>
    <w:tmpl w:val="19A430D2"/>
    <w:lvl w:ilvl="0" w:tplc="64A460B2">
      <w:numFmt w:val="bullet"/>
      <w:lvlText w:val="•"/>
      <w:lvlJc w:val="left"/>
      <w:pPr>
        <w:ind w:left="1080" w:hanging="360"/>
      </w:pPr>
      <w:rPr>
        <w:rFonts w:ascii="Calibri" w:eastAsiaTheme="minorEastAsia" w:hAnsi="Calibri" w:cs="Lucida Grande"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4">
    <w:nsid w:val="5CE2113A"/>
    <w:multiLevelType w:val="multilevel"/>
    <w:tmpl w:val="BF000D1A"/>
    <w:lvl w:ilvl="0">
      <w:start w:val="6"/>
      <w:numFmt w:val="decimal"/>
      <w:lvlText w:val="%1."/>
      <w:lvlJc w:val="left"/>
      <w:pPr>
        <w:ind w:left="720" w:hanging="360"/>
      </w:pPr>
      <w:rPr>
        <w:rFonts w:hint="default"/>
        <w:b/>
      </w:rPr>
    </w:lvl>
    <w:lvl w:ilvl="1">
      <w:start w:val="3"/>
      <w:numFmt w:val="decimal"/>
      <w:isLgl/>
      <w:lvlText w:val="%1.%2"/>
      <w:lvlJc w:val="left"/>
      <w:pPr>
        <w:ind w:left="126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5">
    <w:nsid w:val="620055D4"/>
    <w:multiLevelType w:val="hybridMultilevel"/>
    <w:tmpl w:val="CD00FA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638A7D35"/>
    <w:multiLevelType w:val="hybridMultilevel"/>
    <w:tmpl w:val="4BF687BC"/>
    <w:lvl w:ilvl="0" w:tplc="2312B85C">
      <w:numFmt w:val="bullet"/>
      <w:lvlText w:val="•"/>
      <w:lvlJc w:val="left"/>
      <w:pPr>
        <w:ind w:left="1080" w:hanging="720"/>
      </w:pPr>
      <w:rPr>
        <w:rFonts w:ascii="Calibri" w:eastAsiaTheme="min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66DF5474"/>
    <w:multiLevelType w:val="multilevel"/>
    <w:tmpl w:val="D7BE3726"/>
    <w:lvl w:ilvl="0">
      <w:start w:val="7"/>
      <w:numFmt w:val="decimal"/>
      <w:lvlText w:val="%1."/>
      <w:lvlJc w:val="left"/>
      <w:pPr>
        <w:ind w:left="720" w:hanging="360"/>
      </w:pPr>
      <w:rPr>
        <w:rFonts w:hint="default"/>
      </w:rPr>
    </w:lvl>
    <w:lvl w:ilvl="1">
      <w:start w:val="5"/>
      <w:numFmt w:val="decimal"/>
      <w:isLgl/>
      <w:lvlText w:val="%1.%2"/>
      <w:lvlJc w:val="left"/>
      <w:pPr>
        <w:ind w:left="126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8">
    <w:nsid w:val="6891472A"/>
    <w:multiLevelType w:val="hybridMultilevel"/>
    <w:tmpl w:val="B352F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8A559D2"/>
    <w:multiLevelType w:val="hybridMultilevel"/>
    <w:tmpl w:val="E3E08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BCA69E5"/>
    <w:multiLevelType w:val="hybridMultilevel"/>
    <w:tmpl w:val="7B283422"/>
    <w:lvl w:ilvl="0" w:tplc="64A460B2">
      <w:numFmt w:val="bullet"/>
      <w:lvlText w:val="•"/>
      <w:lvlJc w:val="left"/>
      <w:pPr>
        <w:ind w:left="1080" w:hanging="360"/>
      </w:pPr>
      <w:rPr>
        <w:rFonts w:ascii="Calibri" w:eastAsiaTheme="minorEastAsia" w:hAnsi="Calibri" w:cs="Lucida Grande"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6C6C3DC9"/>
    <w:multiLevelType w:val="hybridMultilevel"/>
    <w:tmpl w:val="B826FE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CBD6F95"/>
    <w:multiLevelType w:val="hybridMultilevel"/>
    <w:tmpl w:val="5F9EC0A4"/>
    <w:lvl w:ilvl="0" w:tplc="0C09000F">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730C6917"/>
    <w:multiLevelType w:val="multilevel"/>
    <w:tmpl w:val="A82646E0"/>
    <w:lvl w:ilvl="0">
      <w:start w:val="7"/>
      <w:numFmt w:val="decimal"/>
      <w:lvlText w:val="%1."/>
      <w:lvlJc w:val="left"/>
      <w:pPr>
        <w:ind w:left="720" w:hanging="360"/>
      </w:pPr>
      <w:rPr>
        <w:rFonts w:hint="default"/>
        <w:b/>
      </w:rPr>
    </w:lvl>
    <w:lvl w:ilvl="1">
      <w:start w:val="2"/>
      <w:numFmt w:val="decimal"/>
      <w:isLgl/>
      <w:lvlText w:val="%1.%2"/>
      <w:lvlJc w:val="left"/>
      <w:pPr>
        <w:ind w:left="1260" w:hanging="720"/>
      </w:pPr>
      <w:rPr>
        <w:rFonts w:hint="default"/>
      </w:rPr>
    </w:lvl>
    <w:lvl w:ilvl="2">
      <w:start w:val="1"/>
      <w:numFmt w:val="decimal"/>
      <w:lvlText w:val="7.2.%3"/>
      <w:lvlJc w:val="left"/>
      <w:pPr>
        <w:ind w:left="862" w:hanging="720"/>
      </w:pPr>
      <w:rPr>
        <w:rFonts w:hint="default"/>
        <w:b/>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64">
    <w:nsid w:val="79BD11BB"/>
    <w:multiLevelType w:val="hybridMultilevel"/>
    <w:tmpl w:val="FC6A241E"/>
    <w:lvl w:ilvl="0" w:tplc="0409000F">
      <w:start w:val="1"/>
      <w:numFmt w:val="decimal"/>
      <w:lvlText w:val="%1."/>
      <w:lvlJc w:val="left"/>
      <w:pPr>
        <w:ind w:left="720" w:hanging="360"/>
      </w:p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5">
    <w:nsid w:val="7A2B11D3"/>
    <w:multiLevelType w:val="hybridMultilevel"/>
    <w:tmpl w:val="20EC6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3"/>
  </w:num>
  <w:num w:numId="3">
    <w:abstractNumId w:val="37"/>
  </w:num>
  <w:num w:numId="4">
    <w:abstractNumId w:val="36"/>
  </w:num>
  <w:num w:numId="5">
    <w:abstractNumId w:val="48"/>
  </w:num>
  <w:num w:numId="6">
    <w:abstractNumId w:val="1"/>
  </w:num>
  <w:num w:numId="7">
    <w:abstractNumId w:val="64"/>
  </w:num>
  <w:num w:numId="8">
    <w:abstractNumId w:val="10"/>
  </w:num>
  <w:num w:numId="9">
    <w:abstractNumId w:val="7"/>
  </w:num>
  <w:num w:numId="10">
    <w:abstractNumId w:val="9"/>
  </w:num>
  <w:num w:numId="11">
    <w:abstractNumId w:val="14"/>
  </w:num>
  <w:num w:numId="12">
    <w:abstractNumId w:val="35"/>
  </w:num>
  <w:num w:numId="13">
    <w:abstractNumId w:val="56"/>
  </w:num>
  <w:num w:numId="14">
    <w:abstractNumId w:val="47"/>
  </w:num>
  <w:num w:numId="15">
    <w:abstractNumId w:val="17"/>
  </w:num>
  <w:num w:numId="16">
    <w:abstractNumId w:val="19"/>
  </w:num>
  <w:num w:numId="17">
    <w:abstractNumId w:val="46"/>
  </w:num>
  <w:num w:numId="18">
    <w:abstractNumId w:val="15"/>
  </w:num>
  <w:num w:numId="19">
    <w:abstractNumId w:val="24"/>
  </w:num>
  <w:num w:numId="20">
    <w:abstractNumId w:val="11"/>
  </w:num>
  <w:num w:numId="21">
    <w:abstractNumId w:val="50"/>
  </w:num>
  <w:num w:numId="22">
    <w:abstractNumId w:val="52"/>
  </w:num>
  <w:num w:numId="23">
    <w:abstractNumId w:val="28"/>
  </w:num>
  <w:num w:numId="24">
    <w:abstractNumId w:val="16"/>
  </w:num>
  <w:num w:numId="25">
    <w:abstractNumId w:val="12"/>
  </w:num>
  <w:num w:numId="26">
    <w:abstractNumId w:val="31"/>
  </w:num>
  <w:num w:numId="27">
    <w:abstractNumId w:val="27"/>
  </w:num>
  <w:num w:numId="28">
    <w:abstractNumId w:val="54"/>
  </w:num>
  <w:num w:numId="29">
    <w:abstractNumId w:val="5"/>
  </w:num>
  <w:num w:numId="30">
    <w:abstractNumId w:val="63"/>
  </w:num>
  <w:num w:numId="31">
    <w:abstractNumId w:val="63"/>
    <w:lvlOverride w:ilvl="0">
      <w:lvl w:ilvl="0">
        <w:start w:val="7"/>
        <w:numFmt w:val="decimal"/>
        <w:lvlText w:val="%1."/>
        <w:lvlJc w:val="left"/>
        <w:pPr>
          <w:ind w:left="720" w:hanging="360"/>
        </w:pPr>
        <w:rPr>
          <w:rFonts w:hint="default"/>
          <w:b/>
        </w:rPr>
      </w:lvl>
    </w:lvlOverride>
    <w:lvlOverride w:ilvl="1">
      <w:lvl w:ilvl="1">
        <w:start w:val="2"/>
        <w:numFmt w:val="decimal"/>
        <w:isLgl/>
        <w:lvlText w:val="%1.%2"/>
        <w:lvlJc w:val="left"/>
        <w:pPr>
          <w:ind w:left="1260" w:hanging="720"/>
        </w:pPr>
        <w:rPr>
          <w:rFonts w:hint="default"/>
        </w:rPr>
      </w:lvl>
    </w:lvlOverride>
    <w:lvlOverride w:ilvl="2">
      <w:lvl w:ilvl="2">
        <w:start w:val="1"/>
        <w:numFmt w:val="decimal"/>
        <w:lvlText w:val="7.3.%3"/>
        <w:lvlJc w:val="left"/>
        <w:pPr>
          <w:ind w:left="862" w:hanging="720"/>
        </w:pPr>
        <w:rPr>
          <w:rFonts w:hint="default"/>
          <w:b/>
        </w:rPr>
      </w:lvl>
    </w:lvlOverride>
    <w:lvlOverride w:ilvl="3">
      <w:lvl w:ilvl="3">
        <w:start w:val="1"/>
        <w:numFmt w:val="decimal"/>
        <w:isLgl/>
        <w:lvlText w:val="%1.%2.%3.%4"/>
        <w:lvlJc w:val="left"/>
        <w:pPr>
          <w:ind w:left="1620" w:hanging="720"/>
        </w:pPr>
        <w:rPr>
          <w:rFonts w:hint="default"/>
        </w:rPr>
      </w:lvl>
    </w:lvlOverride>
    <w:lvlOverride w:ilvl="4">
      <w:lvl w:ilvl="4">
        <w:start w:val="1"/>
        <w:numFmt w:val="decimal"/>
        <w:isLgl/>
        <w:lvlText w:val="%1.%2.%3.%4.%5"/>
        <w:lvlJc w:val="left"/>
        <w:pPr>
          <w:ind w:left="2160" w:hanging="1080"/>
        </w:pPr>
        <w:rPr>
          <w:rFonts w:hint="default"/>
        </w:rPr>
      </w:lvl>
    </w:lvlOverride>
    <w:lvlOverride w:ilvl="5">
      <w:lvl w:ilvl="5">
        <w:start w:val="1"/>
        <w:numFmt w:val="decimal"/>
        <w:isLgl/>
        <w:lvlText w:val="%1.%2.%3.%4.%5.%6"/>
        <w:lvlJc w:val="left"/>
        <w:pPr>
          <w:ind w:left="2340" w:hanging="1080"/>
        </w:pPr>
        <w:rPr>
          <w:rFonts w:hint="default"/>
        </w:rPr>
      </w:lvl>
    </w:lvlOverride>
    <w:lvlOverride w:ilvl="6">
      <w:lvl w:ilvl="6">
        <w:start w:val="1"/>
        <w:numFmt w:val="decimal"/>
        <w:isLgl/>
        <w:lvlText w:val="%1.%2.%3.%4.%5.%6.%7"/>
        <w:lvlJc w:val="left"/>
        <w:pPr>
          <w:ind w:left="2520" w:hanging="1080"/>
        </w:pPr>
        <w:rPr>
          <w:rFonts w:hint="default"/>
        </w:rPr>
      </w:lvl>
    </w:lvlOverride>
    <w:lvlOverride w:ilvl="7">
      <w:lvl w:ilvl="7">
        <w:start w:val="1"/>
        <w:numFmt w:val="decimal"/>
        <w:isLgl/>
        <w:lvlText w:val="%1.%2.%3.%4.%5.%6.%7.%8"/>
        <w:lvlJc w:val="left"/>
        <w:pPr>
          <w:ind w:left="3060" w:hanging="1440"/>
        </w:pPr>
        <w:rPr>
          <w:rFonts w:hint="default"/>
        </w:rPr>
      </w:lvl>
    </w:lvlOverride>
    <w:lvlOverride w:ilvl="8">
      <w:lvl w:ilvl="8">
        <w:start w:val="1"/>
        <w:numFmt w:val="decimal"/>
        <w:isLgl/>
        <w:lvlText w:val="%1.%2.%3.%4.%5.%6.%7.%8.%9"/>
        <w:lvlJc w:val="left"/>
        <w:pPr>
          <w:ind w:left="3240" w:hanging="1440"/>
        </w:pPr>
        <w:rPr>
          <w:rFonts w:hint="default"/>
        </w:rPr>
      </w:lvl>
    </w:lvlOverride>
  </w:num>
  <w:num w:numId="32">
    <w:abstractNumId w:val="57"/>
  </w:num>
  <w:num w:numId="33">
    <w:abstractNumId w:val="13"/>
  </w:num>
  <w:num w:numId="34">
    <w:abstractNumId w:val="61"/>
  </w:num>
  <w:num w:numId="35">
    <w:abstractNumId w:val="29"/>
  </w:num>
  <w:num w:numId="36">
    <w:abstractNumId w:val="3"/>
  </w:num>
  <w:num w:numId="37">
    <w:abstractNumId w:val="42"/>
  </w:num>
  <w:num w:numId="38">
    <w:abstractNumId w:val="8"/>
  </w:num>
  <w:num w:numId="39">
    <w:abstractNumId w:val="51"/>
  </w:num>
  <w:num w:numId="40">
    <w:abstractNumId w:val="21"/>
  </w:num>
  <w:num w:numId="41">
    <w:abstractNumId w:val="62"/>
  </w:num>
  <w:num w:numId="42">
    <w:abstractNumId w:val="55"/>
  </w:num>
  <w:num w:numId="43">
    <w:abstractNumId w:val="23"/>
  </w:num>
  <w:num w:numId="44">
    <w:abstractNumId w:val="20"/>
  </w:num>
  <w:num w:numId="45">
    <w:abstractNumId w:val="59"/>
  </w:num>
  <w:num w:numId="46">
    <w:abstractNumId w:val="41"/>
  </w:num>
  <w:num w:numId="47">
    <w:abstractNumId w:val="6"/>
  </w:num>
  <w:num w:numId="48">
    <w:abstractNumId w:val="26"/>
  </w:num>
  <w:num w:numId="49">
    <w:abstractNumId w:val="25"/>
  </w:num>
  <w:num w:numId="50">
    <w:abstractNumId w:val="58"/>
  </w:num>
  <w:num w:numId="51">
    <w:abstractNumId w:val="65"/>
  </w:num>
  <w:num w:numId="52">
    <w:abstractNumId w:val="2"/>
  </w:num>
  <w:num w:numId="53">
    <w:abstractNumId w:val="0"/>
  </w:num>
  <w:num w:numId="54">
    <w:abstractNumId w:val="49"/>
  </w:num>
  <w:num w:numId="55">
    <w:abstractNumId w:val="22"/>
  </w:num>
  <w:num w:numId="56">
    <w:abstractNumId w:val="43"/>
  </w:num>
  <w:num w:numId="57">
    <w:abstractNumId w:val="18"/>
  </w:num>
  <w:num w:numId="58">
    <w:abstractNumId w:val="39"/>
  </w:num>
  <w:num w:numId="59">
    <w:abstractNumId w:val="45"/>
  </w:num>
  <w:num w:numId="60">
    <w:abstractNumId w:val="32"/>
  </w:num>
  <w:num w:numId="61">
    <w:abstractNumId w:val="53"/>
  </w:num>
  <w:num w:numId="62">
    <w:abstractNumId w:val="60"/>
  </w:num>
  <w:num w:numId="63">
    <w:abstractNumId w:val="44"/>
  </w:num>
  <w:num w:numId="64">
    <w:abstractNumId w:val="34"/>
  </w:num>
  <w:num w:numId="65">
    <w:abstractNumId w:val="40"/>
  </w:num>
  <w:num w:numId="66">
    <w:abstractNumId w:val="30"/>
  </w:num>
  <w:num w:numId="67">
    <w:abstractNumId w:val="3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57D1"/>
    <w:rsid w:val="0000026B"/>
    <w:rsid w:val="0000174F"/>
    <w:rsid w:val="00001E29"/>
    <w:rsid w:val="00002371"/>
    <w:rsid w:val="00002510"/>
    <w:rsid w:val="00002C78"/>
    <w:rsid w:val="000043B9"/>
    <w:rsid w:val="0000591C"/>
    <w:rsid w:val="00006521"/>
    <w:rsid w:val="000104FE"/>
    <w:rsid w:val="00010A3A"/>
    <w:rsid w:val="00011CD2"/>
    <w:rsid w:val="0001209D"/>
    <w:rsid w:val="0001265C"/>
    <w:rsid w:val="000133D0"/>
    <w:rsid w:val="00013C47"/>
    <w:rsid w:val="000147D7"/>
    <w:rsid w:val="00014994"/>
    <w:rsid w:val="00014CDA"/>
    <w:rsid w:val="00016443"/>
    <w:rsid w:val="00016C6B"/>
    <w:rsid w:val="0002125E"/>
    <w:rsid w:val="00021A35"/>
    <w:rsid w:val="00023258"/>
    <w:rsid w:val="0002623B"/>
    <w:rsid w:val="000265D7"/>
    <w:rsid w:val="000274AB"/>
    <w:rsid w:val="00027506"/>
    <w:rsid w:val="0002783C"/>
    <w:rsid w:val="00027AC2"/>
    <w:rsid w:val="00030429"/>
    <w:rsid w:val="00030970"/>
    <w:rsid w:val="00033C72"/>
    <w:rsid w:val="000352F9"/>
    <w:rsid w:val="0003698C"/>
    <w:rsid w:val="00037F7C"/>
    <w:rsid w:val="0004023C"/>
    <w:rsid w:val="00040A54"/>
    <w:rsid w:val="00041564"/>
    <w:rsid w:val="00041678"/>
    <w:rsid w:val="00043285"/>
    <w:rsid w:val="00043D0E"/>
    <w:rsid w:val="00044E65"/>
    <w:rsid w:val="00044E75"/>
    <w:rsid w:val="00046943"/>
    <w:rsid w:val="00047665"/>
    <w:rsid w:val="00047885"/>
    <w:rsid w:val="00047F29"/>
    <w:rsid w:val="00050BE6"/>
    <w:rsid w:val="0005363D"/>
    <w:rsid w:val="000537C1"/>
    <w:rsid w:val="00054B80"/>
    <w:rsid w:val="00054CD3"/>
    <w:rsid w:val="00055CC7"/>
    <w:rsid w:val="000563BE"/>
    <w:rsid w:val="0005640A"/>
    <w:rsid w:val="000569AE"/>
    <w:rsid w:val="000575DC"/>
    <w:rsid w:val="00057E3D"/>
    <w:rsid w:val="0006052B"/>
    <w:rsid w:val="000616ED"/>
    <w:rsid w:val="00061962"/>
    <w:rsid w:val="00062A70"/>
    <w:rsid w:val="00062EB0"/>
    <w:rsid w:val="000636CD"/>
    <w:rsid w:val="00064EAC"/>
    <w:rsid w:val="00065755"/>
    <w:rsid w:val="00067515"/>
    <w:rsid w:val="0007030B"/>
    <w:rsid w:val="00070EEF"/>
    <w:rsid w:val="00072C08"/>
    <w:rsid w:val="00072C49"/>
    <w:rsid w:val="00073893"/>
    <w:rsid w:val="0007390A"/>
    <w:rsid w:val="000743C0"/>
    <w:rsid w:val="00074AE4"/>
    <w:rsid w:val="00074FC4"/>
    <w:rsid w:val="0007532D"/>
    <w:rsid w:val="000753D5"/>
    <w:rsid w:val="00080861"/>
    <w:rsid w:val="00080BD0"/>
    <w:rsid w:val="00081EAC"/>
    <w:rsid w:val="000822B5"/>
    <w:rsid w:val="00082BD9"/>
    <w:rsid w:val="00083C0B"/>
    <w:rsid w:val="000844C5"/>
    <w:rsid w:val="00085D23"/>
    <w:rsid w:val="00086071"/>
    <w:rsid w:val="00086CFE"/>
    <w:rsid w:val="00090323"/>
    <w:rsid w:val="000924B2"/>
    <w:rsid w:val="000941FB"/>
    <w:rsid w:val="00095349"/>
    <w:rsid w:val="000953A7"/>
    <w:rsid w:val="00095DCA"/>
    <w:rsid w:val="0009721F"/>
    <w:rsid w:val="000A0249"/>
    <w:rsid w:val="000A087D"/>
    <w:rsid w:val="000A0F56"/>
    <w:rsid w:val="000A1978"/>
    <w:rsid w:val="000A19F4"/>
    <w:rsid w:val="000A48F3"/>
    <w:rsid w:val="000A4C3B"/>
    <w:rsid w:val="000A4F4A"/>
    <w:rsid w:val="000A52A8"/>
    <w:rsid w:val="000A5577"/>
    <w:rsid w:val="000A611C"/>
    <w:rsid w:val="000A6AE4"/>
    <w:rsid w:val="000A6D5E"/>
    <w:rsid w:val="000A7A34"/>
    <w:rsid w:val="000B036A"/>
    <w:rsid w:val="000B1D58"/>
    <w:rsid w:val="000B29C9"/>
    <w:rsid w:val="000B2BA5"/>
    <w:rsid w:val="000B2C0D"/>
    <w:rsid w:val="000B3871"/>
    <w:rsid w:val="000B3CC3"/>
    <w:rsid w:val="000B4FA5"/>
    <w:rsid w:val="000B5F00"/>
    <w:rsid w:val="000B7F7D"/>
    <w:rsid w:val="000C00CB"/>
    <w:rsid w:val="000C015B"/>
    <w:rsid w:val="000C0699"/>
    <w:rsid w:val="000C06C0"/>
    <w:rsid w:val="000C0AC0"/>
    <w:rsid w:val="000C0BD6"/>
    <w:rsid w:val="000C2A6F"/>
    <w:rsid w:val="000C3C06"/>
    <w:rsid w:val="000C55D4"/>
    <w:rsid w:val="000C6218"/>
    <w:rsid w:val="000C6A80"/>
    <w:rsid w:val="000D1618"/>
    <w:rsid w:val="000D1875"/>
    <w:rsid w:val="000D1D99"/>
    <w:rsid w:val="000D3D4D"/>
    <w:rsid w:val="000D46DD"/>
    <w:rsid w:val="000D48B0"/>
    <w:rsid w:val="000D54BF"/>
    <w:rsid w:val="000D6C6E"/>
    <w:rsid w:val="000D7882"/>
    <w:rsid w:val="000D797B"/>
    <w:rsid w:val="000E079A"/>
    <w:rsid w:val="000E0EC1"/>
    <w:rsid w:val="000E190F"/>
    <w:rsid w:val="000E2C86"/>
    <w:rsid w:val="000E36A1"/>
    <w:rsid w:val="000E3AC4"/>
    <w:rsid w:val="000E3B3B"/>
    <w:rsid w:val="000E409F"/>
    <w:rsid w:val="000E4102"/>
    <w:rsid w:val="000E475D"/>
    <w:rsid w:val="000E5815"/>
    <w:rsid w:val="000F0143"/>
    <w:rsid w:val="000F09DC"/>
    <w:rsid w:val="000F0E4F"/>
    <w:rsid w:val="000F1FB1"/>
    <w:rsid w:val="000F4F7A"/>
    <w:rsid w:val="000F5382"/>
    <w:rsid w:val="000F5B72"/>
    <w:rsid w:val="000F60AA"/>
    <w:rsid w:val="000F6582"/>
    <w:rsid w:val="000F722A"/>
    <w:rsid w:val="000F7F28"/>
    <w:rsid w:val="00100165"/>
    <w:rsid w:val="00100FAA"/>
    <w:rsid w:val="00101940"/>
    <w:rsid w:val="00102892"/>
    <w:rsid w:val="00103B20"/>
    <w:rsid w:val="00104023"/>
    <w:rsid w:val="0010486F"/>
    <w:rsid w:val="00105DA4"/>
    <w:rsid w:val="00110E9A"/>
    <w:rsid w:val="00111177"/>
    <w:rsid w:val="00112107"/>
    <w:rsid w:val="00114B0E"/>
    <w:rsid w:val="00114DD1"/>
    <w:rsid w:val="00115C0A"/>
    <w:rsid w:val="0011694A"/>
    <w:rsid w:val="00120863"/>
    <w:rsid w:val="00120ADE"/>
    <w:rsid w:val="00123341"/>
    <w:rsid w:val="001244B2"/>
    <w:rsid w:val="00124C0D"/>
    <w:rsid w:val="00125790"/>
    <w:rsid w:val="001262B4"/>
    <w:rsid w:val="00126B7D"/>
    <w:rsid w:val="00127532"/>
    <w:rsid w:val="00127962"/>
    <w:rsid w:val="00130474"/>
    <w:rsid w:val="00141C43"/>
    <w:rsid w:val="00142863"/>
    <w:rsid w:val="001430FE"/>
    <w:rsid w:val="001433FA"/>
    <w:rsid w:val="00143C3F"/>
    <w:rsid w:val="00143C8B"/>
    <w:rsid w:val="001443EA"/>
    <w:rsid w:val="001444ED"/>
    <w:rsid w:val="00145ABC"/>
    <w:rsid w:val="0014698A"/>
    <w:rsid w:val="00146B78"/>
    <w:rsid w:val="001471B6"/>
    <w:rsid w:val="001515B9"/>
    <w:rsid w:val="00151A0C"/>
    <w:rsid w:val="0015277D"/>
    <w:rsid w:val="00153F80"/>
    <w:rsid w:val="00154DF4"/>
    <w:rsid w:val="0015614F"/>
    <w:rsid w:val="0015685A"/>
    <w:rsid w:val="001628DD"/>
    <w:rsid w:val="00162DBD"/>
    <w:rsid w:val="00163177"/>
    <w:rsid w:val="00164792"/>
    <w:rsid w:val="001651F0"/>
    <w:rsid w:val="00165752"/>
    <w:rsid w:val="00167952"/>
    <w:rsid w:val="001702E4"/>
    <w:rsid w:val="00170441"/>
    <w:rsid w:val="00170EF8"/>
    <w:rsid w:val="00171367"/>
    <w:rsid w:val="00172B67"/>
    <w:rsid w:val="001735A9"/>
    <w:rsid w:val="00173706"/>
    <w:rsid w:val="00173AC1"/>
    <w:rsid w:val="001748F4"/>
    <w:rsid w:val="001749B1"/>
    <w:rsid w:val="00175494"/>
    <w:rsid w:val="00175BA8"/>
    <w:rsid w:val="00175C0C"/>
    <w:rsid w:val="00176236"/>
    <w:rsid w:val="001763BF"/>
    <w:rsid w:val="00176B70"/>
    <w:rsid w:val="001770F4"/>
    <w:rsid w:val="001773F9"/>
    <w:rsid w:val="0017753A"/>
    <w:rsid w:val="00180DF4"/>
    <w:rsid w:val="00181FEA"/>
    <w:rsid w:val="0018397F"/>
    <w:rsid w:val="00184AC2"/>
    <w:rsid w:val="00186671"/>
    <w:rsid w:val="001869F9"/>
    <w:rsid w:val="001870A5"/>
    <w:rsid w:val="00187384"/>
    <w:rsid w:val="001913C0"/>
    <w:rsid w:val="00192E21"/>
    <w:rsid w:val="0019385F"/>
    <w:rsid w:val="001940DC"/>
    <w:rsid w:val="00195586"/>
    <w:rsid w:val="0019615E"/>
    <w:rsid w:val="0019661C"/>
    <w:rsid w:val="00196EB3"/>
    <w:rsid w:val="0019711F"/>
    <w:rsid w:val="0019737B"/>
    <w:rsid w:val="001A02C6"/>
    <w:rsid w:val="001A02EE"/>
    <w:rsid w:val="001A1559"/>
    <w:rsid w:val="001A1810"/>
    <w:rsid w:val="001A1929"/>
    <w:rsid w:val="001A4E7A"/>
    <w:rsid w:val="001A6481"/>
    <w:rsid w:val="001A64D9"/>
    <w:rsid w:val="001A6795"/>
    <w:rsid w:val="001A6FCC"/>
    <w:rsid w:val="001B06CE"/>
    <w:rsid w:val="001B16E2"/>
    <w:rsid w:val="001B1AFD"/>
    <w:rsid w:val="001B1E2D"/>
    <w:rsid w:val="001B308B"/>
    <w:rsid w:val="001B3744"/>
    <w:rsid w:val="001B3BB8"/>
    <w:rsid w:val="001B3DB8"/>
    <w:rsid w:val="001B49AC"/>
    <w:rsid w:val="001B593F"/>
    <w:rsid w:val="001B6965"/>
    <w:rsid w:val="001B6EAE"/>
    <w:rsid w:val="001B76DF"/>
    <w:rsid w:val="001B782F"/>
    <w:rsid w:val="001C0BDB"/>
    <w:rsid w:val="001C0E3F"/>
    <w:rsid w:val="001C144C"/>
    <w:rsid w:val="001C14C2"/>
    <w:rsid w:val="001C22D0"/>
    <w:rsid w:val="001C4B75"/>
    <w:rsid w:val="001C736D"/>
    <w:rsid w:val="001C744C"/>
    <w:rsid w:val="001C7811"/>
    <w:rsid w:val="001C7CE8"/>
    <w:rsid w:val="001D05CE"/>
    <w:rsid w:val="001D0730"/>
    <w:rsid w:val="001D0C26"/>
    <w:rsid w:val="001D151D"/>
    <w:rsid w:val="001D1A22"/>
    <w:rsid w:val="001D1C81"/>
    <w:rsid w:val="001D3F4C"/>
    <w:rsid w:val="001D6BD0"/>
    <w:rsid w:val="001E1BAB"/>
    <w:rsid w:val="001E34D4"/>
    <w:rsid w:val="001E3AB2"/>
    <w:rsid w:val="001E4E1F"/>
    <w:rsid w:val="001F0031"/>
    <w:rsid w:val="001F1527"/>
    <w:rsid w:val="001F38F6"/>
    <w:rsid w:val="001F41C0"/>
    <w:rsid w:val="001F5AA3"/>
    <w:rsid w:val="001F6961"/>
    <w:rsid w:val="001F6E93"/>
    <w:rsid w:val="001F7C75"/>
    <w:rsid w:val="002005DA"/>
    <w:rsid w:val="00202816"/>
    <w:rsid w:val="00202A43"/>
    <w:rsid w:val="0020429F"/>
    <w:rsid w:val="002044B3"/>
    <w:rsid w:val="00204669"/>
    <w:rsid w:val="002055B2"/>
    <w:rsid w:val="00206560"/>
    <w:rsid w:val="00207474"/>
    <w:rsid w:val="002076C0"/>
    <w:rsid w:val="00207D0F"/>
    <w:rsid w:val="00212421"/>
    <w:rsid w:val="0021562E"/>
    <w:rsid w:val="00215B27"/>
    <w:rsid w:val="0021619F"/>
    <w:rsid w:val="002162DA"/>
    <w:rsid w:val="00216E53"/>
    <w:rsid w:val="00217183"/>
    <w:rsid w:val="0022122A"/>
    <w:rsid w:val="00221351"/>
    <w:rsid w:val="0022153A"/>
    <w:rsid w:val="00222016"/>
    <w:rsid w:val="00222708"/>
    <w:rsid w:val="002244B9"/>
    <w:rsid w:val="002255E4"/>
    <w:rsid w:val="0022699D"/>
    <w:rsid w:val="002302D3"/>
    <w:rsid w:val="0023085B"/>
    <w:rsid w:val="00230934"/>
    <w:rsid w:val="002310A9"/>
    <w:rsid w:val="002320E5"/>
    <w:rsid w:val="0023255A"/>
    <w:rsid w:val="00233D02"/>
    <w:rsid w:val="00233F20"/>
    <w:rsid w:val="0023450A"/>
    <w:rsid w:val="0023462A"/>
    <w:rsid w:val="00234CD2"/>
    <w:rsid w:val="00234F9D"/>
    <w:rsid w:val="00236F54"/>
    <w:rsid w:val="002418ED"/>
    <w:rsid w:val="00241DC1"/>
    <w:rsid w:val="00242891"/>
    <w:rsid w:val="0024522E"/>
    <w:rsid w:val="002452B3"/>
    <w:rsid w:val="002452BB"/>
    <w:rsid w:val="002454AF"/>
    <w:rsid w:val="00245A4F"/>
    <w:rsid w:val="00245DD7"/>
    <w:rsid w:val="002469C5"/>
    <w:rsid w:val="00246A41"/>
    <w:rsid w:val="002470BD"/>
    <w:rsid w:val="00247AFC"/>
    <w:rsid w:val="0025292E"/>
    <w:rsid w:val="00252A60"/>
    <w:rsid w:val="00252CD4"/>
    <w:rsid w:val="0025402A"/>
    <w:rsid w:val="0025562A"/>
    <w:rsid w:val="00256887"/>
    <w:rsid w:val="00256CAF"/>
    <w:rsid w:val="00261766"/>
    <w:rsid w:val="00262F3C"/>
    <w:rsid w:val="00263209"/>
    <w:rsid w:val="00264017"/>
    <w:rsid w:val="00264567"/>
    <w:rsid w:val="00264592"/>
    <w:rsid w:val="00264810"/>
    <w:rsid w:val="00266D12"/>
    <w:rsid w:val="00267C83"/>
    <w:rsid w:val="00267F47"/>
    <w:rsid w:val="002708E1"/>
    <w:rsid w:val="0027116F"/>
    <w:rsid w:val="00271E7E"/>
    <w:rsid w:val="00272D5C"/>
    <w:rsid w:val="00273D18"/>
    <w:rsid w:val="00273D48"/>
    <w:rsid w:val="00273F51"/>
    <w:rsid w:val="00274F16"/>
    <w:rsid w:val="0027521F"/>
    <w:rsid w:val="00275885"/>
    <w:rsid w:val="0027790A"/>
    <w:rsid w:val="00281E50"/>
    <w:rsid w:val="00282625"/>
    <w:rsid w:val="00282782"/>
    <w:rsid w:val="00282ED2"/>
    <w:rsid w:val="00283112"/>
    <w:rsid w:val="002861E6"/>
    <w:rsid w:val="00286DD4"/>
    <w:rsid w:val="002876C0"/>
    <w:rsid w:val="00290B06"/>
    <w:rsid w:val="00290FD9"/>
    <w:rsid w:val="00291A1E"/>
    <w:rsid w:val="00291A56"/>
    <w:rsid w:val="002920D0"/>
    <w:rsid w:val="00293439"/>
    <w:rsid w:val="00293D1E"/>
    <w:rsid w:val="00293E7F"/>
    <w:rsid w:val="00295063"/>
    <w:rsid w:val="00295536"/>
    <w:rsid w:val="0029631C"/>
    <w:rsid w:val="00296346"/>
    <w:rsid w:val="0029691A"/>
    <w:rsid w:val="002A1729"/>
    <w:rsid w:val="002A23BE"/>
    <w:rsid w:val="002A2D6D"/>
    <w:rsid w:val="002A33C3"/>
    <w:rsid w:val="002A3844"/>
    <w:rsid w:val="002A4A0E"/>
    <w:rsid w:val="002A4AA8"/>
    <w:rsid w:val="002A50C2"/>
    <w:rsid w:val="002A5661"/>
    <w:rsid w:val="002A5DE6"/>
    <w:rsid w:val="002A5FEF"/>
    <w:rsid w:val="002A739B"/>
    <w:rsid w:val="002A763B"/>
    <w:rsid w:val="002B04B4"/>
    <w:rsid w:val="002B30AD"/>
    <w:rsid w:val="002B361B"/>
    <w:rsid w:val="002B3816"/>
    <w:rsid w:val="002B41F8"/>
    <w:rsid w:val="002B4D5C"/>
    <w:rsid w:val="002B4ECA"/>
    <w:rsid w:val="002B6A3D"/>
    <w:rsid w:val="002B6B35"/>
    <w:rsid w:val="002B7913"/>
    <w:rsid w:val="002B7B0F"/>
    <w:rsid w:val="002B7F85"/>
    <w:rsid w:val="002C0146"/>
    <w:rsid w:val="002C026B"/>
    <w:rsid w:val="002C10AF"/>
    <w:rsid w:val="002C2CAB"/>
    <w:rsid w:val="002C2DDC"/>
    <w:rsid w:val="002C31C9"/>
    <w:rsid w:val="002C361C"/>
    <w:rsid w:val="002C5A66"/>
    <w:rsid w:val="002C5D71"/>
    <w:rsid w:val="002C5FD5"/>
    <w:rsid w:val="002C637C"/>
    <w:rsid w:val="002C7707"/>
    <w:rsid w:val="002C786C"/>
    <w:rsid w:val="002D043B"/>
    <w:rsid w:val="002D1725"/>
    <w:rsid w:val="002D2638"/>
    <w:rsid w:val="002D28A0"/>
    <w:rsid w:val="002D3594"/>
    <w:rsid w:val="002D43E0"/>
    <w:rsid w:val="002D4ADE"/>
    <w:rsid w:val="002D5D9E"/>
    <w:rsid w:val="002D65E4"/>
    <w:rsid w:val="002D690B"/>
    <w:rsid w:val="002E01B9"/>
    <w:rsid w:val="002E2F05"/>
    <w:rsid w:val="002F1EDE"/>
    <w:rsid w:val="002F2619"/>
    <w:rsid w:val="002F6629"/>
    <w:rsid w:val="002F7D0A"/>
    <w:rsid w:val="002F7E71"/>
    <w:rsid w:val="003001B6"/>
    <w:rsid w:val="00300A39"/>
    <w:rsid w:val="00300FED"/>
    <w:rsid w:val="00301B8B"/>
    <w:rsid w:val="003028C1"/>
    <w:rsid w:val="00302CA9"/>
    <w:rsid w:val="003044A7"/>
    <w:rsid w:val="0030488F"/>
    <w:rsid w:val="00304CF0"/>
    <w:rsid w:val="00310AAA"/>
    <w:rsid w:val="00311446"/>
    <w:rsid w:val="00311C3C"/>
    <w:rsid w:val="00311FD8"/>
    <w:rsid w:val="003124B1"/>
    <w:rsid w:val="00312B2C"/>
    <w:rsid w:val="0031334A"/>
    <w:rsid w:val="00313CBE"/>
    <w:rsid w:val="00314D21"/>
    <w:rsid w:val="0031588F"/>
    <w:rsid w:val="003161B4"/>
    <w:rsid w:val="0031762B"/>
    <w:rsid w:val="00321E37"/>
    <w:rsid w:val="0032257D"/>
    <w:rsid w:val="0032288A"/>
    <w:rsid w:val="0032291B"/>
    <w:rsid w:val="00322BDA"/>
    <w:rsid w:val="0032357A"/>
    <w:rsid w:val="003244B2"/>
    <w:rsid w:val="0032562A"/>
    <w:rsid w:val="003258FA"/>
    <w:rsid w:val="00326565"/>
    <w:rsid w:val="00330573"/>
    <w:rsid w:val="00330E13"/>
    <w:rsid w:val="00332810"/>
    <w:rsid w:val="00332F9E"/>
    <w:rsid w:val="00332FA3"/>
    <w:rsid w:val="003347AE"/>
    <w:rsid w:val="0033595E"/>
    <w:rsid w:val="003366B3"/>
    <w:rsid w:val="00337327"/>
    <w:rsid w:val="00337D3E"/>
    <w:rsid w:val="00340014"/>
    <w:rsid w:val="00342822"/>
    <w:rsid w:val="003434EC"/>
    <w:rsid w:val="00343931"/>
    <w:rsid w:val="003440CA"/>
    <w:rsid w:val="00345238"/>
    <w:rsid w:val="003460AC"/>
    <w:rsid w:val="0034679D"/>
    <w:rsid w:val="00346D5F"/>
    <w:rsid w:val="00346F7D"/>
    <w:rsid w:val="00347153"/>
    <w:rsid w:val="00347633"/>
    <w:rsid w:val="00351E43"/>
    <w:rsid w:val="003529A6"/>
    <w:rsid w:val="00352C72"/>
    <w:rsid w:val="00352D68"/>
    <w:rsid w:val="0035341F"/>
    <w:rsid w:val="003544E3"/>
    <w:rsid w:val="00354726"/>
    <w:rsid w:val="00354D47"/>
    <w:rsid w:val="00356959"/>
    <w:rsid w:val="003576C9"/>
    <w:rsid w:val="00357BB3"/>
    <w:rsid w:val="00361051"/>
    <w:rsid w:val="00362AD7"/>
    <w:rsid w:val="0036369A"/>
    <w:rsid w:val="00363A35"/>
    <w:rsid w:val="00364829"/>
    <w:rsid w:val="00364C49"/>
    <w:rsid w:val="00364D2B"/>
    <w:rsid w:val="00364DDD"/>
    <w:rsid w:val="0036540C"/>
    <w:rsid w:val="00365BB6"/>
    <w:rsid w:val="00366160"/>
    <w:rsid w:val="00367AAB"/>
    <w:rsid w:val="00367B1E"/>
    <w:rsid w:val="00367DC6"/>
    <w:rsid w:val="003701E2"/>
    <w:rsid w:val="00372B00"/>
    <w:rsid w:val="0037383D"/>
    <w:rsid w:val="00374180"/>
    <w:rsid w:val="0037548A"/>
    <w:rsid w:val="003767C1"/>
    <w:rsid w:val="0037695D"/>
    <w:rsid w:val="00376E8D"/>
    <w:rsid w:val="00377E7A"/>
    <w:rsid w:val="00380A4F"/>
    <w:rsid w:val="00381091"/>
    <w:rsid w:val="00381BDE"/>
    <w:rsid w:val="00381CDC"/>
    <w:rsid w:val="003850C3"/>
    <w:rsid w:val="00385A2C"/>
    <w:rsid w:val="00385D85"/>
    <w:rsid w:val="00385E03"/>
    <w:rsid w:val="003905A3"/>
    <w:rsid w:val="0039120B"/>
    <w:rsid w:val="00391F0F"/>
    <w:rsid w:val="00394108"/>
    <w:rsid w:val="00395AF7"/>
    <w:rsid w:val="00396B40"/>
    <w:rsid w:val="00396E8C"/>
    <w:rsid w:val="003A0098"/>
    <w:rsid w:val="003A0473"/>
    <w:rsid w:val="003A0678"/>
    <w:rsid w:val="003A08A9"/>
    <w:rsid w:val="003A0AF9"/>
    <w:rsid w:val="003A1B94"/>
    <w:rsid w:val="003A1F00"/>
    <w:rsid w:val="003A32AA"/>
    <w:rsid w:val="003A3E8B"/>
    <w:rsid w:val="003A3FC8"/>
    <w:rsid w:val="003A4FB2"/>
    <w:rsid w:val="003A53AE"/>
    <w:rsid w:val="003A5ABD"/>
    <w:rsid w:val="003A66D3"/>
    <w:rsid w:val="003A7B52"/>
    <w:rsid w:val="003B06D3"/>
    <w:rsid w:val="003B3E70"/>
    <w:rsid w:val="003B4140"/>
    <w:rsid w:val="003B48D0"/>
    <w:rsid w:val="003B4924"/>
    <w:rsid w:val="003B4BF7"/>
    <w:rsid w:val="003B4C26"/>
    <w:rsid w:val="003B5AC9"/>
    <w:rsid w:val="003B6C1E"/>
    <w:rsid w:val="003B716D"/>
    <w:rsid w:val="003B7711"/>
    <w:rsid w:val="003B7D5B"/>
    <w:rsid w:val="003C0E72"/>
    <w:rsid w:val="003C15F8"/>
    <w:rsid w:val="003C40A5"/>
    <w:rsid w:val="003C40E4"/>
    <w:rsid w:val="003C4D7A"/>
    <w:rsid w:val="003C56D5"/>
    <w:rsid w:val="003C5BD9"/>
    <w:rsid w:val="003C688F"/>
    <w:rsid w:val="003D05E3"/>
    <w:rsid w:val="003D0FA9"/>
    <w:rsid w:val="003D13C0"/>
    <w:rsid w:val="003D147D"/>
    <w:rsid w:val="003D2AB5"/>
    <w:rsid w:val="003D362B"/>
    <w:rsid w:val="003D3A53"/>
    <w:rsid w:val="003D3B8D"/>
    <w:rsid w:val="003D4449"/>
    <w:rsid w:val="003D5FBB"/>
    <w:rsid w:val="003D657C"/>
    <w:rsid w:val="003D6D1D"/>
    <w:rsid w:val="003D7A56"/>
    <w:rsid w:val="003E0280"/>
    <w:rsid w:val="003E0CF0"/>
    <w:rsid w:val="003E0EA5"/>
    <w:rsid w:val="003E1B35"/>
    <w:rsid w:val="003E1D67"/>
    <w:rsid w:val="003E1F72"/>
    <w:rsid w:val="003E3924"/>
    <w:rsid w:val="003E5363"/>
    <w:rsid w:val="003E578A"/>
    <w:rsid w:val="003E57D1"/>
    <w:rsid w:val="003E59B7"/>
    <w:rsid w:val="003E5E5A"/>
    <w:rsid w:val="003E67FF"/>
    <w:rsid w:val="003F09B4"/>
    <w:rsid w:val="003F0DAE"/>
    <w:rsid w:val="003F2689"/>
    <w:rsid w:val="003F3754"/>
    <w:rsid w:val="003F43BA"/>
    <w:rsid w:val="003F6257"/>
    <w:rsid w:val="003F77C0"/>
    <w:rsid w:val="003F78D8"/>
    <w:rsid w:val="003F7940"/>
    <w:rsid w:val="004010EC"/>
    <w:rsid w:val="004027B4"/>
    <w:rsid w:val="00403853"/>
    <w:rsid w:val="0040503A"/>
    <w:rsid w:val="00406854"/>
    <w:rsid w:val="0040738C"/>
    <w:rsid w:val="0041055C"/>
    <w:rsid w:val="00411133"/>
    <w:rsid w:val="00411401"/>
    <w:rsid w:val="004119DC"/>
    <w:rsid w:val="004122E9"/>
    <w:rsid w:val="0041295E"/>
    <w:rsid w:val="00413752"/>
    <w:rsid w:val="00413FB4"/>
    <w:rsid w:val="00415266"/>
    <w:rsid w:val="00415A45"/>
    <w:rsid w:val="00416295"/>
    <w:rsid w:val="00416641"/>
    <w:rsid w:val="00416726"/>
    <w:rsid w:val="004178EF"/>
    <w:rsid w:val="00417B3F"/>
    <w:rsid w:val="00417B63"/>
    <w:rsid w:val="00420EBB"/>
    <w:rsid w:val="00421095"/>
    <w:rsid w:val="00421383"/>
    <w:rsid w:val="00422055"/>
    <w:rsid w:val="0042226A"/>
    <w:rsid w:val="00422316"/>
    <w:rsid w:val="004228F7"/>
    <w:rsid w:val="004229D7"/>
    <w:rsid w:val="00424A79"/>
    <w:rsid w:val="00425C45"/>
    <w:rsid w:val="00425EA3"/>
    <w:rsid w:val="0042749A"/>
    <w:rsid w:val="00427539"/>
    <w:rsid w:val="00427BF4"/>
    <w:rsid w:val="004306C0"/>
    <w:rsid w:val="004311EF"/>
    <w:rsid w:val="00431853"/>
    <w:rsid w:val="0043249D"/>
    <w:rsid w:val="00432B45"/>
    <w:rsid w:val="00432BEF"/>
    <w:rsid w:val="00435339"/>
    <w:rsid w:val="00435B34"/>
    <w:rsid w:val="00436671"/>
    <w:rsid w:val="00436DAE"/>
    <w:rsid w:val="00437400"/>
    <w:rsid w:val="00437CF2"/>
    <w:rsid w:val="00440352"/>
    <w:rsid w:val="00442420"/>
    <w:rsid w:val="00445729"/>
    <w:rsid w:val="004459E0"/>
    <w:rsid w:val="00445DCA"/>
    <w:rsid w:val="00446914"/>
    <w:rsid w:val="00447CE9"/>
    <w:rsid w:val="00447F2E"/>
    <w:rsid w:val="00450604"/>
    <w:rsid w:val="004506B8"/>
    <w:rsid w:val="004506D7"/>
    <w:rsid w:val="00451126"/>
    <w:rsid w:val="004513DC"/>
    <w:rsid w:val="00451612"/>
    <w:rsid w:val="00451E2D"/>
    <w:rsid w:val="0045216D"/>
    <w:rsid w:val="00452B4F"/>
    <w:rsid w:val="00457030"/>
    <w:rsid w:val="0046059B"/>
    <w:rsid w:val="00460786"/>
    <w:rsid w:val="00460CB9"/>
    <w:rsid w:val="00461BB5"/>
    <w:rsid w:val="00461EF3"/>
    <w:rsid w:val="00462118"/>
    <w:rsid w:val="00462868"/>
    <w:rsid w:val="00463F0F"/>
    <w:rsid w:val="00466183"/>
    <w:rsid w:val="00467942"/>
    <w:rsid w:val="00472492"/>
    <w:rsid w:val="004731A1"/>
    <w:rsid w:val="00473A4B"/>
    <w:rsid w:val="00474B72"/>
    <w:rsid w:val="004768DA"/>
    <w:rsid w:val="004769CF"/>
    <w:rsid w:val="00480342"/>
    <w:rsid w:val="004807E6"/>
    <w:rsid w:val="00480D29"/>
    <w:rsid w:val="004810CB"/>
    <w:rsid w:val="004819A4"/>
    <w:rsid w:val="00482448"/>
    <w:rsid w:val="00482773"/>
    <w:rsid w:val="00483119"/>
    <w:rsid w:val="00483AEC"/>
    <w:rsid w:val="00483B95"/>
    <w:rsid w:val="00483E24"/>
    <w:rsid w:val="00483E66"/>
    <w:rsid w:val="004845D1"/>
    <w:rsid w:val="004851C1"/>
    <w:rsid w:val="00486119"/>
    <w:rsid w:val="00486607"/>
    <w:rsid w:val="0048667E"/>
    <w:rsid w:val="00486A5B"/>
    <w:rsid w:val="00490100"/>
    <w:rsid w:val="00490346"/>
    <w:rsid w:val="00490E3D"/>
    <w:rsid w:val="004917DB"/>
    <w:rsid w:val="004928BE"/>
    <w:rsid w:val="00492E18"/>
    <w:rsid w:val="00493B99"/>
    <w:rsid w:val="004953A8"/>
    <w:rsid w:val="00496A17"/>
    <w:rsid w:val="004A13E1"/>
    <w:rsid w:val="004A270A"/>
    <w:rsid w:val="004A2CAD"/>
    <w:rsid w:val="004A680D"/>
    <w:rsid w:val="004A6D36"/>
    <w:rsid w:val="004A73E7"/>
    <w:rsid w:val="004B0055"/>
    <w:rsid w:val="004B22EF"/>
    <w:rsid w:val="004B385C"/>
    <w:rsid w:val="004B43DF"/>
    <w:rsid w:val="004B58AA"/>
    <w:rsid w:val="004B5CFA"/>
    <w:rsid w:val="004B6428"/>
    <w:rsid w:val="004B77A3"/>
    <w:rsid w:val="004C010C"/>
    <w:rsid w:val="004C0C08"/>
    <w:rsid w:val="004C10C2"/>
    <w:rsid w:val="004C13AC"/>
    <w:rsid w:val="004C18A1"/>
    <w:rsid w:val="004C22C5"/>
    <w:rsid w:val="004C2566"/>
    <w:rsid w:val="004C2995"/>
    <w:rsid w:val="004C2D89"/>
    <w:rsid w:val="004C45C1"/>
    <w:rsid w:val="004C5445"/>
    <w:rsid w:val="004C555F"/>
    <w:rsid w:val="004C589A"/>
    <w:rsid w:val="004C5FA8"/>
    <w:rsid w:val="004D060C"/>
    <w:rsid w:val="004D11B9"/>
    <w:rsid w:val="004D234D"/>
    <w:rsid w:val="004D2D56"/>
    <w:rsid w:val="004D3AFD"/>
    <w:rsid w:val="004D6203"/>
    <w:rsid w:val="004E1F70"/>
    <w:rsid w:val="004E2642"/>
    <w:rsid w:val="004E2FDC"/>
    <w:rsid w:val="004E2FFB"/>
    <w:rsid w:val="004E304E"/>
    <w:rsid w:val="004E3853"/>
    <w:rsid w:val="004E419C"/>
    <w:rsid w:val="004E504E"/>
    <w:rsid w:val="004F3854"/>
    <w:rsid w:val="004F38D8"/>
    <w:rsid w:val="004F3B49"/>
    <w:rsid w:val="004F4949"/>
    <w:rsid w:val="004F6995"/>
    <w:rsid w:val="004F6F9D"/>
    <w:rsid w:val="00500C3A"/>
    <w:rsid w:val="00502145"/>
    <w:rsid w:val="0050376D"/>
    <w:rsid w:val="00503B24"/>
    <w:rsid w:val="00504119"/>
    <w:rsid w:val="00504705"/>
    <w:rsid w:val="00506A9A"/>
    <w:rsid w:val="00506F0C"/>
    <w:rsid w:val="0050711D"/>
    <w:rsid w:val="00507134"/>
    <w:rsid w:val="005108B0"/>
    <w:rsid w:val="00512FDE"/>
    <w:rsid w:val="00513588"/>
    <w:rsid w:val="005135B6"/>
    <w:rsid w:val="00513606"/>
    <w:rsid w:val="005177E9"/>
    <w:rsid w:val="00520740"/>
    <w:rsid w:val="00520753"/>
    <w:rsid w:val="00520F56"/>
    <w:rsid w:val="00521692"/>
    <w:rsid w:val="005226C8"/>
    <w:rsid w:val="00523079"/>
    <w:rsid w:val="0052319A"/>
    <w:rsid w:val="0052391F"/>
    <w:rsid w:val="00524DAC"/>
    <w:rsid w:val="005250BC"/>
    <w:rsid w:val="0052583A"/>
    <w:rsid w:val="00525EA1"/>
    <w:rsid w:val="005305FC"/>
    <w:rsid w:val="00530CA0"/>
    <w:rsid w:val="00532044"/>
    <w:rsid w:val="00533909"/>
    <w:rsid w:val="005342E2"/>
    <w:rsid w:val="00535766"/>
    <w:rsid w:val="00535D30"/>
    <w:rsid w:val="005374C1"/>
    <w:rsid w:val="005379ED"/>
    <w:rsid w:val="005409FD"/>
    <w:rsid w:val="005424F4"/>
    <w:rsid w:val="00544E01"/>
    <w:rsid w:val="00545D93"/>
    <w:rsid w:val="005466FB"/>
    <w:rsid w:val="00547FC4"/>
    <w:rsid w:val="005505B0"/>
    <w:rsid w:val="00550E14"/>
    <w:rsid w:val="005525A7"/>
    <w:rsid w:val="005527D0"/>
    <w:rsid w:val="005539A5"/>
    <w:rsid w:val="00553D6C"/>
    <w:rsid w:val="00555101"/>
    <w:rsid w:val="005569EF"/>
    <w:rsid w:val="00556F08"/>
    <w:rsid w:val="005571F1"/>
    <w:rsid w:val="005609A7"/>
    <w:rsid w:val="00560A71"/>
    <w:rsid w:val="00560B01"/>
    <w:rsid w:val="00561D62"/>
    <w:rsid w:val="005627B1"/>
    <w:rsid w:val="005628FB"/>
    <w:rsid w:val="005653BA"/>
    <w:rsid w:val="005663C5"/>
    <w:rsid w:val="0056695F"/>
    <w:rsid w:val="005673C9"/>
    <w:rsid w:val="00567FA3"/>
    <w:rsid w:val="0057019D"/>
    <w:rsid w:val="005707A7"/>
    <w:rsid w:val="00571C4F"/>
    <w:rsid w:val="00573266"/>
    <w:rsid w:val="00574E23"/>
    <w:rsid w:val="00575633"/>
    <w:rsid w:val="00576856"/>
    <w:rsid w:val="00577280"/>
    <w:rsid w:val="005778AC"/>
    <w:rsid w:val="005804E2"/>
    <w:rsid w:val="005805E3"/>
    <w:rsid w:val="00582075"/>
    <w:rsid w:val="00582552"/>
    <w:rsid w:val="00582C3B"/>
    <w:rsid w:val="00582F0D"/>
    <w:rsid w:val="00583B9F"/>
    <w:rsid w:val="00584B37"/>
    <w:rsid w:val="00584D5C"/>
    <w:rsid w:val="00585C2F"/>
    <w:rsid w:val="00585D8A"/>
    <w:rsid w:val="00587F2C"/>
    <w:rsid w:val="00590954"/>
    <w:rsid w:val="00590D79"/>
    <w:rsid w:val="00591571"/>
    <w:rsid w:val="0059193F"/>
    <w:rsid w:val="00591E29"/>
    <w:rsid w:val="00593B27"/>
    <w:rsid w:val="0059435F"/>
    <w:rsid w:val="00596689"/>
    <w:rsid w:val="00597FEC"/>
    <w:rsid w:val="005A2A37"/>
    <w:rsid w:val="005A2D79"/>
    <w:rsid w:val="005A3642"/>
    <w:rsid w:val="005A505E"/>
    <w:rsid w:val="005A6A0A"/>
    <w:rsid w:val="005A6E3D"/>
    <w:rsid w:val="005A7F35"/>
    <w:rsid w:val="005B5F6A"/>
    <w:rsid w:val="005B619E"/>
    <w:rsid w:val="005B6981"/>
    <w:rsid w:val="005B7914"/>
    <w:rsid w:val="005C07ED"/>
    <w:rsid w:val="005C0A7A"/>
    <w:rsid w:val="005C11B5"/>
    <w:rsid w:val="005C2682"/>
    <w:rsid w:val="005C2D7C"/>
    <w:rsid w:val="005C2E2B"/>
    <w:rsid w:val="005C512A"/>
    <w:rsid w:val="005C5E09"/>
    <w:rsid w:val="005C709B"/>
    <w:rsid w:val="005C7DD9"/>
    <w:rsid w:val="005D035A"/>
    <w:rsid w:val="005D03D4"/>
    <w:rsid w:val="005D22C9"/>
    <w:rsid w:val="005D3615"/>
    <w:rsid w:val="005D4009"/>
    <w:rsid w:val="005D5686"/>
    <w:rsid w:val="005D6409"/>
    <w:rsid w:val="005D6BE5"/>
    <w:rsid w:val="005D6F6C"/>
    <w:rsid w:val="005E1990"/>
    <w:rsid w:val="005E20B0"/>
    <w:rsid w:val="005E307C"/>
    <w:rsid w:val="005E55E5"/>
    <w:rsid w:val="005F0B53"/>
    <w:rsid w:val="005F0C17"/>
    <w:rsid w:val="005F0F69"/>
    <w:rsid w:val="005F30DA"/>
    <w:rsid w:val="005F3125"/>
    <w:rsid w:val="005F3BA9"/>
    <w:rsid w:val="005F4BED"/>
    <w:rsid w:val="005F5A09"/>
    <w:rsid w:val="005F7238"/>
    <w:rsid w:val="005F749C"/>
    <w:rsid w:val="0060191F"/>
    <w:rsid w:val="00601D3C"/>
    <w:rsid w:val="006042C1"/>
    <w:rsid w:val="00604A59"/>
    <w:rsid w:val="0061054A"/>
    <w:rsid w:val="00610D25"/>
    <w:rsid w:val="006113EF"/>
    <w:rsid w:val="00611672"/>
    <w:rsid w:val="00611E78"/>
    <w:rsid w:val="0061221C"/>
    <w:rsid w:val="006124FC"/>
    <w:rsid w:val="00612622"/>
    <w:rsid w:val="00614461"/>
    <w:rsid w:val="00614508"/>
    <w:rsid w:val="00614F9E"/>
    <w:rsid w:val="00617037"/>
    <w:rsid w:val="006173A3"/>
    <w:rsid w:val="0061790F"/>
    <w:rsid w:val="00620000"/>
    <w:rsid w:val="00620260"/>
    <w:rsid w:val="00620946"/>
    <w:rsid w:val="00620B02"/>
    <w:rsid w:val="00620BCE"/>
    <w:rsid w:val="00620D7E"/>
    <w:rsid w:val="0062146D"/>
    <w:rsid w:val="006220FB"/>
    <w:rsid w:val="00622916"/>
    <w:rsid w:val="00623075"/>
    <w:rsid w:val="00623EF5"/>
    <w:rsid w:val="00624139"/>
    <w:rsid w:val="00624169"/>
    <w:rsid w:val="00624431"/>
    <w:rsid w:val="0062446A"/>
    <w:rsid w:val="0062489A"/>
    <w:rsid w:val="00624FE3"/>
    <w:rsid w:val="00625B6F"/>
    <w:rsid w:val="00626D16"/>
    <w:rsid w:val="0062795D"/>
    <w:rsid w:val="006279DD"/>
    <w:rsid w:val="00627A36"/>
    <w:rsid w:val="00630887"/>
    <w:rsid w:val="00630F11"/>
    <w:rsid w:val="00632696"/>
    <w:rsid w:val="00633243"/>
    <w:rsid w:val="00633546"/>
    <w:rsid w:val="00633DF7"/>
    <w:rsid w:val="0063474F"/>
    <w:rsid w:val="006355FB"/>
    <w:rsid w:val="00635716"/>
    <w:rsid w:val="006363D2"/>
    <w:rsid w:val="00636635"/>
    <w:rsid w:val="00640337"/>
    <w:rsid w:val="00640970"/>
    <w:rsid w:val="00640E17"/>
    <w:rsid w:val="006431EA"/>
    <w:rsid w:val="00643805"/>
    <w:rsid w:val="006442A4"/>
    <w:rsid w:val="006459DB"/>
    <w:rsid w:val="00646C1F"/>
    <w:rsid w:val="00646E11"/>
    <w:rsid w:val="0064730A"/>
    <w:rsid w:val="00647946"/>
    <w:rsid w:val="00647983"/>
    <w:rsid w:val="0065092D"/>
    <w:rsid w:val="00652F7F"/>
    <w:rsid w:val="006547A9"/>
    <w:rsid w:val="00654F95"/>
    <w:rsid w:val="006552F1"/>
    <w:rsid w:val="00655CA6"/>
    <w:rsid w:val="00656E8F"/>
    <w:rsid w:val="0065717D"/>
    <w:rsid w:val="00657F7C"/>
    <w:rsid w:val="0066106D"/>
    <w:rsid w:val="0066167C"/>
    <w:rsid w:val="00661BF9"/>
    <w:rsid w:val="0066427D"/>
    <w:rsid w:val="00665517"/>
    <w:rsid w:val="00666486"/>
    <w:rsid w:val="006700CC"/>
    <w:rsid w:val="00670620"/>
    <w:rsid w:val="00670E89"/>
    <w:rsid w:val="0067241A"/>
    <w:rsid w:val="0067261C"/>
    <w:rsid w:val="0067370A"/>
    <w:rsid w:val="00673D36"/>
    <w:rsid w:val="00673E43"/>
    <w:rsid w:val="00676AD3"/>
    <w:rsid w:val="0068030C"/>
    <w:rsid w:val="00682135"/>
    <w:rsid w:val="00682840"/>
    <w:rsid w:val="00684110"/>
    <w:rsid w:val="00686179"/>
    <w:rsid w:val="006867F8"/>
    <w:rsid w:val="00687BEC"/>
    <w:rsid w:val="0069163B"/>
    <w:rsid w:val="0069357C"/>
    <w:rsid w:val="00693A25"/>
    <w:rsid w:val="006943AB"/>
    <w:rsid w:val="006948D0"/>
    <w:rsid w:val="006961D5"/>
    <w:rsid w:val="0069718F"/>
    <w:rsid w:val="00697276"/>
    <w:rsid w:val="00697DF8"/>
    <w:rsid w:val="006A0480"/>
    <w:rsid w:val="006A151A"/>
    <w:rsid w:val="006A3DEA"/>
    <w:rsid w:val="006A5AEE"/>
    <w:rsid w:val="006A5C15"/>
    <w:rsid w:val="006A5EAB"/>
    <w:rsid w:val="006A67F8"/>
    <w:rsid w:val="006A7D5F"/>
    <w:rsid w:val="006B0A1E"/>
    <w:rsid w:val="006B2692"/>
    <w:rsid w:val="006B2F75"/>
    <w:rsid w:val="006B3BD9"/>
    <w:rsid w:val="006B4849"/>
    <w:rsid w:val="006B49C6"/>
    <w:rsid w:val="006B4CBD"/>
    <w:rsid w:val="006B4DBE"/>
    <w:rsid w:val="006B4F4C"/>
    <w:rsid w:val="006B6CCB"/>
    <w:rsid w:val="006B7EF7"/>
    <w:rsid w:val="006C0526"/>
    <w:rsid w:val="006C1844"/>
    <w:rsid w:val="006C1A84"/>
    <w:rsid w:val="006C2CA0"/>
    <w:rsid w:val="006C327D"/>
    <w:rsid w:val="006C34B6"/>
    <w:rsid w:val="006C43E3"/>
    <w:rsid w:val="006C60F7"/>
    <w:rsid w:val="006C6361"/>
    <w:rsid w:val="006C6D34"/>
    <w:rsid w:val="006C6D4D"/>
    <w:rsid w:val="006C7CE3"/>
    <w:rsid w:val="006D045D"/>
    <w:rsid w:val="006D057C"/>
    <w:rsid w:val="006D29C6"/>
    <w:rsid w:val="006D2FB7"/>
    <w:rsid w:val="006D36C1"/>
    <w:rsid w:val="006D3AE0"/>
    <w:rsid w:val="006D4563"/>
    <w:rsid w:val="006D46B1"/>
    <w:rsid w:val="006D4A2F"/>
    <w:rsid w:val="006D77DB"/>
    <w:rsid w:val="006D7BFD"/>
    <w:rsid w:val="006E0ECA"/>
    <w:rsid w:val="006E1022"/>
    <w:rsid w:val="006E1A72"/>
    <w:rsid w:val="006E29B0"/>
    <w:rsid w:val="006E29D2"/>
    <w:rsid w:val="006E2D14"/>
    <w:rsid w:val="006E3A73"/>
    <w:rsid w:val="006E63BC"/>
    <w:rsid w:val="006E6760"/>
    <w:rsid w:val="006E71AB"/>
    <w:rsid w:val="006E7548"/>
    <w:rsid w:val="006F04D4"/>
    <w:rsid w:val="006F1137"/>
    <w:rsid w:val="006F18D9"/>
    <w:rsid w:val="006F1BF8"/>
    <w:rsid w:val="006F1F75"/>
    <w:rsid w:val="006F2CE6"/>
    <w:rsid w:val="006F38D5"/>
    <w:rsid w:val="006F4813"/>
    <w:rsid w:val="006F6397"/>
    <w:rsid w:val="006F6562"/>
    <w:rsid w:val="006F6786"/>
    <w:rsid w:val="006F6AAD"/>
    <w:rsid w:val="006F7D60"/>
    <w:rsid w:val="006F7DDA"/>
    <w:rsid w:val="00700BAD"/>
    <w:rsid w:val="0070126A"/>
    <w:rsid w:val="00702694"/>
    <w:rsid w:val="00703F83"/>
    <w:rsid w:val="007046FB"/>
    <w:rsid w:val="007049BF"/>
    <w:rsid w:val="00704E82"/>
    <w:rsid w:val="00706059"/>
    <w:rsid w:val="00706DB5"/>
    <w:rsid w:val="007072A6"/>
    <w:rsid w:val="00707375"/>
    <w:rsid w:val="00710653"/>
    <w:rsid w:val="00710C4E"/>
    <w:rsid w:val="00710FD7"/>
    <w:rsid w:val="007110D4"/>
    <w:rsid w:val="007116D6"/>
    <w:rsid w:val="00713D9E"/>
    <w:rsid w:val="0071436D"/>
    <w:rsid w:val="00715A36"/>
    <w:rsid w:val="00715E6C"/>
    <w:rsid w:val="00717482"/>
    <w:rsid w:val="007204FD"/>
    <w:rsid w:val="00720916"/>
    <w:rsid w:val="00720A0F"/>
    <w:rsid w:val="007220EF"/>
    <w:rsid w:val="00722922"/>
    <w:rsid w:val="00723865"/>
    <w:rsid w:val="007238AD"/>
    <w:rsid w:val="00723ED8"/>
    <w:rsid w:val="00724CED"/>
    <w:rsid w:val="00724D43"/>
    <w:rsid w:val="00725372"/>
    <w:rsid w:val="00725888"/>
    <w:rsid w:val="007263A5"/>
    <w:rsid w:val="0072671D"/>
    <w:rsid w:val="00732029"/>
    <w:rsid w:val="00732C13"/>
    <w:rsid w:val="00734BD8"/>
    <w:rsid w:val="00737397"/>
    <w:rsid w:val="0073757F"/>
    <w:rsid w:val="0073799C"/>
    <w:rsid w:val="00737CE1"/>
    <w:rsid w:val="00737D6C"/>
    <w:rsid w:val="00740E56"/>
    <w:rsid w:val="0074168C"/>
    <w:rsid w:val="00744601"/>
    <w:rsid w:val="007446C8"/>
    <w:rsid w:val="00744D08"/>
    <w:rsid w:val="007460DC"/>
    <w:rsid w:val="00746E7D"/>
    <w:rsid w:val="00747BBF"/>
    <w:rsid w:val="00747F97"/>
    <w:rsid w:val="00751466"/>
    <w:rsid w:val="00751CAF"/>
    <w:rsid w:val="00752A2D"/>
    <w:rsid w:val="00752D00"/>
    <w:rsid w:val="00753110"/>
    <w:rsid w:val="00753B13"/>
    <w:rsid w:val="00755113"/>
    <w:rsid w:val="00755611"/>
    <w:rsid w:val="00756A2B"/>
    <w:rsid w:val="00756CAF"/>
    <w:rsid w:val="00757376"/>
    <w:rsid w:val="00757811"/>
    <w:rsid w:val="00761EA8"/>
    <w:rsid w:val="00762B88"/>
    <w:rsid w:val="00764272"/>
    <w:rsid w:val="007644C2"/>
    <w:rsid w:val="007644E5"/>
    <w:rsid w:val="0076469C"/>
    <w:rsid w:val="0076564A"/>
    <w:rsid w:val="007659CF"/>
    <w:rsid w:val="00765FAA"/>
    <w:rsid w:val="007669D7"/>
    <w:rsid w:val="00766FDE"/>
    <w:rsid w:val="007672B7"/>
    <w:rsid w:val="00767BC4"/>
    <w:rsid w:val="00767E4E"/>
    <w:rsid w:val="0077019D"/>
    <w:rsid w:val="007707F3"/>
    <w:rsid w:val="0077107A"/>
    <w:rsid w:val="00771DC6"/>
    <w:rsid w:val="00773094"/>
    <w:rsid w:val="0077407A"/>
    <w:rsid w:val="00775018"/>
    <w:rsid w:val="00775C09"/>
    <w:rsid w:val="00776B3F"/>
    <w:rsid w:val="00777ECB"/>
    <w:rsid w:val="007810E2"/>
    <w:rsid w:val="0078239E"/>
    <w:rsid w:val="007823A2"/>
    <w:rsid w:val="00783E57"/>
    <w:rsid w:val="00784292"/>
    <w:rsid w:val="00784F7F"/>
    <w:rsid w:val="0078503D"/>
    <w:rsid w:val="007863D6"/>
    <w:rsid w:val="00786432"/>
    <w:rsid w:val="00786AC4"/>
    <w:rsid w:val="00786BBE"/>
    <w:rsid w:val="00787502"/>
    <w:rsid w:val="00790C77"/>
    <w:rsid w:val="00792F1E"/>
    <w:rsid w:val="00793229"/>
    <w:rsid w:val="00793D7D"/>
    <w:rsid w:val="007946AF"/>
    <w:rsid w:val="00794AC5"/>
    <w:rsid w:val="00796856"/>
    <w:rsid w:val="00797BC5"/>
    <w:rsid w:val="007A2032"/>
    <w:rsid w:val="007A2D31"/>
    <w:rsid w:val="007A2E2D"/>
    <w:rsid w:val="007A3E8D"/>
    <w:rsid w:val="007A4C94"/>
    <w:rsid w:val="007A4E79"/>
    <w:rsid w:val="007A60CF"/>
    <w:rsid w:val="007B0ED4"/>
    <w:rsid w:val="007B29DB"/>
    <w:rsid w:val="007B521C"/>
    <w:rsid w:val="007B5772"/>
    <w:rsid w:val="007B61B7"/>
    <w:rsid w:val="007B6BD8"/>
    <w:rsid w:val="007B6E72"/>
    <w:rsid w:val="007B7619"/>
    <w:rsid w:val="007B7C1C"/>
    <w:rsid w:val="007C19E1"/>
    <w:rsid w:val="007C594E"/>
    <w:rsid w:val="007C5FC6"/>
    <w:rsid w:val="007C6BD5"/>
    <w:rsid w:val="007C6CF8"/>
    <w:rsid w:val="007C72F9"/>
    <w:rsid w:val="007C77E4"/>
    <w:rsid w:val="007C7A01"/>
    <w:rsid w:val="007C7EA8"/>
    <w:rsid w:val="007D1EB5"/>
    <w:rsid w:val="007D3A52"/>
    <w:rsid w:val="007D66E7"/>
    <w:rsid w:val="007D7A02"/>
    <w:rsid w:val="007D7B07"/>
    <w:rsid w:val="007E15DF"/>
    <w:rsid w:val="007E1951"/>
    <w:rsid w:val="007E1AF6"/>
    <w:rsid w:val="007E21AF"/>
    <w:rsid w:val="007E250E"/>
    <w:rsid w:val="007E3090"/>
    <w:rsid w:val="007E4D01"/>
    <w:rsid w:val="007E4F18"/>
    <w:rsid w:val="007E5823"/>
    <w:rsid w:val="007E60EA"/>
    <w:rsid w:val="007F0541"/>
    <w:rsid w:val="007F0894"/>
    <w:rsid w:val="007F0D5C"/>
    <w:rsid w:val="007F14A0"/>
    <w:rsid w:val="007F1FA3"/>
    <w:rsid w:val="007F2E71"/>
    <w:rsid w:val="007F34A9"/>
    <w:rsid w:val="007F3FC1"/>
    <w:rsid w:val="007F59D9"/>
    <w:rsid w:val="007F6303"/>
    <w:rsid w:val="007F67FA"/>
    <w:rsid w:val="007F6B62"/>
    <w:rsid w:val="007F6D60"/>
    <w:rsid w:val="0080065F"/>
    <w:rsid w:val="00800E1A"/>
    <w:rsid w:val="00801409"/>
    <w:rsid w:val="00801DAF"/>
    <w:rsid w:val="00802131"/>
    <w:rsid w:val="00802323"/>
    <w:rsid w:val="00802BC8"/>
    <w:rsid w:val="00803473"/>
    <w:rsid w:val="00805BF8"/>
    <w:rsid w:val="00805FCA"/>
    <w:rsid w:val="0080680A"/>
    <w:rsid w:val="00806CD9"/>
    <w:rsid w:val="00806D76"/>
    <w:rsid w:val="008072A5"/>
    <w:rsid w:val="00807CFC"/>
    <w:rsid w:val="008108C0"/>
    <w:rsid w:val="008110BC"/>
    <w:rsid w:val="008120FD"/>
    <w:rsid w:val="00812300"/>
    <w:rsid w:val="008136A8"/>
    <w:rsid w:val="00813739"/>
    <w:rsid w:val="00813B95"/>
    <w:rsid w:val="0081488D"/>
    <w:rsid w:val="00814DD2"/>
    <w:rsid w:val="0081601E"/>
    <w:rsid w:val="00816EB3"/>
    <w:rsid w:val="00817218"/>
    <w:rsid w:val="0081781F"/>
    <w:rsid w:val="00817D00"/>
    <w:rsid w:val="00821AE9"/>
    <w:rsid w:val="00822B65"/>
    <w:rsid w:val="00822F30"/>
    <w:rsid w:val="00823880"/>
    <w:rsid w:val="0082396A"/>
    <w:rsid w:val="008239A8"/>
    <w:rsid w:val="00824B6D"/>
    <w:rsid w:val="008258A5"/>
    <w:rsid w:val="00825E26"/>
    <w:rsid w:val="0082630E"/>
    <w:rsid w:val="00826576"/>
    <w:rsid w:val="00827073"/>
    <w:rsid w:val="008270C5"/>
    <w:rsid w:val="00827E21"/>
    <w:rsid w:val="0083072B"/>
    <w:rsid w:val="00831D33"/>
    <w:rsid w:val="008320D8"/>
    <w:rsid w:val="008325CB"/>
    <w:rsid w:val="00832E4E"/>
    <w:rsid w:val="00832EB9"/>
    <w:rsid w:val="00835840"/>
    <w:rsid w:val="00835860"/>
    <w:rsid w:val="0083588F"/>
    <w:rsid w:val="008377DB"/>
    <w:rsid w:val="00837D80"/>
    <w:rsid w:val="00840C98"/>
    <w:rsid w:val="008411CC"/>
    <w:rsid w:val="008412AD"/>
    <w:rsid w:val="00841AAB"/>
    <w:rsid w:val="008433AE"/>
    <w:rsid w:val="0084368D"/>
    <w:rsid w:val="0084386C"/>
    <w:rsid w:val="00844839"/>
    <w:rsid w:val="00844AF8"/>
    <w:rsid w:val="00844B90"/>
    <w:rsid w:val="00844B98"/>
    <w:rsid w:val="00844B99"/>
    <w:rsid w:val="0084603D"/>
    <w:rsid w:val="008464B3"/>
    <w:rsid w:val="008470FF"/>
    <w:rsid w:val="00847153"/>
    <w:rsid w:val="00847189"/>
    <w:rsid w:val="008475E4"/>
    <w:rsid w:val="00847E1E"/>
    <w:rsid w:val="008534E9"/>
    <w:rsid w:val="008536B1"/>
    <w:rsid w:val="00854038"/>
    <w:rsid w:val="00856986"/>
    <w:rsid w:val="00856DC5"/>
    <w:rsid w:val="008572FB"/>
    <w:rsid w:val="008576EF"/>
    <w:rsid w:val="00861DFB"/>
    <w:rsid w:val="00864518"/>
    <w:rsid w:val="00864630"/>
    <w:rsid w:val="008647E6"/>
    <w:rsid w:val="00864D9D"/>
    <w:rsid w:val="0086504E"/>
    <w:rsid w:val="00865879"/>
    <w:rsid w:val="008661FA"/>
    <w:rsid w:val="00866D9E"/>
    <w:rsid w:val="00867414"/>
    <w:rsid w:val="0087035F"/>
    <w:rsid w:val="00871C2A"/>
    <w:rsid w:val="008744B2"/>
    <w:rsid w:val="00874727"/>
    <w:rsid w:val="00874D32"/>
    <w:rsid w:val="0087591C"/>
    <w:rsid w:val="00875F2E"/>
    <w:rsid w:val="00876386"/>
    <w:rsid w:val="0087674F"/>
    <w:rsid w:val="00876FB1"/>
    <w:rsid w:val="0087791F"/>
    <w:rsid w:val="0088180E"/>
    <w:rsid w:val="00883A27"/>
    <w:rsid w:val="008840AB"/>
    <w:rsid w:val="00885061"/>
    <w:rsid w:val="008859EE"/>
    <w:rsid w:val="00887944"/>
    <w:rsid w:val="00890020"/>
    <w:rsid w:val="008904B1"/>
    <w:rsid w:val="00890997"/>
    <w:rsid w:val="0089126F"/>
    <w:rsid w:val="00891358"/>
    <w:rsid w:val="00892014"/>
    <w:rsid w:val="008928B1"/>
    <w:rsid w:val="00892DD9"/>
    <w:rsid w:val="008941FC"/>
    <w:rsid w:val="00894668"/>
    <w:rsid w:val="00894892"/>
    <w:rsid w:val="008952C0"/>
    <w:rsid w:val="00896601"/>
    <w:rsid w:val="00896623"/>
    <w:rsid w:val="00896FF7"/>
    <w:rsid w:val="00897589"/>
    <w:rsid w:val="00897644"/>
    <w:rsid w:val="008A017B"/>
    <w:rsid w:val="008A02E4"/>
    <w:rsid w:val="008A0499"/>
    <w:rsid w:val="008A0F6C"/>
    <w:rsid w:val="008A324E"/>
    <w:rsid w:val="008A33B2"/>
    <w:rsid w:val="008A3A19"/>
    <w:rsid w:val="008A3EE7"/>
    <w:rsid w:val="008A4248"/>
    <w:rsid w:val="008A4BD7"/>
    <w:rsid w:val="008A59F4"/>
    <w:rsid w:val="008A5D1B"/>
    <w:rsid w:val="008A6453"/>
    <w:rsid w:val="008A6B81"/>
    <w:rsid w:val="008A6CE1"/>
    <w:rsid w:val="008A7469"/>
    <w:rsid w:val="008A7534"/>
    <w:rsid w:val="008A7AF1"/>
    <w:rsid w:val="008A7DEC"/>
    <w:rsid w:val="008B0AE1"/>
    <w:rsid w:val="008B5035"/>
    <w:rsid w:val="008B642C"/>
    <w:rsid w:val="008B742E"/>
    <w:rsid w:val="008B7A6C"/>
    <w:rsid w:val="008B7C8C"/>
    <w:rsid w:val="008B7E7C"/>
    <w:rsid w:val="008C1020"/>
    <w:rsid w:val="008C10FD"/>
    <w:rsid w:val="008C322D"/>
    <w:rsid w:val="008C55F8"/>
    <w:rsid w:val="008C6428"/>
    <w:rsid w:val="008C6B88"/>
    <w:rsid w:val="008C776B"/>
    <w:rsid w:val="008C7837"/>
    <w:rsid w:val="008D10F4"/>
    <w:rsid w:val="008D11E5"/>
    <w:rsid w:val="008D1C82"/>
    <w:rsid w:val="008D259A"/>
    <w:rsid w:val="008D25E5"/>
    <w:rsid w:val="008D27F7"/>
    <w:rsid w:val="008D51E7"/>
    <w:rsid w:val="008D5BEF"/>
    <w:rsid w:val="008D664D"/>
    <w:rsid w:val="008D688E"/>
    <w:rsid w:val="008D71FB"/>
    <w:rsid w:val="008D7690"/>
    <w:rsid w:val="008E01B1"/>
    <w:rsid w:val="008E0A9B"/>
    <w:rsid w:val="008E0AA0"/>
    <w:rsid w:val="008E0AE6"/>
    <w:rsid w:val="008E207F"/>
    <w:rsid w:val="008E2AF5"/>
    <w:rsid w:val="008E2BE5"/>
    <w:rsid w:val="008E2F7F"/>
    <w:rsid w:val="008E3318"/>
    <w:rsid w:val="008E390B"/>
    <w:rsid w:val="008E4C35"/>
    <w:rsid w:val="008E5831"/>
    <w:rsid w:val="008E603D"/>
    <w:rsid w:val="008E609F"/>
    <w:rsid w:val="008E66B4"/>
    <w:rsid w:val="008F097C"/>
    <w:rsid w:val="008F3163"/>
    <w:rsid w:val="008F31BF"/>
    <w:rsid w:val="008F46A0"/>
    <w:rsid w:val="008F48F8"/>
    <w:rsid w:val="008F7435"/>
    <w:rsid w:val="008F74D7"/>
    <w:rsid w:val="008F7829"/>
    <w:rsid w:val="008F7947"/>
    <w:rsid w:val="00900830"/>
    <w:rsid w:val="00900C03"/>
    <w:rsid w:val="00900E86"/>
    <w:rsid w:val="00901F61"/>
    <w:rsid w:val="009041C3"/>
    <w:rsid w:val="009042E3"/>
    <w:rsid w:val="00905AA2"/>
    <w:rsid w:val="009072F5"/>
    <w:rsid w:val="00907F0B"/>
    <w:rsid w:val="0091031A"/>
    <w:rsid w:val="00910616"/>
    <w:rsid w:val="009116F0"/>
    <w:rsid w:val="0091322F"/>
    <w:rsid w:val="009140CE"/>
    <w:rsid w:val="00914562"/>
    <w:rsid w:val="00915744"/>
    <w:rsid w:val="009159D2"/>
    <w:rsid w:val="00915E43"/>
    <w:rsid w:val="009166DB"/>
    <w:rsid w:val="009209DE"/>
    <w:rsid w:val="00920CF6"/>
    <w:rsid w:val="00922BF4"/>
    <w:rsid w:val="009241FF"/>
    <w:rsid w:val="0092439B"/>
    <w:rsid w:val="00924471"/>
    <w:rsid w:val="00924F16"/>
    <w:rsid w:val="00925357"/>
    <w:rsid w:val="009269CC"/>
    <w:rsid w:val="009272CC"/>
    <w:rsid w:val="00927536"/>
    <w:rsid w:val="00927925"/>
    <w:rsid w:val="009307E6"/>
    <w:rsid w:val="00930958"/>
    <w:rsid w:val="009322E2"/>
    <w:rsid w:val="00932396"/>
    <w:rsid w:val="009328A9"/>
    <w:rsid w:val="0093368F"/>
    <w:rsid w:val="009336AF"/>
    <w:rsid w:val="009351B9"/>
    <w:rsid w:val="009354B8"/>
    <w:rsid w:val="00935D75"/>
    <w:rsid w:val="009368D8"/>
    <w:rsid w:val="009377C1"/>
    <w:rsid w:val="0093786B"/>
    <w:rsid w:val="00937A86"/>
    <w:rsid w:val="0094029C"/>
    <w:rsid w:val="00940DC8"/>
    <w:rsid w:val="00941200"/>
    <w:rsid w:val="009414B2"/>
    <w:rsid w:val="009420BC"/>
    <w:rsid w:val="0094302A"/>
    <w:rsid w:val="0094362E"/>
    <w:rsid w:val="009437DD"/>
    <w:rsid w:val="009450B9"/>
    <w:rsid w:val="0094780F"/>
    <w:rsid w:val="009504C3"/>
    <w:rsid w:val="00951A74"/>
    <w:rsid w:val="00951AFB"/>
    <w:rsid w:val="009535B3"/>
    <w:rsid w:val="009568C0"/>
    <w:rsid w:val="00957391"/>
    <w:rsid w:val="00960800"/>
    <w:rsid w:val="0096093C"/>
    <w:rsid w:val="00962C2F"/>
    <w:rsid w:val="0096309E"/>
    <w:rsid w:val="009637A1"/>
    <w:rsid w:val="0096637D"/>
    <w:rsid w:val="009671A8"/>
    <w:rsid w:val="00967599"/>
    <w:rsid w:val="009703B5"/>
    <w:rsid w:val="00970B9E"/>
    <w:rsid w:val="009712FB"/>
    <w:rsid w:val="00971A1E"/>
    <w:rsid w:val="00971C9E"/>
    <w:rsid w:val="00972A3F"/>
    <w:rsid w:val="00972A56"/>
    <w:rsid w:val="00973C4B"/>
    <w:rsid w:val="00974E02"/>
    <w:rsid w:val="00974F5E"/>
    <w:rsid w:val="00975398"/>
    <w:rsid w:val="00975792"/>
    <w:rsid w:val="009760AE"/>
    <w:rsid w:val="009815B2"/>
    <w:rsid w:val="00981934"/>
    <w:rsid w:val="00983023"/>
    <w:rsid w:val="0098311D"/>
    <w:rsid w:val="00983C53"/>
    <w:rsid w:val="00984171"/>
    <w:rsid w:val="00984DD9"/>
    <w:rsid w:val="00986E90"/>
    <w:rsid w:val="009873BA"/>
    <w:rsid w:val="00987B18"/>
    <w:rsid w:val="00991255"/>
    <w:rsid w:val="00991752"/>
    <w:rsid w:val="00993505"/>
    <w:rsid w:val="0099378D"/>
    <w:rsid w:val="00993B7D"/>
    <w:rsid w:val="0099432E"/>
    <w:rsid w:val="0099565E"/>
    <w:rsid w:val="00995AB9"/>
    <w:rsid w:val="009967EB"/>
    <w:rsid w:val="00997E45"/>
    <w:rsid w:val="009A0635"/>
    <w:rsid w:val="009A1879"/>
    <w:rsid w:val="009A2D07"/>
    <w:rsid w:val="009A301A"/>
    <w:rsid w:val="009A303E"/>
    <w:rsid w:val="009A5DEC"/>
    <w:rsid w:val="009A6B08"/>
    <w:rsid w:val="009B00A4"/>
    <w:rsid w:val="009B02B3"/>
    <w:rsid w:val="009B0F14"/>
    <w:rsid w:val="009B1E6D"/>
    <w:rsid w:val="009B1E84"/>
    <w:rsid w:val="009B295D"/>
    <w:rsid w:val="009B310A"/>
    <w:rsid w:val="009B3356"/>
    <w:rsid w:val="009B3A79"/>
    <w:rsid w:val="009B42AC"/>
    <w:rsid w:val="009B4C0A"/>
    <w:rsid w:val="009B5547"/>
    <w:rsid w:val="009B618E"/>
    <w:rsid w:val="009B7CE4"/>
    <w:rsid w:val="009B7E24"/>
    <w:rsid w:val="009B7F3A"/>
    <w:rsid w:val="009C0A16"/>
    <w:rsid w:val="009C0E72"/>
    <w:rsid w:val="009C0FDE"/>
    <w:rsid w:val="009C18B1"/>
    <w:rsid w:val="009C2886"/>
    <w:rsid w:val="009C3FF9"/>
    <w:rsid w:val="009C424D"/>
    <w:rsid w:val="009C519B"/>
    <w:rsid w:val="009C5D95"/>
    <w:rsid w:val="009C7B2E"/>
    <w:rsid w:val="009C7ED1"/>
    <w:rsid w:val="009D1510"/>
    <w:rsid w:val="009D1F1B"/>
    <w:rsid w:val="009D20C0"/>
    <w:rsid w:val="009D27C9"/>
    <w:rsid w:val="009D2BCD"/>
    <w:rsid w:val="009D44E8"/>
    <w:rsid w:val="009D541C"/>
    <w:rsid w:val="009D6518"/>
    <w:rsid w:val="009D72A7"/>
    <w:rsid w:val="009E00CC"/>
    <w:rsid w:val="009E0210"/>
    <w:rsid w:val="009E0B92"/>
    <w:rsid w:val="009E255D"/>
    <w:rsid w:val="009E2EB8"/>
    <w:rsid w:val="009E4599"/>
    <w:rsid w:val="009E5D6A"/>
    <w:rsid w:val="009F1627"/>
    <w:rsid w:val="009F2AD9"/>
    <w:rsid w:val="009F2B6E"/>
    <w:rsid w:val="009F31B0"/>
    <w:rsid w:val="009F49E5"/>
    <w:rsid w:val="009F4FD8"/>
    <w:rsid w:val="009F5F37"/>
    <w:rsid w:val="009F6681"/>
    <w:rsid w:val="009F6A1B"/>
    <w:rsid w:val="009F7956"/>
    <w:rsid w:val="00A0009C"/>
    <w:rsid w:val="00A01609"/>
    <w:rsid w:val="00A0198E"/>
    <w:rsid w:val="00A01B5F"/>
    <w:rsid w:val="00A02A54"/>
    <w:rsid w:val="00A02AB5"/>
    <w:rsid w:val="00A03895"/>
    <w:rsid w:val="00A03964"/>
    <w:rsid w:val="00A03AA8"/>
    <w:rsid w:val="00A03CC3"/>
    <w:rsid w:val="00A04562"/>
    <w:rsid w:val="00A051CE"/>
    <w:rsid w:val="00A05891"/>
    <w:rsid w:val="00A061C1"/>
    <w:rsid w:val="00A073BE"/>
    <w:rsid w:val="00A073EA"/>
    <w:rsid w:val="00A07BC6"/>
    <w:rsid w:val="00A125AF"/>
    <w:rsid w:val="00A12A62"/>
    <w:rsid w:val="00A1303A"/>
    <w:rsid w:val="00A13132"/>
    <w:rsid w:val="00A1498B"/>
    <w:rsid w:val="00A16605"/>
    <w:rsid w:val="00A17077"/>
    <w:rsid w:val="00A1781E"/>
    <w:rsid w:val="00A17D92"/>
    <w:rsid w:val="00A208E7"/>
    <w:rsid w:val="00A20AAC"/>
    <w:rsid w:val="00A20E77"/>
    <w:rsid w:val="00A210A1"/>
    <w:rsid w:val="00A2296D"/>
    <w:rsid w:val="00A2412C"/>
    <w:rsid w:val="00A244DF"/>
    <w:rsid w:val="00A24AA5"/>
    <w:rsid w:val="00A24AFC"/>
    <w:rsid w:val="00A24CBE"/>
    <w:rsid w:val="00A325A7"/>
    <w:rsid w:val="00A32D13"/>
    <w:rsid w:val="00A33818"/>
    <w:rsid w:val="00A3516A"/>
    <w:rsid w:val="00A35F37"/>
    <w:rsid w:val="00A36E29"/>
    <w:rsid w:val="00A37021"/>
    <w:rsid w:val="00A426B0"/>
    <w:rsid w:val="00A43A22"/>
    <w:rsid w:val="00A44DFB"/>
    <w:rsid w:val="00A44E7A"/>
    <w:rsid w:val="00A44F75"/>
    <w:rsid w:val="00A45418"/>
    <w:rsid w:val="00A45CD0"/>
    <w:rsid w:val="00A46521"/>
    <w:rsid w:val="00A5072B"/>
    <w:rsid w:val="00A53D75"/>
    <w:rsid w:val="00A54FE6"/>
    <w:rsid w:val="00A550C1"/>
    <w:rsid w:val="00A555BD"/>
    <w:rsid w:val="00A564B8"/>
    <w:rsid w:val="00A604D1"/>
    <w:rsid w:val="00A60A9A"/>
    <w:rsid w:val="00A61460"/>
    <w:rsid w:val="00A61BC9"/>
    <w:rsid w:val="00A62B5C"/>
    <w:rsid w:val="00A63427"/>
    <w:rsid w:val="00A63FF5"/>
    <w:rsid w:val="00A64520"/>
    <w:rsid w:val="00A65F1E"/>
    <w:rsid w:val="00A65F6F"/>
    <w:rsid w:val="00A72C57"/>
    <w:rsid w:val="00A743CD"/>
    <w:rsid w:val="00A751A3"/>
    <w:rsid w:val="00A756F3"/>
    <w:rsid w:val="00A761C7"/>
    <w:rsid w:val="00A76B14"/>
    <w:rsid w:val="00A80436"/>
    <w:rsid w:val="00A8083C"/>
    <w:rsid w:val="00A8177F"/>
    <w:rsid w:val="00A8383D"/>
    <w:rsid w:val="00A83C1F"/>
    <w:rsid w:val="00A84AB7"/>
    <w:rsid w:val="00A850DE"/>
    <w:rsid w:val="00A85465"/>
    <w:rsid w:val="00A858E3"/>
    <w:rsid w:val="00A863D5"/>
    <w:rsid w:val="00A87E21"/>
    <w:rsid w:val="00A91B27"/>
    <w:rsid w:val="00A91C24"/>
    <w:rsid w:val="00A91F53"/>
    <w:rsid w:val="00A921F5"/>
    <w:rsid w:val="00A92B94"/>
    <w:rsid w:val="00A95B40"/>
    <w:rsid w:val="00A95F5B"/>
    <w:rsid w:val="00A96147"/>
    <w:rsid w:val="00A96162"/>
    <w:rsid w:val="00A96C15"/>
    <w:rsid w:val="00A970A2"/>
    <w:rsid w:val="00A97302"/>
    <w:rsid w:val="00AA37FC"/>
    <w:rsid w:val="00AA425C"/>
    <w:rsid w:val="00AA723E"/>
    <w:rsid w:val="00AB032D"/>
    <w:rsid w:val="00AB04B8"/>
    <w:rsid w:val="00AB05C5"/>
    <w:rsid w:val="00AB0B41"/>
    <w:rsid w:val="00AB203D"/>
    <w:rsid w:val="00AB207C"/>
    <w:rsid w:val="00AB267C"/>
    <w:rsid w:val="00AB4539"/>
    <w:rsid w:val="00AB4745"/>
    <w:rsid w:val="00AB561B"/>
    <w:rsid w:val="00AB62DC"/>
    <w:rsid w:val="00AB74F5"/>
    <w:rsid w:val="00AC0368"/>
    <w:rsid w:val="00AC03F8"/>
    <w:rsid w:val="00AC0AE6"/>
    <w:rsid w:val="00AC2670"/>
    <w:rsid w:val="00AC2CB7"/>
    <w:rsid w:val="00AC49A8"/>
    <w:rsid w:val="00AC50F3"/>
    <w:rsid w:val="00AC62C4"/>
    <w:rsid w:val="00AC6AED"/>
    <w:rsid w:val="00AC76F7"/>
    <w:rsid w:val="00AC7BD2"/>
    <w:rsid w:val="00AD011C"/>
    <w:rsid w:val="00AD0460"/>
    <w:rsid w:val="00AD10B7"/>
    <w:rsid w:val="00AD2026"/>
    <w:rsid w:val="00AD2785"/>
    <w:rsid w:val="00AD3038"/>
    <w:rsid w:val="00AD58F7"/>
    <w:rsid w:val="00AD7113"/>
    <w:rsid w:val="00AE0BAF"/>
    <w:rsid w:val="00AE0FAB"/>
    <w:rsid w:val="00AE16E9"/>
    <w:rsid w:val="00AE1A8D"/>
    <w:rsid w:val="00AE1CA8"/>
    <w:rsid w:val="00AE2D44"/>
    <w:rsid w:val="00AE4716"/>
    <w:rsid w:val="00AE66B9"/>
    <w:rsid w:val="00AE6946"/>
    <w:rsid w:val="00AE7ACF"/>
    <w:rsid w:val="00AF082B"/>
    <w:rsid w:val="00AF11A1"/>
    <w:rsid w:val="00AF167B"/>
    <w:rsid w:val="00AF1FCB"/>
    <w:rsid w:val="00AF50B5"/>
    <w:rsid w:val="00AF529F"/>
    <w:rsid w:val="00AF6A9F"/>
    <w:rsid w:val="00AF6C62"/>
    <w:rsid w:val="00B00339"/>
    <w:rsid w:val="00B0040F"/>
    <w:rsid w:val="00B00B0B"/>
    <w:rsid w:val="00B0146A"/>
    <w:rsid w:val="00B025C3"/>
    <w:rsid w:val="00B02E5D"/>
    <w:rsid w:val="00B03430"/>
    <w:rsid w:val="00B05DD3"/>
    <w:rsid w:val="00B078A9"/>
    <w:rsid w:val="00B10C40"/>
    <w:rsid w:val="00B1162A"/>
    <w:rsid w:val="00B1166A"/>
    <w:rsid w:val="00B11A06"/>
    <w:rsid w:val="00B1226E"/>
    <w:rsid w:val="00B12982"/>
    <w:rsid w:val="00B13AD8"/>
    <w:rsid w:val="00B14961"/>
    <w:rsid w:val="00B165C7"/>
    <w:rsid w:val="00B1668C"/>
    <w:rsid w:val="00B16CBE"/>
    <w:rsid w:val="00B16DC3"/>
    <w:rsid w:val="00B1762C"/>
    <w:rsid w:val="00B17D58"/>
    <w:rsid w:val="00B20E96"/>
    <w:rsid w:val="00B20FC4"/>
    <w:rsid w:val="00B21945"/>
    <w:rsid w:val="00B21AF9"/>
    <w:rsid w:val="00B22988"/>
    <w:rsid w:val="00B22EA9"/>
    <w:rsid w:val="00B236D3"/>
    <w:rsid w:val="00B24A9C"/>
    <w:rsid w:val="00B25912"/>
    <w:rsid w:val="00B262E7"/>
    <w:rsid w:val="00B2676F"/>
    <w:rsid w:val="00B27E2F"/>
    <w:rsid w:val="00B308BA"/>
    <w:rsid w:val="00B310B2"/>
    <w:rsid w:val="00B317AE"/>
    <w:rsid w:val="00B323F1"/>
    <w:rsid w:val="00B32833"/>
    <w:rsid w:val="00B34664"/>
    <w:rsid w:val="00B351B7"/>
    <w:rsid w:val="00B3549F"/>
    <w:rsid w:val="00B35DC5"/>
    <w:rsid w:val="00B35EF3"/>
    <w:rsid w:val="00B37708"/>
    <w:rsid w:val="00B408EA"/>
    <w:rsid w:val="00B4186D"/>
    <w:rsid w:val="00B41AC6"/>
    <w:rsid w:val="00B42445"/>
    <w:rsid w:val="00B4574B"/>
    <w:rsid w:val="00B46847"/>
    <w:rsid w:val="00B46D87"/>
    <w:rsid w:val="00B472A5"/>
    <w:rsid w:val="00B47355"/>
    <w:rsid w:val="00B47649"/>
    <w:rsid w:val="00B51096"/>
    <w:rsid w:val="00B5291E"/>
    <w:rsid w:val="00B5317B"/>
    <w:rsid w:val="00B536BF"/>
    <w:rsid w:val="00B53EEF"/>
    <w:rsid w:val="00B5430C"/>
    <w:rsid w:val="00B56168"/>
    <w:rsid w:val="00B578CE"/>
    <w:rsid w:val="00B6033D"/>
    <w:rsid w:val="00B6296E"/>
    <w:rsid w:val="00B6310C"/>
    <w:rsid w:val="00B635EB"/>
    <w:rsid w:val="00B63CB8"/>
    <w:rsid w:val="00B64591"/>
    <w:rsid w:val="00B645E2"/>
    <w:rsid w:val="00B6574E"/>
    <w:rsid w:val="00B65B54"/>
    <w:rsid w:val="00B6608D"/>
    <w:rsid w:val="00B67E3B"/>
    <w:rsid w:val="00B71A6D"/>
    <w:rsid w:val="00B71AE1"/>
    <w:rsid w:val="00B72341"/>
    <w:rsid w:val="00B72C66"/>
    <w:rsid w:val="00B7475A"/>
    <w:rsid w:val="00B7572B"/>
    <w:rsid w:val="00B7724F"/>
    <w:rsid w:val="00B7739F"/>
    <w:rsid w:val="00B77725"/>
    <w:rsid w:val="00B77EE0"/>
    <w:rsid w:val="00B77EF2"/>
    <w:rsid w:val="00B80FF7"/>
    <w:rsid w:val="00B81627"/>
    <w:rsid w:val="00B81FE7"/>
    <w:rsid w:val="00B82EE8"/>
    <w:rsid w:val="00B83FDA"/>
    <w:rsid w:val="00B847DC"/>
    <w:rsid w:val="00B855F8"/>
    <w:rsid w:val="00B86009"/>
    <w:rsid w:val="00B86468"/>
    <w:rsid w:val="00B87973"/>
    <w:rsid w:val="00B9118C"/>
    <w:rsid w:val="00B91766"/>
    <w:rsid w:val="00B918EB"/>
    <w:rsid w:val="00B91DF1"/>
    <w:rsid w:val="00B92BAD"/>
    <w:rsid w:val="00B93A4A"/>
    <w:rsid w:val="00B93D0A"/>
    <w:rsid w:val="00B950CF"/>
    <w:rsid w:val="00B953D1"/>
    <w:rsid w:val="00B970AB"/>
    <w:rsid w:val="00B97428"/>
    <w:rsid w:val="00B9799C"/>
    <w:rsid w:val="00B97E2C"/>
    <w:rsid w:val="00BA0AA1"/>
    <w:rsid w:val="00BA1A19"/>
    <w:rsid w:val="00BA3AD6"/>
    <w:rsid w:val="00BA5F43"/>
    <w:rsid w:val="00BA6F9D"/>
    <w:rsid w:val="00BA7714"/>
    <w:rsid w:val="00BA78BB"/>
    <w:rsid w:val="00BB046E"/>
    <w:rsid w:val="00BB14F1"/>
    <w:rsid w:val="00BB2391"/>
    <w:rsid w:val="00BB2E54"/>
    <w:rsid w:val="00BB49E0"/>
    <w:rsid w:val="00BB5A08"/>
    <w:rsid w:val="00BB5E20"/>
    <w:rsid w:val="00BB685B"/>
    <w:rsid w:val="00BB6A41"/>
    <w:rsid w:val="00BB6DE9"/>
    <w:rsid w:val="00BC0CB6"/>
    <w:rsid w:val="00BC3708"/>
    <w:rsid w:val="00BC37C1"/>
    <w:rsid w:val="00BC3B8D"/>
    <w:rsid w:val="00BC50FD"/>
    <w:rsid w:val="00BC5BD6"/>
    <w:rsid w:val="00BC6C28"/>
    <w:rsid w:val="00BC73F1"/>
    <w:rsid w:val="00BC7FAE"/>
    <w:rsid w:val="00BD0916"/>
    <w:rsid w:val="00BD0969"/>
    <w:rsid w:val="00BD22D8"/>
    <w:rsid w:val="00BD28C4"/>
    <w:rsid w:val="00BD2B1C"/>
    <w:rsid w:val="00BD45EE"/>
    <w:rsid w:val="00BD486B"/>
    <w:rsid w:val="00BD5D37"/>
    <w:rsid w:val="00BD6F01"/>
    <w:rsid w:val="00BE00B4"/>
    <w:rsid w:val="00BE145A"/>
    <w:rsid w:val="00BE3365"/>
    <w:rsid w:val="00BE4486"/>
    <w:rsid w:val="00BE4CA4"/>
    <w:rsid w:val="00BE55AE"/>
    <w:rsid w:val="00BE588B"/>
    <w:rsid w:val="00BE5930"/>
    <w:rsid w:val="00BE5CD4"/>
    <w:rsid w:val="00BE62DC"/>
    <w:rsid w:val="00BE6416"/>
    <w:rsid w:val="00BE69B9"/>
    <w:rsid w:val="00BE709A"/>
    <w:rsid w:val="00BE76C5"/>
    <w:rsid w:val="00BE79B6"/>
    <w:rsid w:val="00BF05EF"/>
    <w:rsid w:val="00BF0EB8"/>
    <w:rsid w:val="00BF194A"/>
    <w:rsid w:val="00BF2CD1"/>
    <w:rsid w:val="00BF4B9A"/>
    <w:rsid w:val="00BF4CDE"/>
    <w:rsid w:val="00BF4E4D"/>
    <w:rsid w:val="00BF5603"/>
    <w:rsid w:val="00BF687D"/>
    <w:rsid w:val="00BF6BE2"/>
    <w:rsid w:val="00BF7D1E"/>
    <w:rsid w:val="00C00039"/>
    <w:rsid w:val="00C00D8B"/>
    <w:rsid w:val="00C01D43"/>
    <w:rsid w:val="00C02451"/>
    <w:rsid w:val="00C0403E"/>
    <w:rsid w:val="00C05187"/>
    <w:rsid w:val="00C055AD"/>
    <w:rsid w:val="00C059D6"/>
    <w:rsid w:val="00C05D95"/>
    <w:rsid w:val="00C100E9"/>
    <w:rsid w:val="00C10945"/>
    <w:rsid w:val="00C11422"/>
    <w:rsid w:val="00C1288C"/>
    <w:rsid w:val="00C12CED"/>
    <w:rsid w:val="00C135A1"/>
    <w:rsid w:val="00C14F28"/>
    <w:rsid w:val="00C16B3A"/>
    <w:rsid w:val="00C2045C"/>
    <w:rsid w:val="00C20CF1"/>
    <w:rsid w:val="00C216D8"/>
    <w:rsid w:val="00C22FB6"/>
    <w:rsid w:val="00C23052"/>
    <w:rsid w:val="00C23C9B"/>
    <w:rsid w:val="00C25057"/>
    <w:rsid w:val="00C2542E"/>
    <w:rsid w:val="00C25848"/>
    <w:rsid w:val="00C25C04"/>
    <w:rsid w:val="00C25DFC"/>
    <w:rsid w:val="00C267CA"/>
    <w:rsid w:val="00C26B08"/>
    <w:rsid w:val="00C26C33"/>
    <w:rsid w:val="00C27288"/>
    <w:rsid w:val="00C273B3"/>
    <w:rsid w:val="00C279AF"/>
    <w:rsid w:val="00C30F62"/>
    <w:rsid w:val="00C31200"/>
    <w:rsid w:val="00C31ADA"/>
    <w:rsid w:val="00C31C6C"/>
    <w:rsid w:val="00C3282D"/>
    <w:rsid w:val="00C33DC8"/>
    <w:rsid w:val="00C33ED9"/>
    <w:rsid w:val="00C35357"/>
    <w:rsid w:val="00C353F4"/>
    <w:rsid w:val="00C357B6"/>
    <w:rsid w:val="00C36110"/>
    <w:rsid w:val="00C36FAF"/>
    <w:rsid w:val="00C378F7"/>
    <w:rsid w:val="00C37DAD"/>
    <w:rsid w:val="00C37EE6"/>
    <w:rsid w:val="00C40A63"/>
    <w:rsid w:val="00C41DF9"/>
    <w:rsid w:val="00C42ACA"/>
    <w:rsid w:val="00C43CC5"/>
    <w:rsid w:val="00C44B7B"/>
    <w:rsid w:val="00C4588C"/>
    <w:rsid w:val="00C45E66"/>
    <w:rsid w:val="00C4662A"/>
    <w:rsid w:val="00C470E8"/>
    <w:rsid w:val="00C47CC3"/>
    <w:rsid w:val="00C47DE9"/>
    <w:rsid w:val="00C50EE9"/>
    <w:rsid w:val="00C5200C"/>
    <w:rsid w:val="00C5269B"/>
    <w:rsid w:val="00C52EF6"/>
    <w:rsid w:val="00C53CD1"/>
    <w:rsid w:val="00C544C7"/>
    <w:rsid w:val="00C54E38"/>
    <w:rsid w:val="00C56213"/>
    <w:rsid w:val="00C56929"/>
    <w:rsid w:val="00C6079C"/>
    <w:rsid w:val="00C609A2"/>
    <w:rsid w:val="00C62650"/>
    <w:rsid w:val="00C62809"/>
    <w:rsid w:val="00C63795"/>
    <w:rsid w:val="00C638A0"/>
    <w:rsid w:val="00C63C88"/>
    <w:rsid w:val="00C63E43"/>
    <w:rsid w:val="00C65EBC"/>
    <w:rsid w:val="00C66031"/>
    <w:rsid w:val="00C66643"/>
    <w:rsid w:val="00C67F5D"/>
    <w:rsid w:val="00C70075"/>
    <w:rsid w:val="00C712FF"/>
    <w:rsid w:val="00C72CE9"/>
    <w:rsid w:val="00C73243"/>
    <w:rsid w:val="00C74093"/>
    <w:rsid w:val="00C74A49"/>
    <w:rsid w:val="00C76245"/>
    <w:rsid w:val="00C76467"/>
    <w:rsid w:val="00C767D2"/>
    <w:rsid w:val="00C77237"/>
    <w:rsid w:val="00C77FA2"/>
    <w:rsid w:val="00C80B29"/>
    <w:rsid w:val="00C81421"/>
    <w:rsid w:val="00C820B3"/>
    <w:rsid w:val="00C82D7C"/>
    <w:rsid w:val="00C831E0"/>
    <w:rsid w:val="00C83A27"/>
    <w:rsid w:val="00C83F0F"/>
    <w:rsid w:val="00C84554"/>
    <w:rsid w:val="00C84632"/>
    <w:rsid w:val="00C84AE5"/>
    <w:rsid w:val="00C8610B"/>
    <w:rsid w:val="00C86602"/>
    <w:rsid w:val="00C867FB"/>
    <w:rsid w:val="00C873D7"/>
    <w:rsid w:val="00C875CD"/>
    <w:rsid w:val="00C87682"/>
    <w:rsid w:val="00C90E85"/>
    <w:rsid w:val="00C91E32"/>
    <w:rsid w:val="00C93186"/>
    <w:rsid w:val="00C934D7"/>
    <w:rsid w:val="00C9454A"/>
    <w:rsid w:val="00C95003"/>
    <w:rsid w:val="00C96F0C"/>
    <w:rsid w:val="00CA0278"/>
    <w:rsid w:val="00CA1C14"/>
    <w:rsid w:val="00CA439C"/>
    <w:rsid w:val="00CA5630"/>
    <w:rsid w:val="00CA5976"/>
    <w:rsid w:val="00CA6877"/>
    <w:rsid w:val="00CA6884"/>
    <w:rsid w:val="00CA7BCE"/>
    <w:rsid w:val="00CA7E5B"/>
    <w:rsid w:val="00CB0255"/>
    <w:rsid w:val="00CB0E6F"/>
    <w:rsid w:val="00CB27F0"/>
    <w:rsid w:val="00CB3D1F"/>
    <w:rsid w:val="00CB548C"/>
    <w:rsid w:val="00CB6897"/>
    <w:rsid w:val="00CB786B"/>
    <w:rsid w:val="00CB7A70"/>
    <w:rsid w:val="00CC0696"/>
    <w:rsid w:val="00CC1248"/>
    <w:rsid w:val="00CC16D9"/>
    <w:rsid w:val="00CC24B0"/>
    <w:rsid w:val="00CC2779"/>
    <w:rsid w:val="00CC4BD7"/>
    <w:rsid w:val="00CC4C63"/>
    <w:rsid w:val="00CC5C16"/>
    <w:rsid w:val="00CC69C2"/>
    <w:rsid w:val="00CC6B4C"/>
    <w:rsid w:val="00CD0022"/>
    <w:rsid w:val="00CD066F"/>
    <w:rsid w:val="00CD0A85"/>
    <w:rsid w:val="00CD0E67"/>
    <w:rsid w:val="00CD18E5"/>
    <w:rsid w:val="00CD1F58"/>
    <w:rsid w:val="00CD26F1"/>
    <w:rsid w:val="00CD3A16"/>
    <w:rsid w:val="00CD3D33"/>
    <w:rsid w:val="00CD54C8"/>
    <w:rsid w:val="00CD5C53"/>
    <w:rsid w:val="00CD5EA0"/>
    <w:rsid w:val="00CD7157"/>
    <w:rsid w:val="00CE0325"/>
    <w:rsid w:val="00CE07E2"/>
    <w:rsid w:val="00CE1150"/>
    <w:rsid w:val="00CE2BCB"/>
    <w:rsid w:val="00CE4867"/>
    <w:rsid w:val="00CE5834"/>
    <w:rsid w:val="00CE6389"/>
    <w:rsid w:val="00CE6530"/>
    <w:rsid w:val="00CE7C35"/>
    <w:rsid w:val="00CE7ED8"/>
    <w:rsid w:val="00CF0421"/>
    <w:rsid w:val="00CF28BB"/>
    <w:rsid w:val="00CF4ED5"/>
    <w:rsid w:val="00CF6CDB"/>
    <w:rsid w:val="00CF7262"/>
    <w:rsid w:val="00CF728E"/>
    <w:rsid w:val="00CF7AF8"/>
    <w:rsid w:val="00CF7EF8"/>
    <w:rsid w:val="00D044FD"/>
    <w:rsid w:val="00D04ADC"/>
    <w:rsid w:val="00D04B83"/>
    <w:rsid w:val="00D04F4C"/>
    <w:rsid w:val="00D05079"/>
    <w:rsid w:val="00D05365"/>
    <w:rsid w:val="00D05C1A"/>
    <w:rsid w:val="00D06F37"/>
    <w:rsid w:val="00D071F0"/>
    <w:rsid w:val="00D07B87"/>
    <w:rsid w:val="00D10A46"/>
    <w:rsid w:val="00D10FB8"/>
    <w:rsid w:val="00D11D30"/>
    <w:rsid w:val="00D120B6"/>
    <w:rsid w:val="00D132D0"/>
    <w:rsid w:val="00D13678"/>
    <w:rsid w:val="00D149A2"/>
    <w:rsid w:val="00D14D44"/>
    <w:rsid w:val="00D14D52"/>
    <w:rsid w:val="00D1537C"/>
    <w:rsid w:val="00D15B72"/>
    <w:rsid w:val="00D16AA7"/>
    <w:rsid w:val="00D17142"/>
    <w:rsid w:val="00D209E3"/>
    <w:rsid w:val="00D219B3"/>
    <w:rsid w:val="00D23AFA"/>
    <w:rsid w:val="00D243F4"/>
    <w:rsid w:val="00D247E7"/>
    <w:rsid w:val="00D267B7"/>
    <w:rsid w:val="00D26B79"/>
    <w:rsid w:val="00D27187"/>
    <w:rsid w:val="00D27EAB"/>
    <w:rsid w:val="00D27FD5"/>
    <w:rsid w:val="00D301F1"/>
    <w:rsid w:val="00D30B29"/>
    <w:rsid w:val="00D30C23"/>
    <w:rsid w:val="00D3271C"/>
    <w:rsid w:val="00D33885"/>
    <w:rsid w:val="00D34397"/>
    <w:rsid w:val="00D34416"/>
    <w:rsid w:val="00D3448C"/>
    <w:rsid w:val="00D346FD"/>
    <w:rsid w:val="00D347E0"/>
    <w:rsid w:val="00D36093"/>
    <w:rsid w:val="00D378DF"/>
    <w:rsid w:val="00D41E7F"/>
    <w:rsid w:val="00D42190"/>
    <w:rsid w:val="00D43E5A"/>
    <w:rsid w:val="00D43F9F"/>
    <w:rsid w:val="00D4445D"/>
    <w:rsid w:val="00D44F5C"/>
    <w:rsid w:val="00D5101E"/>
    <w:rsid w:val="00D520E6"/>
    <w:rsid w:val="00D5559F"/>
    <w:rsid w:val="00D55F9E"/>
    <w:rsid w:val="00D56B69"/>
    <w:rsid w:val="00D57164"/>
    <w:rsid w:val="00D572F7"/>
    <w:rsid w:val="00D608B4"/>
    <w:rsid w:val="00D608DC"/>
    <w:rsid w:val="00D61BF1"/>
    <w:rsid w:val="00D62A61"/>
    <w:rsid w:val="00D63211"/>
    <w:rsid w:val="00D639E4"/>
    <w:rsid w:val="00D646EC"/>
    <w:rsid w:val="00D6595B"/>
    <w:rsid w:val="00D669C1"/>
    <w:rsid w:val="00D678B6"/>
    <w:rsid w:val="00D701D9"/>
    <w:rsid w:val="00D70A09"/>
    <w:rsid w:val="00D710F0"/>
    <w:rsid w:val="00D71386"/>
    <w:rsid w:val="00D7178A"/>
    <w:rsid w:val="00D7251B"/>
    <w:rsid w:val="00D7260F"/>
    <w:rsid w:val="00D7276D"/>
    <w:rsid w:val="00D73C26"/>
    <w:rsid w:val="00D74515"/>
    <w:rsid w:val="00D7504E"/>
    <w:rsid w:val="00D7628D"/>
    <w:rsid w:val="00D76762"/>
    <w:rsid w:val="00D8095C"/>
    <w:rsid w:val="00D80BB3"/>
    <w:rsid w:val="00D80ECF"/>
    <w:rsid w:val="00D816F0"/>
    <w:rsid w:val="00D8307D"/>
    <w:rsid w:val="00D830E3"/>
    <w:rsid w:val="00D83989"/>
    <w:rsid w:val="00D84171"/>
    <w:rsid w:val="00D84322"/>
    <w:rsid w:val="00D84E96"/>
    <w:rsid w:val="00D8544F"/>
    <w:rsid w:val="00D8612E"/>
    <w:rsid w:val="00D87490"/>
    <w:rsid w:val="00D91405"/>
    <w:rsid w:val="00D916A9"/>
    <w:rsid w:val="00D9309E"/>
    <w:rsid w:val="00D94271"/>
    <w:rsid w:val="00D942A0"/>
    <w:rsid w:val="00D946BC"/>
    <w:rsid w:val="00D96270"/>
    <w:rsid w:val="00DA2043"/>
    <w:rsid w:val="00DA20C1"/>
    <w:rsid w:val="00DA2ECD"/>
    <w:rsid w:val="00DA3018"/>
    <w:rsid w:val="00DA3175"/>
    <w:rsid w:val="00DA56EC"/>
    <w:rsid w:val="00DA5C54"/>
    <w:rsid w:val="00DA6084"/>
    <w:rsid w:val="00DA61B0"/>
    <w:rsid w:val="00DA6504"/>
    <w:rsid w:val="00DA6722"/>
    <w:rsid w:val="00DA7E15"/>
    <w:rsid w:val="00DB0EE7"/>
    <w:rsid w:val="00DB1CA7"/>
    <w:rsid w:val="00DB248B"/>
    <w:rsid w:val="00DB287D"/>
    <w:rsid w:val="00DB4095"/>
    <w:rsid w:val="00DB6348"/>
    <w:rsid w:val="00DB63A7"/>
    <w:rsid w:val="00DB645F"/>
    <w:rsid w:val="00DB662A"/>
    <w:rsid w:val="00DB6BF5"/>
    <w:rsid w:val="00DB7C93"/>
    <w:rsid w:val="00DB7E35"/>
    <w:rsid w:val="00DC0067"/>
    <w:rsid w:val="00DC0C35"/>
    <w:rsid w:val="00DC0FA6"/>
    <w:rsid w:val="00DC17DF"/>
    <w:rsid w:val="00DC4FB2"/>
    <w:rsid w:val="00DC5349"/>
    <w:rsid w:val="00DC5675"/>
    <w:rsid w:val="00DC5F92"/>
    <w:rsid w:val="00DC62FD"/>
    <w:rsid w:val="00DC676B"/>
    <w:rsid w:val="00DD08EF"/>
    <w:rsid w:val="00DD0D8D"/>
    <w:rsid w:val="00DD0F27"/>
    <w:rsid w:val="00DD0F7D"/>
    <w:rsid w:val="00DD10D3"/>
    <w:rsid w:val="00DD1720"/>
    <w:rsid w:val="00DD2AC2"/>
    <w:rsid w:val="00DD2C87"/>
    <w:rsid w:val="00DD3202"/>
    <w:rsid w:val="00DD4531"/>
    <w:rsid w:val="00DD47D2"/>
    <w:rsid w:val="00DD599D"/>
    <w:rsid w:val="00DD6503"/>
    <w:rsid w:val="00DD6DAF"/>
    <w:rsid w:val="00DD73C2"/>
    <w:rsid w:val="00DD7651"/>
    <w:rsid w:val="00DD768B"/>
    <w:rsid w:val="00DE1228"/>
    <w:rsid w:val="00DE16F0"/>
    <w:rsid w:val="00DE198A"/>
    <w:rsid w:val="00DE1BCA"/>
    <w:rsid w:val="00DE3F35"/>
    <w:rsid w:val="00DE5099"/>
    <w:rsid w:val="00DE51D7"/>
    <w:rsid w:val="00DE5465"/>
    <w:rsid w:val="00DE5886"/>
    <w:rsid w:val="00DE58D2"/>
    <w:rsid w:val="00DE58D7"/>
    <w:rsid w:val="00DE6206"/>
    <w:rsid w:val="00DE691D"/>
    <w:rsid w:val="00DE6968"/>
    <w:rsid w:val="00DE6E6E"/>
    <w:rsid w:val="00DE711A"/>
    <w:rsid w:val="00DE7E0E"/>
    <w:rsid w:val="00DF0451"/>
    <w:rsid w:val="00DF086B"/>
    <w:rsid w:val="00DF143E"/>
    <w:rsid w:val="00DF3329"/>
    <w:rsid w:val="00DF33D3"/>
    <w:rsid w:val="00DF4B3D"/>
    <w:rsid w:val="00DF62AE"/>
    <w:rsid w:val="00DF65B5"/>
    <w:rsid w:val="00E00E41"/>
    <w:rsid w:val="00E00F6D"/>
    <w:rsid w:val="00E01F8B"/>
    <w:rsid w:val="00E02742"/>
    <w:rsid w:val="00E02990"/>
    <w:rsid w:val="00E02BFF"/>
    <w:rsid w:val="00E02F5B"/>
    <w:rsid w:val="00E035AD"/>
    <w:rsid w:val="00E0608E"/>
    <w:rsid w:val="00E06DB4"/>
    <w:rsid w:val="00E07308"/>
    <w:rsid w:val="00E078DE"/>
    <w:rsid w:val="00E12260"/>
    <w:rsid w:val="00E124B8"/>
    <w:rsid w:val="00E139D1"/>
    <w:rsid w:val="00E154DD"/>
    <w:rsid w:val="00E15AA9"/>
    <w:rsid w:val="00E15D07"/>
    <w:rsid w:val="00E15FFD"/>
    <w:rsid w:val="00E160F5"/>
    <w:rsid w:val="00E174EB"/>
    <w:rsid w:val="00E17DB9"/>
    <w:rsid w:val="00E20C78"/>
    <w:rsid w:val="00E22F2D"/>
    <w:rsid w:val="00E234AD"/>
    <w:rsid w:val="00E24449"/>
    <w:rsid w:val="00E2479C"/>
    <w:rsid w:val="00E24B17"/>
    <w:rsid w:val="00E2559B"/>
    <w:rsid w:val="00E300DF"/>
    <w:rsid w:val="00E303A1"/>
    <w:rsid w:val="00E30DD2"/>
    <w:rsid w:val="00E33429"/>
    <w:rsid w:val="00E340B1"/>
    <w:rsid w:val="00E34F24"/>
    <w:rsid w:val="00E360A9"/>
    <w:rsid w:val="00E36B0B"/>
    <w:rsid w:val="00E37142"/>
    <w:rsid w:val="00E37182"/>
    <w:rsid w:val="00E37780"/>
    <w:rsid w:val="00E37ACF"/>
    <w:rsid w:val="00E40E68"/>
    <w:rsid w:val="00E416A6"/>
    <w:rsid w:val="00E417A3"/>
    <w:rsid w:val="00E42484"/>
    <w:rsid w:val="00E42EB6"/>
    <w:rsid w:val="00E436EE"/>
    <w:rsid w:val="00E44790"/>
    <w:rsid w:val="00E46874"/>
    <w:rsid w:val="00E505A4"/>
    <w:rsid w:val="00E50757"/>
    <w:rsid w:val="00E50D30"/>
    <w:rsid w:val="00E52923"/>
    <w:rsid w:val="00E53059"/>
    <w:rsid w:val="00E552AE"/>
    <w:rsid w:val="00E55475"/>
    <w:rsid w:val="00E560DC"/>
    <w:rsid w:val="00E602D7"/>
    <w:rsid w:val="00E604D4"/>
    <w:rsid w:val="00E60C87"/>
    <w:rsid w:val="00E60FB7"/>
    <w:rsid w:val="00E61766"/>
    <w:rsid w:val="00E61F7C"/>
    <w:rsid w:val="00E6209E"/>
    <w:rsid w:val="00E62C3E"/>
    <w:rsid w:val="00E6306C"/>
    <w:rsid w:val="00E639F0"/>
    <w:rsid w:val="00E63EC4"/>
    <w:rsid w:val="00E646A2"/>
    <w:rsid w:val="00E64DBD"/>
    <w:rsid w:val="00E6534E"/>
    <w:rsid w:val="00E653D0"/>
    <w:rsid w:val="00E653D4"/>
    <w:rsid w:val="00E65B2A"/>
    <w:rsid w:val="00E660D6"/>
    <w:rsid w:val="00E666E9"/>
    <w:rsid w:val="00E66732"/>
    <w:rsid w:val="00E66B09"/>
    <w:rsid w:val="00E66D8C"/>
    <w:rsid w:val="00E67529"/>
    <w:rsid w:val="00E70ABF"/>
    <w:rsid w:val="00E71485"/>
    <w:rsid w:val="00E71F12"/>
    <w:rsid w:val="00E72C59"/>
    <w:rsid w:val="00E73345"/>
    <w:rsid w:val="00E73ADB"/>
    <w:rsid w:val="00E74474"/>
    <w:rsid w:val="00E74CA0"/>
    <w:rsid w:val="00E750CD"/>
    <w:rsid w:val="00E75371"/>
    <w:rsid w:val="00E75389"/>
    <w:rsid w:val="00E7593B"/>
    <w:rsid w:val="00E75BD2"/>
    <w:rsid w:val="00E75E46"/>
    <w:rsid w:val="00E7605B"/>
    <w:rsid w:val="00E779FB"/>
    <w:rsid w:val="00E81189"/>
    <w:rsid w:val="00E81500"/>
    <w:rsid w:val="00E81AD7"/>
    <w:rsid w:val="00E83301"/>
    <w:rsid w:val="00E84671"/>
    <w:rsid w:val="00E84E79"/>
    <w:rsid w:val="00E85C09"/>
    <w:rsid w:val="00E875D5"/>
    <w:rsid w:val="00E87615"/>
    <w:rsid w:val="00E910C7"/>
    <w:rsid w:val="00E91D87"/>
    <w:rsid w:val="00E929F0"/>
    <w:rsid w:val="00E93B3A"/>
    <w:rsid w:val="00E945DF"/>
    <w:rsid w:val="00E94F31"/>
    <w:rsid w:val="00E95A23"/>
    <w:rsid w:val="00E96E42"/>
    <w:rsid w:val="00E96F35"/>
    <w:rsid w:val="00EA0218"/>
    <w:rsid w:val="00EA0780"/>
    <w:rsid w:val="00EA1003"/>
    <w:rsid w:val="00EA1A81"/>
    <w:rsid w:val="00EA2146"/>
    <w:rsid w:val="00EA242A"/>
    <w:rsid w:val="00EA26DD"/>
    <w:rsid w:val="00EA3D27"/>
    <w:rsid w:val="00EA5BD3"/>
    <w:rsid w:val="00EA5EC3"/>
    <w:rsid w:val="00EA6663"/>
    <w:rsid w:val="00EA6906"/>
    <w:rsid w:val="00EA75BF"/>
    <w:rsid w:val="00EA7889"/>
    <w:rsid w:val="00EA7B71"/>
    <w:rsid w:val="00EB03D7"/>
    <w:rsid w:val="00EB1D0B"/>
    <w:rsid w:val="00EB3A98"/>
    <w:rsid w:val="00EB3D0E"/>
    <w:rsid w:val="00EB497D"/>
    <w:rsid w:val="00EB6385"/>
    <w:rsid w:val="00EB65C8"/>
    <w:rsid w:val="00EB6B9B"/>
    <w:rsid w:val="00EB6D53"/>
    <w:rsid w:val="00EB7721"/>
    <w:rsid w:val="00EC0751"/>
    <w:rsid w:val="00EC1245"/>
    <w:rsid w:val="00EC2637"/>
    <w:rsid w:val="00EC2D07"/>
    <w:rsid w:val="00EC38CF"/>
    <w:rsid w:val="00EC4217"/>
    <w:rsid w:val="00EC4D8A"/>
    <w:rsid w:val="00EC5058"/>
    <w:rsid w:val="00EC6CA0"/>
    <w:rsid w:val="00EC775F"/>
    <w:rsid w:val="00EC7B08"/>
    <w:rsid w:val="00ED02F7"/>
    <w:rsid w:val="00ED0BE3"/>
    <w:rsid w:val="00ED12A7"/>
    <w:rsid w:val="00ED1EE4"/>
    <w:rsid w:val="00ED20E2"/>
    <w:rsid w:val="00ED28A5"/>
    <w:rsid w:val="00ED34D8"/>
    <w:rsid w:val="00ED3E83"/>
    <w:rsid w:val="00ED5155"/>
    <w:rsid w:val="00ED5373"/>
    <w:rsid w:val="00ED5D5D"/>
    <w:rsid w:val="00ED6FEC"/>
    <w:rsid w:val="00ED7BD7"/>
    <w:rsid w:val="00EE1F94"/>
    <w:rsid w:val="00EE2480"/>
    <w:rsid w:val="00EE2983"/>
    <w:rsid w:val="00EE2FB0"/>
    <w:rsid w:val="00EE3C15"/>
    <w:rsid w:val="00EE3C9A"/>
    <w:rsid w:val="00EE3E62"/>
    <w:rsid w:val="00EE437D"/>
    <w:rsid w:val="00EE4598"/>
    <w:rsid w:val="00EE4995"/>
    <w:rsid w:val="00EE4C8D"/>
    <w:rsid w:val="00EE51CF"/>
    <w:rsid w:val="00EE5448"/>
    <w:rsid w:val="00EE5480"/>
    <w:rsid w:val="00EE5542"/>
    <w:rsid w:val="00EE586B"/>
    <w:rsid w:val="00EE7331"/>
    <w:rsid w:val="00EE77E7"/>
    <w:rsid w:val="00EF0EC0"/>
    <w:rsid w:val="00EF2175"/>
    <w:rsid w:val="00EF28B8"/>
    <w:rsid w:val="00EF3542"/>
    <w:rsid w:val="00EF4231"/>
    <w:rsid w:val="00EF4BA7"/>
    <w:rsid w:val="00EF5127"/>
    <w:rsid w:val="00EF5649"/>
    <w:rsid w:val="00EF56E1"/>
    <w:rsid w:val="00EF63DB"/>
    <w:rsid w:val="00EF6433"/>
    <w:rsid w:val="00EF69C8"/>
    <w:rsid w:val="00EF7540"/>
    <w:rsid w:val="00F00D88"/>
    <w:rsid w:val="00F00DCC"/>
    <w:rsid w:val="00F0121C"/>
    <w:rsid w:val="00F02A55"/>
    <w:rsid w:val="00F031EB"/>
    <w:rsid w:val="00F032ED"/>
    <w:rsid w:val="00F0539B"/>
    <w:rsid w:val="00F0559B"/>
    <w:rsid w:val="00F05CDA"/>
    <w:rsid w:val="00F06448"/>
    <w:rsid w:val="00F06514"/>
    <w:rsid w:val="00F07714"/>
    <w:rsid w:val="00F07924"/>
    <w:rsid w:val="00F1054D"/>
    <w:rsid w:val="00F11A99"/>
    <w:rsid w:val="00F1231E"/>
    <w:rsid w:val="00F125BC"/>
    <w:rsid w:val="00F140FE"/>
    <w:rsid w:val="00F14528"/>
    <w:rsid w:val="00F14660"/>
    <w:rsid w:val="00F15C59"/>
    <w:rsid w:val="00F16366"/>
    <w:rsid w:val="00F17024"/>
    <w:rsid w:val="00F17071"/>
    <w:rsid w:val="00F21F96"/>
    <w:rsid w:val="00F224BB"/>
    <w:rsid w:val="00F23811"/>
    <w:rsid w:val="00F23F3F"/>
    <w:rsid w:val="00F2723E"/>
    <w:rsid w:val="00F30ACD"/>
    <w:rsid w:val="00F314DE"/>
    <w:rsid w:val="00F31889"/>
    <w:rsid w:val="00F319C2"/>
    <w:rsid w:val="00F31C9C"/>
    <w:rsid w:val="00F32060"/>
    <w:rsid w:val="00F32484"/>
    <w:rsid w:val="00F328BA"/>
    <w:rsid w:val="00F3291A"/>
    <w:rsid w:val="00F333DE"/>
    <w:rsid w:val="00F34364"/>
    <w:rsid w:val="00F35916"/>
    <w:rsid w:val="00F359A8"/>
    <w:rsid w:val="00F3628B"/>
    <w:rsid w:val="00F36A59"/>
    <w:rsid w:val="00F36E7B"/>
    <w:rsid w:val="00F40997"/>
    <w:rsid w:val="00F4256F"/>
    <w:rsid w:val="00F4290F"/>
    <w:rsid w:val="00F4329F"/>
    <w:rsid w:val="00F454E6"/>
    <w:rsid w:val="00F45E26"/>
    <w:rsid w:val="00F460F0"/>
    <w:rsid w:val="00F461C9"/>
    <w:rsid w:val="00F47789"/>
    <w:rsid w:val="00F47A97"/>
    <w:rsid w:val="00F47DFC"/>
    <w:rsid w:val="00F5127B"/>
    <w:rsid w:val="00F51CE1"/>
    <w:rsid w:val="00F52523"/>
    <w:rsid w:val="00F52B90"/>
    <w:rsid w:val="00F549D3"/>
    <w:rsid w:val="00F57677"/>
    <w:rsid w:val="00F57B4D"/>
    <w:rsid w:val="00F61629"/>
    <w:rsid w:val="00F62A8A"/>
    <w:rsid w:val="00F62CE3"/>
    <w:rsid w:val="00F63CE5"/>
    <w:rsid w:val="00F64355"/>
    <w:rsid w:val="00F6562B"/>
    <w:rsid w:val="00F663BA"/>
    <w:rsid w:val="00F70274"/>
    <w:rsid w:val="00F70A36"/>
    <w:rsid w:val="00F70D90"/>
    <w:rsid w:val="00F727E5"/>
    <w:rsid w:val="00F737F8"/>
    <w:rsid w:val="00F73965"/>
    <w:rsid w:val="00F73C99"/>
    <w:rsid w:val="00F73D31"/>
    <w:rsid w:val="00F74F83"/>
    <w:rsid w:val="00F752F8"/>
    <w:rsid w:val="00F7591C"/>
    <w:rsid w:val="00F76218"/>
    <w:rsid w:val="00F80089"/>
    <w:rsid w:val="00F803A8"/>
    <w:rsid w:val="00F809F3"/>
    <w:rsid w:val="00F81517"/>
    <w:rsid w:val="00F82860"/>
    <w:rsid w:val="00F82FDD"/>
    <w:rsid w:val="00F831BF"/>
    <w:rsid w:val="00F84387"/>
    <w:rsid w:val="00F85C9B"/>
    <w:rsid w:val="00F8601E"/>
    <w:rsid w:val="00F86138"/>
    <w:rsid w:val="00F865D0"/>
    <w:rsid w:val="00F86BB2"/>
    <w:rsid w:val="00F86DB1"/>
    <w:rsid w:val="00F86F88"/>
    <w:rsid w:val="00F8780B"/>
    <w:rsid w:val="00F8792B"/>
    <w:rsid w:val="00F90BD2"/>
    <w:rsid w:val="00F929A6"/>
    <w:rsid w:val="00F95989"/>
    <w:rsid w:val="00F960FE"/>
    <w:rsid w:val="00F96A4B"/>
    <w:rsid w:val="00F9731A"/>
    <w:rsid w:val="00FA1B62"/>
    <w:rsid w:val="00FA2598"/>
    <w:rsid w:val="00FA2EA0"/>
    <w:rsid w:val="00FA3037"/>
    <w:rsid w:val="00FA31C9"/>
    <w:rsid w:val="00FA3299"/>
    <w:rsid w:val="00FA59B1"/>
    <w:rsid w:val="00FA5DA3"/>
    <w:rsid w:val="00FA604F"/>
    <w:rsid w:val="00FA622C"/>
    <w:rsid w:val="00FA653D"/>
    <w:rsid w:val="00FA6A0B"/>
    <w:rsid w:val="00FB0619"/>
    <w:rsid w:val="00FB1173"/>
    <w:rsid w:val="00FB1E87"/>
    <w:rsid w:val="00FB3DA0"/>
    <w:rsid w:val="00FB3DF0"/>
    <w:rsid w:val="00FB448C"/>
    <w:rsid w:val="00FB449C"/>
    <w:rsid w:val="00FB4AAA"/>
    <w:rsid w:val="00FB5103"/>
    <w:rsid w:val="00FB5560"/>
    <w:rsid w:val="00FB57A1"/>
    <w:rsid w:val="00FB5BF1"/>
    <w:rsid w:val="00FB5F0D"/>
    <w:rsid w:val="00FB7871"/>
    <w:rsid w:val="00FB7D05"/>
    <w:rsid w:val="00FB7DFE"/>
    <w:rsid w:val="00FC0BC1"/>
    <w:rsid w:val="00FC35D7"/>
    <w:rsid w:val="00FC397D"/>
    <w:rsid w:val="00FC4EB9"/>
    <w:rsid w:val="00FC501C"/>
    <w:rsid w:val="00FC5B28"/>
    <w:rsid w:val="00FC5D4E"/>
    <w:rsid w:val="00FC6506"/>
    <w:rsid w:val="00FC68C0"/>
    <w:rsid w:val="00FD00E0"/>
    <w:rsid w:val="00FD014E"/>
    <w:rsid w:val="00FD0B75"/>
    <w:rsid w:val="00FD0BAB"/>
    <w:rsid w:val="00FD0D08"/>
    <w:rsid w:val="00FD234B"/>
    <w:rsid w:val="00FD2901"/>
    <w:rsid w:val="00FD4ECD"/>
    <w:rsid w:val="00FD5C07"/>
    <w:rsid w:val="00FD6327"/>
    <w:rsid w:val="00FD6FE5"/>
    <w:rsid w:val="00FE22D3"/>
    <w:rsid w:val="00FE2C46"/>
    <w:rsid w:val="00FE399E"/>
    <w:rsid w:val="00FE43E9"/>
    <w:rsid w:val="00FE4B57"/>
    <w:rsid w:val="00FE5029"/>
    <w:rsid w:val="00FE509F"/>
    <w:rsid w:val="00FE57F9"/>
    <w:rsid w:val="00FE6313"/>
    <w:rsid w:val="00FE63A7"/>
    <w:rsid w:val="00FE662E"/>
    <w:rsid w:val="00FE666B"/>
    <w:rsid w:val="00FE6A4F"/>
    <w:rsid w:val="00FE6F89"/>
    <w:rsid w:val="00FE7700"/>
    <w:rsid w:val="00FF0706"/>
    <w:rsid w:val="00FF153F"/>
    <w:rsid w:val="00FF5A08"/>
    <w:rsid w:val="00FF6213"/>
    <w:rsid w:val="00FF638F"/>
    <w:rsid w:val="00FF7114"/>
    <w:rsid w:val="00FF7D3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Lucida Grande"/>
        <w:color w:val="000000"/>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F7A"/>
    <w:rPr>
      <w:lang w:val="en-AU"/>
    </w:rPr>
  </w:style>
  <w:style w:type="paragraph" w:styleId="Heading1">
    <w:name w:val="heading 1"/>
    <w:basedOn w:val="Normal"/>
    <w:next w:val="Normal"/>
    <w:link w:val="Heading1Char"/>
    <w:uiPriority w:val="9"/>
    <w:qFormat/>
    <w:rsid w:val="005F3BA9"/>
    <w:pPr>
      <w:keepNext/>
      <w:keepLines/>
      <w:spacing w:before="240" w:after="240"/>
      <w:outlineLvl w:val="0"/>
    </w:pPr>
    <w:rPr>
      <w:rFonts w:asciiTheme="majorHAnsi" w:eastAsiaTheme="majorEastAsia" w:hAnsiTheme="majorHAnsi" w:cstheme="majorBidi"/>
      <w:color w:val="53565A"/>
      <w:sz w:val="32"/>
      <w:szCs w:val="32"/>
    </w:rPr>
  </w:style>
  <w:style w:type="paragraph" w:styleId="Heading2">
    <w:name w:val="heading 2"/>
    <w:basedOn w:val="Normal"/>
    <w:next w:val="Normal"/>
    <w:link w:val="Heading2Char"/>
    <w:uiPriority w:val="9"/>
    <w:unhideWhenUsed/>
    <w:qFormat/>
    <w:rsid w:val="005F3BA9"/>
    <w:pPr>
      <w:keepNext/>
      <w:keepLines/>
      <w:spacing w:before="40"/>
      <w:outlineLvl w:val="1"/>
    </w:pPr>
    <w:rPr>
      <w:rFonts w:asciiTheme="majorHAnsi" w:eastAsiaTheme="majorEastAsia" w:hAnsiTheme="majorHAnsi" w:cstheme="majorBidi"/>
      <w:b/>
      <w:color w:val="53565A"/>
      <w:sz w:val="26"/>
      <w:szCs w:val="26"/>
    </w:rPr>
  </w:style>
  <w:style w:type="paragraph" w:styleId="Heading3">
    <w:name w:val="heading 3"/>
    <w:basedOn w:val="Normal"/>
    <w:next w:val="Normal"/>
    <w:link w:val="Heading3Char"/>
    <w:uiPriority w:val="9"/>
    <w:unhideWhenUsed/>
    <w:qFormat/>
    <w:rsid w:val="005E307C"/>
    <w:pPr>
      <w:tabs>
        <w:tab w:val="right" w:pos="8222"/>
      </w:tabs>
      <w:jc w:val="both"/>
      <w:outlineLvl w:val="2"/>
    </w:pPr>
    <w:rPr>
      <w:i/>
      <w:color w:val="53565A"/>
      <w:sz w:val="24"/>
      <w:szCs w:val="24"/>
    </w:rPr>
  </w:style>
  <w:style w:type="paragraph" w:styleId="Heading4">
    <w:name w:val="heading 4"/>
    <w:basedOn w:val="Normal"/>
    <w:next w:val="Normal"/>
    <w:link w:val="Heading4Char"/>
    <w:uiPriority w:val="9"/>
    <w:unhideWhenUsed/>
    <w:qFormat/>
    <w:rsid w:val="00512F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BA9"/>
    <w:rPr>
      <w:rFonts w:asciiTheme="majorHAnsi" w:eastAsiaTheme="majorEastAsia" w:hAnsiTheme="majorHAnsi" w:cstheme="majorBidi"/>
      <w:color w:val="53565A"/>
      <w:sz w:val="32"/>
      <w:szCs w:val="32"/>
      <w:lang w:val="en-AU"/>
    </w:rPr>
  </w:style>
  <w:style w:type="character" w:customStyle="1" w:styleId="Heading2Char">
    <w:name w:val="Heading 2 Char"/>
    <w:basedOn w:val="DefaultParagraphFont"/>
    <w:link w:val="Heading2"/>
    <w:uiPriority w:val="9"/>
    <w:rsid w:val="005F3BA9"/>
    <w:rPr>
      <w:rFonts w:asciiTheme="majorHAnsi" w:eastAsiaTheme="majorEastAsia" w:hAnsiTheme="majorHAnsi" w:cstheme="majorBidi"/>
      <w:b/>
      <w:color w:val="53565A"/>
      <w:sz w:val="26"/>
      <w:szCs w:val="26"/>
      <w:lang w:val="en-AU"/>
    </w:rPr>
  </w:style>
  <w:style w:type="character" w:customStyle="1" w:styleId="Heading3Char">
    <w:name w:val="Heading 3 Char"/>
    <w:basedOn w:val="DefaultParagraphFont"/>
    <w:link w:val="Heading3"/>
    <w:uiPriority w:val="9"/>
    <w:rsid w:val="005E307C"/>
    <w:rPr>
      <w:i/>
      <w:color w:val="53565A"/>
      <w:sz w:val="24"/>
      <w:szCs w:val="24"/>
      <w:lang w:val="en-AU"/>
    </w:rPr>
  </w:style>
  <w:style w:type="character" w:customStyle="1" w:styleId="Heading4Char">
    <w:name w:val="Heading 4 Char"/>
    <w:basedOn w:val="DefaultParagraphFont"/>
    <w:link w:val="Heading4"/>
    <w:uiPriority w:val="9"/>
    <w:rsid w:val="00512FDE"/>
    <w:rPr>
      <w:rFonts w:asciiTheme="majorHAnsi" w:eastAsiaTheme="majorEastAsia" w:hAnsiTheme="majorHAnsi" w:cstheme="majorBidi"/>
      <w:i/>
      <w:iCs/>
      <w:color w:val="365F91" w:themeColor="accent1" w:themeShade="BF"/>
      <w:lang w:val="en-AU"/>
    </w:rPr>
  </w:style>
  <w:style w:type="paragraph" w:customStyle="1" w:styleId="BodyText2">
    <w:name w:val="Body Text2"/>
    <w:basedOn w:val="Normal"/>
    <w:rsid w:val="009159D2"/>
    <w:pPr>
      <w:spacing w:before="120" w:after="60"/>
      <w:jc w:val="both"/>
    </w:pPr>
    <w:rPr>
      <w:rFonts w:ascii="Times New Roman" w:eastAsia="SimSun" w:hAnsi="Times New Roman" w:cs="Times New Roman"/>
      <w:color w:val="auto"/>
      <w:sz w:val="24"/>
      <w:szCs w:val="20"/>
    </w:rPr>
  </w:style>
  <w:style w:type="paragraph" w:styleId="BodyText20">
    <w:name w:val="Body Text 2"/>
    <w:aliases w:val="Body Text 2 Char Char Char Char,Body Text 2 Char Char Char Char C Char Char Char Char,Body Text 21,Body Text 2 Char Char Char Char1,Body Text 2 Char Char Char Char Char Char2 Char Char"/>
    <w:basedOn w:val="Normal"/>
    <w:link w:val="BodyText2Char"/>
    <w:rsid w:val="009159D2"/>
    <w:pPr>
      <w:widowControl w:val="0"/>
      <w:overflowPunct w:val="0"/>
      <w:autoSpaceDE w:val="0"/>
      <w:autoSpaceDN w:val="0"/>
      <w:adjustRightInd w:val="0"/>
      <w:jc w:val="both"/>
      <w:textAlignment w:val="baseline"/>
    </w:pPr>
    <w:rPr>
      <w:rFonts w:ascii="Times New Roman" w:eastAsia="Times New Roman" w:hAnsi="Times New Roman" w:cs="Times New Roman"/>
      <w:color w:val="auto"/>
      <w:sz w:val="24"/>
      <w:szCs w:val="20"/>
    </w:rPr>
  </w:style>
  <w:style w:type="character" w:customStyle="1" w:styleId="BodyText2Char">
    <w:name w:val="Body Text 2 Char"/>
    <w:aliases w:val="Body Text 2 Char Char Char Char Char,Body Text 2 Char Char Char Char C Char Char Char Char Char,Body Text 21 Char,Body Text 2 Char Char Char Char1 Char,Body Text 2 Char Char Char Char Char Char2 Char Char Char"/>
    <w:basedOn w:val="DefaultParagraphFont"/>
    <w:link w:val="BodyText20"/>
    <w:rsid w:val="009159D2"/>
    <w:rPr>
      <w:rFonts w:ascii="Times New Roman" w:eastAsia="Times New Roman" w:hAnsi="Times New Roman" w:cs="Times New Roman"/>
      <w:color w:val="auto"/>
      <w:sz w:val="24"/>
      <w:szCs w:val="20"/>
      <w:lang w:val="en-AU"/>
    </w:rPr>
  </w:style>
  <w:style w:type="paragraph" w:customStyle="1" w:styleId="BodyText1">
    <w:name w:val="Body Text1"/>
    <w:basedOn w:val="Normal"/>
    <w:rsid w:val="009159D2"/>
    <w:pPr>
      <w:spacing w:before="120" w:after="60"/>
      <w:jc w:val="both"/>
    </w:pPr>
    <w:rPr>
      <w:rFonts w:ascii="Times New Roman" w:eastAsia="Times New Roman" w:hAnsi="Times New Roman" w:cs="Times New Roman"/>
      <w:color w:val="auto"/>
      <w:sz w:val="24"/>
      <w:szCs w:val="20"/>
    </w:rPr>
  </w:style>
  <w:style w:type="paragraph" w:styleId="ListParagraph">
    <w:name w:val="List Paragraph"/>
    <w:basedOn w:val="Normal"/>
    <w:uiPriority w:val="34"/>
    <w:qFormat/>
    <w:rsid w:val="009D20C0"/>
    <w:pPr>
      <w:ind w:left="720"/>
      <w:contextualSpacing/>
    </w:pPr>
  </w:style>
  <w:style w:type="character" w:styleId="Hyperlink">
    <w:name w:val="Hyperlink"/>
    <w:basedOn w:val="DefaultParagraphFont"/>
    <w:uiPriority w:val="99"/>
    <w:unhideWhenUsed/>
    <w:rsid w:val="00BC50FD"/>
    <w:rPr>
      <w:strike w:val="0"/>
      <w:dstrike w:val="0"/>
      <w:color w:val="005F96"/>
      <w:u w:val="none"/>
      <w:effect w:val="none"/>
    </w:rPr>
  </w:style>
  <w:style w:type="paragraph" w:styleId="BalloonText">
    <w:name w:val="Balloon Text"/>
    <w:basedOn w:val="Normal"/>
    <w:link w:val="BalloonTextChar"/>
    <w:uiPriority w:val="99"/>
    <w:semiHidden/>
    <w:unhideWhenUsed/>
    <w:rsid w:val="00D55F9E"/>
    <w:rPr>
      <w:rFonts w:ascii="Tahoma" w:hAnsi="Tahoma" w:cs="Tahoma"/>
      <w:sz w:val="16"/>
      <w:szCs w:val="16"/>
    </w:rPr>
  </w:style>
  <w:style w:type="character" w:customStyle="1" w:styleId="BalloonTextChar">
    <w:name w:val="Balloon Text Char"/>
    <w:basedOn w:val="DefaultParagraphFont"/>
    <w:link w:val="BalloonText"/>
    <w:uiPriority w:val="99"/>
    <w:semiHidden/>
    <w:rsid w:val="00D55F9E"/>
    <w:rPr>
      <w:rFonts w:ascii="Tahoma" w:hAnsi="Tahoma" w:cs="Tahoma"/>
      <w:sz w:val="16"/>
      <w:szCs w:val="16"/>
      <w:lang w:val="en-AU"/>
    </w:rPr>
  </w:style>
  <w:style w:type="paragraph" w:customStyle="1" w:styleId="Pa7">
    <w:name w:val="Pa7"/>
    <w:basedOn w:val="Normal"/>
    <w:next w:val="Normal"/>
    <w:uiPriority w:val="99"/>
    <w:rsid w:val="00D55F9E"/>
    <w:pPr>
      <w:autoSpaceDE w:val="0"/>
      <w:autoSpaceDN w:val="0"/>
      <w:adjustRightInd w:val="0"/>
      <w:spacing w:line="201" w:lineRule="atLeast"/>
    </w:pPr>
    <w:rPr>
      <w:rFonts w:ascii="HelveticaNeueLT Std Lt" w:hAnsi="HelveticaNeueLT Std Lt" w:cs="Times New Roman"/>
      <w:sz w:val="24"/>
      <w:szCs w:val="24"/>
    </w:rPr>
  </w:style>
  <w:style w:type="table" w:styleId="TableGrid">
    <w:name w:val="Table Grid"/>
    <w:basedOn w:val="TableNormal"/>
    <w:uiPriority w:val="59"/>
    <w:rsid w:val="001E3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D267B7"/>
    <w:rPr>
      <w:rFonts w:ascii="Courier New" w:eastAsia="Times New Roman" w:hAnsi="Courier New" w:cs="Courier New" w:hint="default"/>
      <w:sz w:val="20"/>
      <w:szCs w:val="20"/>
    </w:rPr>
  </w:style>
  <w:style w:type="paragraph" w:styleId="NoSpacing">
    <w:name w:val="No Spacing"/>
    <w:uiPriority w:val="1"/>
    <w:qFormat/>
    <w:rsid w:val="00F737F8"/>
    <w:rPr>
      <w:rFonts w:asciiTheme="minorHAnsi" w:eastAsiaTheme="minorHAnsi" w:hAnsiTheme="minorHAnsi" w:cstheme="minorBidi"/>
      <w:color w:val="auto"/>
      <w:lang w:val="en-AU"/>
    </w:rPr>
  </w:style>
  <w:style w:type="table" w:customStyle="1" w:styleId="TableGrid1">
    <w:name w:val="Table Grid1"/>
    <w:basedOn w:val="TableNormal"/>
    <w:next w:val="TableGrid"/>
    <w:uiPriority w:val="59"/>
    <w:rsid w:val="0040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81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Footnote Text Char Char Char Char Char Char,Footnote Text1,Footnote Text Char Char Char Char Char Char1,Footnote Text1 Char Char Char,Footnote Text Char Char Char Char Char Char Char Char Char"/>
    <w:basedOn w:val="Normal"/>
    <w:link w:val="FootnoteTextChar"/>
    <w:uiPriority w:val="99"/>
    <w:unhideWhenUsed/>
    <w:rsid w:val="00FF6213"/>
    <w:rPr>
      <w:sz w:val="24"/>
      <w:szCs w:val="24"/>
    </w:rPr>
  </w:style>
  <w:style w:type="character" w:customStyle="1" w:styleId="FootnoteTextChar">
    <w:name w:val="Footnote Text Char"/>
    <w:aliases w:val="Footnote Text Char Char Char Char Char,Footnote Text Char Char Char Char Char Char Char,Footnote Text1 Char,Footnote Text Char Char Char Char Char Char1 Char,Footnote Text1 Char Char Char Char"/>
    <w:basedOn w:val="DefaultParagraphFont"/>
    <w:link w:val="FootnoteText"/>
    <w:uiPriority w:val="99"/>
    <w:rsid w:val="00FF6213"/>
    <w:rPr>
      <w:sz w:val="24"/>
      <w:szCs w:val="24"/>
      <w:lang w:val="en-AU"/>
    </w:rPr>
  </w:style>
  <w:style w:type="character" w:styleId="FootnoteReference">
    <w:name w:val="footnote reference"/>
    <w:basedOn w:val="DefaultParagraphFont"/>
    <w:uiPriority w:val="99"/>
    <w:unhideWhenUsed/>
    <w:rsid w:val="00FF6213"/>
    <w:rPr>
      <w:vertAlign w:val="superscript"/>
    </w:rPr>
  </w:style>
  <w:style w:type="paragraph" w:customStyle="1" w:styleId="Heading-main2">
    <w:name w:val="Heading - main 2"/>
    <w:basedOn w:val="Normal"/>
    <w:rsid w:val="000A0F56"/>
    <w:pPr>
      <w:spacing w:after="240"/>
      <w:ind w:left="1440"/>
    </w:pPr>
    <w:rPr>
      <w:rFonts w:ascii="Arial" w:eastAsia="Times New Roman" w:hAnsi="Arial" w:cs="Times New Roman"/>
      <w:b/>
      <w:color w:val="auto"/>
      <w:sz w:val="36"/>
      <w:szCs w:val="20"/>
    </w:rPr>
  </w:style>
  <w:style w:type="paragraph" w:styleId="Caption">
    <w:name w:val="caption"/>
    <w:basedOn w:val="Normal"/>
    <w:next w:val="Normal"/>
    <w:qFormat/>
    <w:rsid w:val="000A0F56"/>
    <w:pPr>
      <w:spacing w:before="360" w:after="40" w:line="240" w:lineRule="exact"/>
      <w:ind w:left="907" w:hanging="907"/>
    </w:pPr>
    <w:rPr>
      <w:rFonts w:ascii="Century Gothic" w:eastAsia="Times New Roman" w:hAnsi="Century Gothic" w:cs="Times New Roman"/>
      <w:color w:val="auto"/>
      <w:sz w:val="20"/>
      <w:szCs w:val="20"/>
      <w:lang w:eastAsia="en-AU"/>
    </w:rPr>
  </w:style>
  <w:style w:type="paragraph" w:styleId="TOC1">
    <w:name w:val="toc 1"/>
    <w:basedOn w:val="Normal"/>
    <w:next w:val="Normal"/>
    <w:autoRedefine/>
    <w:uiPriority w:val="39"/>
    <w:unhideWhenUsed/>
    <w:rsid w:val="00E91D87"/>
    <w:pPr>
      <w:tabs>
        <w:tab w:val="right" w:leader="hyphen" w:pos="8221"/>
      </w:tabs>
      <w:spacing w:before="180" w:after="60"/>
    </w:pPr>
    <w:rPr>
      <w:rFonts w:asciiTheme="majorHAnsi" w:hAnsiTheme="majorHAnsi"/>
      <w:b/>
      <w:bCs/>
      <w:color w:val="53565A"/>
      <w:sz w:val="24"/>
    </w:rPr>
  </w:style>
  <w:style w:type="paragraph" w:styleId="TOC2">
    <w:name w:val="toc 2"/>
    <w:basedOn w:val="Normal"/>
    <w:next w:val="Normal"/>
    <w:autoRedefine/>
    <w:uiPriority w:val="39"/>
    <w:unhideWhenUsed/>
    <w:rsid w:val="0080680A"/>
    <w:pPr>
      <w:tabs>
        <w:tab w:val="right" w:leader="hyphen" w:pos="8221"/>
      </w:tabs>
      <w:spacing w:before="60"/>
    </w:pPr>
    <w:rPr>
      <w:rFonts w:asciiTheme="majorHAnsi" w:hAnsiTheme="majorHAnsi"/>
      <w:b/>
      <w:bCs/>
    </w:rPr>
  </w:style>
  <w:style w:type="paragraph" w:styleId="TOC3">
    <w:name w:val="toc 3"/>
    <w:basedOn w:val="Normal"/>
    <w:next w:val="Normal"/>
    <w:autoRedefine/>
    <w:uiPriority w:val="39"/>
    <w:unhideWhenUsed/>
    <w:rsid w:val="0080680A"/>
    <w:pPr>
      <w:tabs>
        <w:tab w:val="right" w:leader="dot" w:pos="8211"/>
        <w:tab w:val="right" w:leader="hyphen" w:pos="8505"/>
      </w:tabs>
      <w:spacing w:after="60"/>
    </w:pPr>
    <w:rPr>
      <w:rFonts w:asciiTheme="majorHAnsi" w:hAnsiTheme="majorHAnsi"/>
    </w:rPr>
  </w:style>
  <w:style w:type="paragraph" w:styleId="TOC4">
    <w:name w:val="toc 4"/>
    <w:basedOn w:val="Normal"/>
    <w:next w:val="Normal"/>
    <w:autoRedefine/>
    <w:uiPriority w:val="39"/>
    <w:unhideWhenUsed/>
    <w:rsid w:val="00915744"/>
    <w:rPr>
      <w:rFonts w:asciiTheme="minorHAnsi" w:hAnsiTheme="minorHAnsi"/>
    </w:rPr>
  </w:style>
  <w:style w:type="paragraph" w:styleId="TOC5">
    <w:name w:val="toc 5"/>
    <w:basedOn w:val="Normal"/>
    <w:next w:val="Normal"/>
    <w:autoRedefine/>
    <w:uiPriority w:val="39"/>
    <w:unhideWhenUsed/>
    <w:rsid w:val="00915744"/>
    <w:rPr>
      <w:rFonts w:asciiTheme="minorHAnsi" w:hAnsiTheme="minorHAnsi"/>
    </w:rPr>
  </w:style>
  <w:style w:type="paragraph" w:styleId="TOC6">
    <w:name w:val="toc 6"/>
    <w:basedOn w:val="Normal"/>
    <w:next w:val="Normal"/>
    <w:autoRedefine/>
    <w:uiPriority w:val="39"/>
    <w:unhideWhenUsed/>
    <w:rsid w:val="00915744"/>
    <w:rPr>
      <w:rFonts w:asciiTheme="minorHAnsi" w:hAnsiTheme="minorHAnsi"/>
    </w:rPr>
  </w:style>
  <w:style w:type="paragraph" w:styleId="TOC7">
    <w:name w:val="toc 7"/>
    <w:basedOn w:val="Normal"/>
    <w:next w:val="Normal"/>
    <w:autoRedefine/>
    <w:uiPriority w:val="39"/>
    <w:unhideWhenUsed/>
    <w:rsid w:val="00915744"/>
    <w:rPr>
      <w:rFonts w:asciiTheme="minorHAnsi" w:hAnsiTheme="minorHAnsi"/>
    </w:rPr>
  </w:style>
  <w:style w:type="paragraph" w:styleId="TOC8">
    <w:name w:val="toc 8"/>
    <w:basedOn w:val="Normal"/>
    <w:next w:val="Normal"/>
    <w:autoRedefine/>
    <w:uiPriority w:val="39"/>
    <w:unhideWhenUsed/>
    <w:rsid w:val="00915744"/>
    <w:rPr>
      <w:rFonts w:asciiTheme="minorHAnsi" w:hAnsiTheme="minorHAnsi"/>
    </w:rPr>
  </w:style>
  <w:style w:type="paragraph" w:styleId="TOC9">
    <w:name w:val="toc 9"/>
    <w:basedOn w:val="Normal"/>
    <w:next w:val="Normal"/>
    <w:autoRedefine/>
    <w:uiPriority w:val="39"/>
    <w:unhideWhenUsed/>
    <w:rsid w:val="00915744"/>
    <w:rPr>
      <w:rFonts w:asciiTheme="minorHAnsi" w:hAnsiTheme="minorHAnsi"/>
    </w:rPr>
  </w:style>
  <w:style w:type="character" w:styleId="FollowedHyperlink">
    <w:name w:val="FollowedHyperlink"/>
    <w:basedOn w:val="DefaultParagraphFont"/>
    <w:uiPriority w:val="99"/>
    <w:semiHidden/>
    <w:unhideWhenUsed/>
    <w:rsid w:val="00F9731A"/>
    <w:rPr>
      <w:color w:val="800080" w:themeColor="followedHyperlink"/>
      <w:u w:val="single"/>
    </w:rPr>
  </w:style>
  <w:style w:type="character" w:styleId="CommentReference">
    <w:name w:val="annotation reference"/>
    <w:basedOn w:val="DefaultParagraphFont"/>
    <w:uiPriority w:val="99"/>
    <w:semiHidden/>
    <w:unhideWhenUsed/>
    <w:rsid w:val="0000591C"/>
    <w:rPr>
      <w:sz w:val="16"/>
      <w:szCs w:val="16"/>
    </w:rPr>
  </w:style>
  <w:style w:type="paragraph" w:styleId="CommentText">
    <w:name w:val="annotation text"/>
    <w:basedOn w:val="Normal"/>
    <w:link w:val="CommentTextChar"/>
    <w:uiPriority w:val="99"/>
    <w:unhideWhenUsed/>
    <w:rsid w:val="0000591C"/>
    <w:rPr>
      <w:sz w:val="20"/>
      <w:szCs w:val="20"/>
    </w:rPr>
  </w:style>
  <w:style w:type="character" w:customStyle="1" w:styleId="CommentTextChar">
    <w:name w:val="Comment Text Char"/>
    <w:basedOn w:val="DefaultParagraphFont"/>
    <w:link w:val="CommentText"/>
    <w:uiPriority w:val="99"/>
    <w:rsid w:val="0000591C"/>
    <w:rPr>
      <w:sz w:val="20"/>
      <w:szCs w:val="20"/>
      <w:lang w:val="en-AU"/>
    </w:rPr>
  </w:style>
  <w:style w:type="paragraph" w:styleId="CommentSubject">
    <w:name w:val="annotation subject"/>
    <w:basedOn w:val="CommentText"/>
    <w:next w:val="CommentText"/>
    <w:link w:val="CommentSubjectChar"/>
    <w:uiPriority w:val="99"/>
    <w:semiHidden/>
    <w:unhideWhenUsed/>
    <w:rsid w:val="0000591C"/>
    <w:rPr>
      <w:b/>
      <w:bCs/>
    </w:rPr>
  </w:style>
  <w:style w:type="character" w:customStyle="1" w:styleId="CommentSubjectChar">
    <w:name w:val="Comment Subject Char"/>
    <w:basedOn w:val="CommentTextChar"/>
    <w:link w:val="CommentSubject"/>
    <w:uiPriority w:val="99"/>
    <w:semiHidden/>
    <w:rsid w:val="0000591C"/>
    <w:rPr>
      <w:b/>
      <w:bCs/>
      <w:sz w:val="20"/>
      <w:szCs w:val="20"/>
      <w:lang w:val="en-AU"/>
    </w:rPr>
  </w:style>
  <w:style w:type="paragraph" w:styleId="Header">
    <w:name w:val="header"/>
    <w:basedOn w:val="Normal"/>
    <w:link w:val="HeaderChar"/>
    <w:uiPriority w:val="99"/>
    <w:unhideWhenUsed/>
    <w:rsid w:val="00DE58D7"/>
    <w:pPr>
      <w:tabs>
        <w:tab w:val="center" w:pos="4513"/>
        <w:tab w:val="right" w:pos="9026"/>
      </w:tabs>
    </w:pPr>
  </w:style>
  <w:style w:type="character" w:customStyle="1" w:styleId="HeaderChar">
    <w:name w:val="Header Char"/>
    <w:basedOn w:val="DefaultParagraphFont"/>
    <w:link w:val="Header"/>
    <w:uiPriority w:val="99"/>
    <w:rsid w:val="00DE58D7"/>
    <w:rPr>
      <w:lang w:val="en-AU"/>
    </w:rPr>
  </w:style>
  <w:style w:type="paragraph" w:styleId="Footer">
    <w:name w:val="footer"/>
    <w:basedOn w:val="Normal"/>
    <w:link w:val="FooterChar"/>
    <w:uiPriority w:val="99"/>
    <w:unhideWhenUsed/>
    <w:rsid w:val="00DE58D7"/>
    <w:pPr>
      <w:tabs>
        <w:tab w:val="center" w:pos="4513"/>
        <w:tab w:val="right" w:pos="9026"/>
      </w:tabs>
    </w:pPr>
  </w:style>
  <w:style w:type="character" w:customStyle="1" w:styleId="FooterChar">
    <w:name w:val="Footer Char"/>
    <w:basedOn w:val="DefaultParagraphFont"/>
    <w:link w:val="Footer"/>
    <w:uiPriority w:val="99"/>
    <w:rsid w:val="00DE58D7"/>
    <w:rPr>
      <w:lang w:val="en-AU"/>
    </w:rPr>
  </w:style>
  <w:style w:type="paragraph" w:customStyle="1" w:styleId="Bullet1">
    <w:name w:val="Bullet 1"/>
    <w:basedOn w:val="Normal"/>
    <w:uiPriority w:val="11"/>
    <w:qFormat/>
    <w:rsid w:val="001D1A22"/>
    <w:pPr>
      <w:numPr>
        <w:numId w:val="4"/>
      </w:numPr>
      <w:spacing w:before="80" w:after="80"/>
    </w:pPr>
    <w:rPr>
      <w:rFonts w:eastAsia="Times New Roman" w:cs="Calibri"/>
      <w:color w:val="auto"/>
      <w:lang w:eastAsia="en-AU"/>
    </w:rPr>
  </w:style>
  <w:style w:type="paragraph" w:customStyle="1" w:styleId="Bullet2">
    <w:name w:val="Bullet 2"/>
    <w:basedOn w:val="Bullet1"/>
    <w:uiPriority w:val="11"/>
    <w:rsid w:val="001D1A22"/>
    <w:pPr>
      <w:numPr>
        <w:ilvl w:val="1"/>
      </w:numPr>
    </w:pPr>
  </w:style>
  <w:style w:type="paragraph" w:customStyle="1" w:styleId="Bullet3">
    <w:name w:val="Bullet 3"/>
    <w:basedOn w:val="Bullet2"/>
    <w:uiPriority w:val="11"/>
    <w:rsid w:val="001D1A22"/>
    <w:pPr>
      <w:numPr>
        <w:ilvl w:val="2"/>
      </w:numPr>
    </w:pPr>
  </w:style>
  <w:style w:type="character" w:styleId="PageNumber">
    <w:name w:val="page number"/>
    <w:basedOn w:val="DefaultParagraphFont"/>
    <w:uiPriority w:val="99"/>
    <w:semiHidden/>
    <w:unhideWhenUsed/>
    <w:rsid w:val="00354726"/>
  </w:style>
  <w:style w:type="paragraph" w:styleId="Revision">
    <w:name w:val="Revision"/>
    <w:hidden/>
    <w:uiPriority w:val="99"/>
    <w:semiHidden/>
    <w:rsid w:val="00CD18E5"/>
    <w:rPr>
      <w:lang w:val="en-AU"/>
    </w:rPr>
  </w:style>
  <w:style w:type="paragraph" w:styleId="TOCHeading">
    <w:name w:val="TOC Heading"/>
    <w:basedOn w:val="Heading1"/>
    <w:next w:val="Normal"/>
    <w:uiPriority w:val="39"/>
    <w:unhideWhenUsed/>
    <w:qFormat/>
    <w:rsid w:val="00AB74F5"/>
    <w:pPr>
      <w:spacing w:after="0" w:line="259" w:lineRule="auto"/>
      <w:outlineLvl w:val="9"/>
    </w:pPr>
    <w:rPr>
      <w:b/>
      <w:lang w:val="en-US"/>
    </w:rPr>
  </w:style>
  <w:style w:type="paragraph" w:styleId="NormalWeb">
    <w:name w:val="Normal (Web)"/>
    <w:basedOn w:val="Normal"/>
    <w:uiPriority w:val="99"/>
    <w:unhideWhenUsed/>
    <w:rsid w:val="004768DA"/>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msonormal0">
    <w:name w:val="msonormal"/>
    <w:basedOn w:val="Normal"/>
    <w:rsid w:val="00C100E9"/>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65">
    <w:name w:val="xl65"/>
    <w:basedOn w:val="Normal"/>
    <w:rsid w:val="00C100E9"/>
    <w:pPr>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6">
    <w:name w:val="xl66"/>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67">
    <w:name w:val="xl67"/>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8">
    <w:name w:val="xl68"/>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9">
    <w:name w:val="xl69"/>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70">
    <w:name w:val="xl70"/>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71">
    <w:name w:val="xl71"/>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72">
    <w:name w:val="xl72"/>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3">
    <w:name w:val="xl73"/>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74">
    <w:name w:val="xl74"/>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5">
    <w:name w:val="xl75"/>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FF0000"/>
      <w:sz w:val="18"/>
      <w:szCs w:val="18"/>
      <w:lang w:eastAsia="en-AU"/>
    </w:rPr>
  </w:style>
  <w:style w:type="paragraph" w:customStyle="1" w:styleId="xl76">
    <w:name w:val="xl76"/>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FF0000"/>
      <w:sz w:val="18"/>
      <w:szCs w:val="18"/>
      <w:lang w:eastAsia="en-AU"/>
    </w:rPr>
  </w:style>
  <w:style w:type="paragraph" w:customStyle="1" w:styleId="xl77">
    <w:name w:val="xl77"/>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8">
    <w:name w:val="xl78"/>
    <w:basedOn w:val="Normal"/>
    <w:rsid w:val="00C100E9"/>
    <w:pPr>
      <w:pBdr>
        <w:top w:val="single" w:sz="4" w:space="0" w:color="1F4E78"/>
        <w:bottom w:val="double" w:sz="6" w:space="0" w:color="1F4E78"/>
      </w:pBdr>
      <w:shd w:val="clear" w:color="000000" w:fill="FFFFFF"/>
      <w:spacing w:before="100" w:beforeAutospacing="1" w:after="100" w:afterAutospacing="1"/>
    </w:pPr>
    <w:rPr>
      <w:rFonts w:ascii="Times New Roman" w:eastAsia="Times New Roman" w:hAnsi="Times New Roman" w:cs="Times New Roman"/>
      <w:b/>
      <w:bCs/>
      <w:color w:val="1F4E78"/>
      <w:sz w:val="20"/>
      <w:szCs w:val="20"/>
      <w:lang w:eastAsia="en-AU"/>
    </w:rPr>
  </w:style>
  <w:style w:type="paragraph" w:customStyle="1" w:styleId="xl79">
    <w:name w:val="xl79"/>
    <w:basedOn w:val="Normal"/>
    <w:rsid w:val="00C100E9"/>
    <w:pPr>
      <w:pBdr>
        <w:top w:val="single" w:sz="4" w:space="0" w:color="1F4E78"/>
        <w:bottom w:val="double" w:sz="6" w:space="0" w:color="1F4E78"/>
      </w:pBdr>
      <w:shd w:val="clear" w:color="000000" w:fill="FFFFFF"/>
      <w:spacing w:before="100" w:beforeAutospacing="1" w:after="100" w:afterAutospacing="1"/>
      <w:jc w:val="center"/>
    </w:pPr>
    <w:rPr>
      <w:rFonts w:ascii="Times New Roman" w:eastAsia="Times New Roman" w:hAnsi="Times New Roman" w:cs="Times New Roman"/>
      <w:b/>
      <w:bCs/>
      <w:color w:val="1F4E78"/>
      <w:sz w:val="20"/>
      <w:szCs w:val="20"/>
      <w:lang w:eastAsia="en-AU"/>
    </w:rPr>
  </w:style>
  <w:style w:type="paragraph" w:customStyle="1" w:styleId="xl80">
    <w:name w:val="xl80"/>
    <w:basedOn w:val="Normal"/>
    <w:rsid w:val="00C100E9"/>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xl81">
    <w:name w:val="xl81"/>
    <w:basedOn w:val="Normal"/>
    <w:rsid w:val="00C100E9"/>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xl82">
    <w:name w:val="xl82"/>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3">
    <w:name w:val="xl83"/>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4">
    <w:name w:val="xl84"/>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5">
    <w:name w:val="xl85"/>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6">
    <w:name w:val="xl86"/>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87">
    <w:name w:val="xl87"/>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8">
    <w:name w:val="xl88"/>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9">
    <w:name w:val="xl89"/>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0">
    <w:name w:val="xl90"/>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1">
    <w:name w:val="xl91"/>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92">
    <w:name w:val="xl92"/>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93">
    <w:name w:val="xl93"/>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94">
    <w:name w:val="xl94"/>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5">
    <w:name w:val="xl95"/>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6">
    <w:name w:val="xl96"/>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7">
    <w:name w:val="xl97"/>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8">
    <w:name w:val="xl98"/>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9">
    <w:name w:val="xl99"/>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100">
    <w:name w:val="xl100"/>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FF0000"/>
      <w:sz w:val="18"/>
      <w:szCs w:val="18"/>
      <w:lang w:eastAsia="en-AU"/>
    </w:rPr>
  </w:style>
  <w:style w:type="paragraph" w:customStyle="1" w:styleId="xl101">
    <w:name w:val="xl101"/>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102">
    <w:name w:val="xl102"/>
    <w:basedOn w:val="Normal"/>
    <w:rsid w:val="0000174F"/>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BasicParagraph">
    <w:name w:val="[Basic Paragraph]"/>
    <w:basedOn w:val="Normal"/>
    <w:uiPriority w:val="99"/>
    <w:rsid w:val="00367DC6"/>
    <w:pPr>
      <w:widowControl w:val="0"/>
      <w:autoSpaceDE w:val="0"/>
      <w:autoSpaceDN w:val="0"/>
      <w:adjustRightInd w:val="0"/>
      <w:spacing w:line="288" w:lineRule="auto"/>
      <w:textAlignment w:val="center"/>
    </w:pPr>
    <w:rPr>
      <w:rFonts w:ascii="Minion Pro" w:hAnsi="Minion Pro" w:cs="Minion Pro"/>
      <w:sz w:val="24"/>
      <w:szCs w:val="24"/>
      <w:lang w:val="en-US" w:eastAsia="en-AU"/>
    </w:rPr>
  </w:style>
  <w:style w:type="paragraph" w:customStyle="1" w:styleId="Bodycopy">
    <w:name w:val="Body copy"/>
    <w:basedOn w:val="Normal"/>
    <w:uiPriority w:val="99"/>
    <w:rsid w:val="00367DC6"/>
    <w:pPr>
      <w:widowControl w:val="0"/>
      <w:suppressAutoHyphens/>
      <w:autoSpaceDE w:val="0"/>
      <w:autoSpaceDN w:val="0"/>
      <w:adjustRightInd w:val="0"/>
      <w:spacing w:after="170" w:line="220" w:lineRule="atLeast"/>
      <w:textAlignment w:val="center"/>
    </w:pPr>
    <w:rPr>
      <w:rFonts w:ascii="HelveticaNeueLT Std Lt" w:hAnsi="HelveticaNeueLT Std Lt" w:cs="HelveticaNeueLT Std Lt"/>
      <w:sz w:val="17"/>
      <w:szCs w:val="17"/>
      <w:lang w:val="en-GB" w:eastAsia="en-AU"/>
    </w:rPr>
  </w:style>
  <w:style w:type="paragraph" w:customStyle="1" w:styleId="dots">
    <w:name w:val="dots"/>
    <w:basedOn w:val="Normal"/>
    <w:uiPriority w:val="99"/>
    <w:rsid w:val="00367DC6"/>
    <w:pPr>
      <w:widowControl w:val="0"/>
      <w:tabs>
        <w:tab w:val="left" w:pos="283"/>
      </w:tabs>
      <w:suppressAutoHyphens/>
      <w:autoSpaceDE w:val="0"/>
      <w:autoSpaceDN w:val="0"/>
      <w:adjustRightInd w:val="0"/>
      <w:spacing w:after="57" w:line="220" w:lineRule="atLeast"/>
      <w:ind w:left="283" w:hanging="283"/>
      <w:textAlignment w:val="center"/>
    </w:pPr>
    <w:rPr>
      <w:rFonts w:ascii="HelveticaNeueLT Std Lt" w:hAnsi="HelveticaNeueLT Std Lt" w:cs="HelveticaNeueLT Std Lt"/>
      <w:sz w:val="17"/>
      <w:szCs w:val="17"/>
      <w:lang w:val="en-GB" w:eastAsia="en-AU"/>
    </w:rPr>
  </w:style>
  <w:style w:type="paragraph" w:customStyle="1" w:styleId="Default">
    <w:name w:val="Default"/>
    <w:rsid w:val="0017753A"/>
    <w:pPr>
      <w:autoSpaceDE w:val="0"/>
      <w:autoSpaceDN w:val="0"/>
      <w:adjustRightInd w:val="0"/>
    </w:pPr>
    <w:rPr>
      <w:rFonts w:cs="Calibri"/>
      <w:sz w:val="24"/>
      <w:szCs w:val="24"/>
      <w:lang w:val="en-AU"/>
    </w:rPr>
  </w:style>
  <w:style w:type="character" w:styleId="Strong">
    <w:name w:val="Strong"/>
    <w:basedOn w:val="DefaultParagraphFont"/>
    <w:qFormat/>
    <w:rsid w:val="000A4F4A"/>
    <w:rPr>
      <w:b/>
      <w:bCs/>
    </w:rPr>
  </w:style>
  <w:style w:type="paragraph" w:customStyle="1" w:styleId="ImprintText">
    <w:name w:val="_ImprintText"/>
    <w:uiPriority w:val="9"/>
    <w:rsid w:val="000A4F4A"/>
    <w:pPr>
      <w:spacing w:after="85" w:line="170" w:lineRule="atLeast"/>
    </w:pPr>
    <w:rPr>
      <w:rFonts w:ascii="Arial" w:eastAsia="Times New Roman" w:hAnsi="Arial" w:cs="Arial"/>
      <w:color w:val="auto"/>
      <w:sz w:val="14"/>
      <w:szCs w:val="14"/>
      <w:lang w:val="en-AU"/>
    </w:rPr>
  </w:style>
  <w:style w:type="paragraph" w:customStyle="1" w:styleId="H13pt">
    <w:name w:val="H 13pt"/>
    <w:basedOn w:val="Normal"/>
    <w:qFormat/>
    <w:rsid w:val="00AB74F5"/>
    <w:pPr>
      <w:jc w:val="both"/>
    </w:pPr>
    <w:rPr>
      <w:rFonts w:eastAsia="Times New Roman" w:cs="Arial"/>
      <w:b/>
      <w:color w:val="53565A"/>
      <w:sz w:val="26"/>
      <w:szCs w:val="26"/>
    </w:rPr>
  </w:style>
  <w:style w:type="paragraph" w:customStyle="1" w:styleId="H11italic">
    <w:name w:val="H 11 italic"/>
    <w:basedOn w:val="Normal"/>
    <w:qFormat/>
    <w:rsid w:val="00AB74F5"/>
    <w:pPr>
      <w:jc w:val="both"/>
    </w:pPr>
    <w:rPr>
      <w:b/>
      <w:i/>
      <w:color w:val="53565A"/>
      <w:lang w:val="en-US"/>
    </w:rPr>
  </w:style>
  <w:style w:type="character" w:customStyle="1" w:styleId="Mention">
    <w:name w:val="Mention"/>
    <w:basedOn w:val="DefaultParagraphFont"/>
    <w:uiPriority w:val="99"/>
    <w:semiHidden/>
    <w:unhideWhenUsed/>
    <w:rsid w:val="00793D7D"/>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Lucida Grande"/>
        <w:color w:val="000000"/>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4F7A"/>
    <w:rPr>
      <w:lang w:val="en-AU"/>
    </w:rPr>
  </w:style>
  <w:style w:type="paragraph" w:styleId="Heading1">
    <w:name w:val="heading 1"/>
    <w:basedOn w:val="Normal"/>
    <w:next w:val="Normal"/>
    <w:link w:val="Heading1Char"/>
    <w:uiPriority w:val="9"/>
    <w:qFormat/>
    <w:rsid w:val="005F3BA9"/>
    <w:pPr>
      <w:keepNext/>
      <w:keepLines/>
      <w:spacing w:before="240" w:after="240"/>
      <w:outlineLvl w:val="0"/>
    </w:pPr>
    <w:rPr>
      <w:rFonts w:asciiTheme="majorHAnsi" w:eastAsiaTheme="majorEastAsia" w:hAnsiTheme="majorHAnsi" w:cstheme="majorBidi"/>
      <w:color w:val="53565A"/>
      <w:sz w:val="32"/>
      <w:szCs w:val="32"/>
    </w:rPr>
  </w:style>
  <w:style w:type="paragraph" w:styleId="Heading2">
    <w:name w:val="heading 2"/>
    <w:basedOn w:val="Normal"/>
    <w:next w:val="Normal"/>
    <w:link w:val="Heading2Char"/>
    <w:uiPriority w:val="9"/>
    <w:unhideWhenUsed/>
    <w:qFormat/>
    <w:rsid w:val="005F3BA9"/>
    <w:pPr>
      <w:keepNext/>
      <w:keepLines/>
      <w:spacing w:before="40"/>
      <w:outlineLvl w:val="1"/>
    </w:pPr>
    <w:rPr>
      <w:rFonts w:asciiTheme="majorHAnsi" w:eastAsiaTheme="majorEastAsia" w:hAnsiTheme="majorHAnsi" w:cstheme="majorBidi"/>
      <w:b/>
      <w:color w:val="53565A"/>
      <w:sz w:val="26"/>
      <w:szCs w:val="26"/>
    </w:rPr>
  </w:style>
  <w:style w:type="paragraph" w:styleId="Heading3">
    <w:name w:val="heading 3"/>
    <w:basedOn w:val="Normal"/>
    <w:next w:val="Normal"/>
    <w:link w:val="Heading3Char"/>
    <w:uiPriority w:val="9"/>
    <w:unhideWhenUsed/>
    <w:qFormat/>
    <w:rsid w:val="005E307C"/>
    <w:pPr>
      <w:tabs>
        <w:tab w:val="right" w:pos="8222"/>
      </w:tabs>
      <w:jc w:val="both"/>
      <w:outlineLvl w:val="2"/>
    </w:pPr>
    <w:rPr>
      <w:i/>
      <w:color w:val="53565A"/>
      <w:sz w:val="24"/>
      <w:szCs w:val="24"/>
    </w:rPr>
  </w:style>
  <w:style w:type="paragraph" w:styleId="Heading4">
    <w:name w:val="heading 4"/>
    <w:basedOn w:val="Normal"/>
    <w:next w:val="Normal"/>
    <w:link w:val="Heading4Char"/>
    <w:uiPriority w:val="9"/>
    <w:unhideWhenUsed/>
    <w:qFormat/>
    <w:rsid w:val="00512FD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3BA9"/>
    <w:rPr>
      <w:rFonts w:asciiTheme="majorHAnsi" w:eastAsiaTheme="majorEastAsia" w:hAnsiTheme="majorHAnsi" w:cstheme="majorBidi"/>
      <w:color w:val="53565A"/>
      <w:sz w:val="32"/>
      <w:szCs w:val="32"/>
      <w:lang w:val="en-AU"/>
    </w:rPr>
  </w:style>
  <w:style w:type="character" w:customStyle="1" w:styleId="Heading2Char">
    <w:name w:val="Heading 2 Char"/>
    <w:basedOn w:val="DefaultParagraphFont"/>
    <w:link w:val="Heading2"/>
    <w:uiPriority w:val="9"/>
    <w:rsid w:val="005F3BA9"/>
    <w:rPr>
      <w:rFonts w:asciiTheme="majorHAnsi" w:eastAsiaTheme="majorEastAsia" w:hAnsiTheme="majorHAnsi" w:cstheme="majorBidi"/>
      <w:b/>
      <w:color w:val="53565A"/>
      <w:sz w:val="26"/>
      <w:szCs w:val="26"/>
      <w:lang w:val="en-AU"/>
    </w:rPr>
  </w:style>
  <w:style w:type="character" w:customStyle="1" w:styleId="Heading3Char">
    <w:name w:val="Heading 3 Char"/>
    <w:basedOn w:val="DefaultParagraphFont"/>
    <w:link w:val="Heading3"/>
    <w:uiPriority w:val="9"/>
    <w:rsid w:val="005E307C"/>
    <w:rPr>
      <w:i/>
      <w:color w:val="53565A"/>
      <w:sz w:val="24"/>
      <w:szCs w:val="24"/>
      <w:lang w:val="en-AU"/>
    </w:rPr>
  </w:style>
  <w:style w:type="character" w:customStyle="1" w:styleId="Heading4Char">
    <w:name w:val="Heading 4 Char"/>
    <w:basedOn w:val="DefaultParagraphFont"/>
    <w:link w:val="Heading4"/>
    <w:uiPriority w:val="9"/>
    <w:rsid w:val="00512FDE"/>
    <w:rPr>
      <w:rFonts w:asciiTheme="majorHAnsi" w:eastAsiaTheme="majorEastAsia" w:hAnsiTheme="majorHAnsi" w:cstheme="majorBidi"/>
      <w:i/>
      <w:iCs/>
      <w:color w:val="365F91" w:themeColor="accent1" w:themeShade="BF"/>
      <w:lang w:val="en-AU"/>
    </w:rPr>
  </w:style>
  <w:style w:type="paragraph" w:customStyle="1" w:styleId="BodyText2">
    <w:name w:val="Body Text2"/>
    <w:basedOn w:val="Normal"/>
    <w:rsid w:val="009159D2"/>
    <w:pPr>
      <w:spacing w:before="120" w:after="60"/>
      <w:jc w:val="both"/>
    </w:pPr>
    <w:rPr>
      <w:rFonts w:ascii="Times New Roman" w:eastAsia="SimSun" w:hAnsi="Times New Roman" w:cs="Times New Roman"/>
      <w:color w:val="auto"/>
      <w:sz w:val="24"/>
      <w:szCs w:val="20"/>
    </w:rPr>
  </w:style>
  <w:style w:type="paragraph" w:styleId="BodyText20">
    <w:name w:val="Body Text 2"/>
    <w:aliases w:val="Body Text 2 Char Char Char Char,Body Text 2 Char Char Char Char C Char Char Char Char,Body Text 21,Body Text 2 Char Char Char Char1,Body Text 2 Char Char Char Char Char Char2 Char Char"/>
    <w:basedOn w:val="Normal"/>
    <w:link w:val="BodyText2Char"/>
    <w:rsid w:val="009159D2"/>
    <w:pPr>
      <w:widowControl w:val="0"/>
      <w:overflowPunct w:val="0"/>
      <w:autoSpaceDE w:val="0"/>
      <w:autoSpaceDN w:val="0"/>
      <w:adjustRightInd w:val="0"/>
      <w:jc w:val="both"/>
      <w:textAlignment w:val="baseline"/>
    </w:pPr>
    <w:rPr>
      <w:rFonts w:ascii="Times New Roman" w:eastAsia="Times New Roman" w:hAnsi="Times New Roman" w:cs="Times New Roman"/>
      <w:color w:val="auto"/>
      <w:sz w:val="24"/>
      <w:szCs w:val="20"/>
    </w:rPr>
  </w:style>
  <w:style w:type="character" w:customStyle="1" w:styleId="BodyText2Char">
    <w:name w:val="Body Text 2 Char"/>
    <w:aliases w:val="Body Text 2 Char Char Char Char Char,Body Text 2 Char Char Char Char C Char Char Char Char Char,Body Text 21 Char,Body Text 2 Char Char Char Char1 Char,Body Text 2 Char Char Char Char Char Char2 Char Char Char"/>
    <w:basedOn w:val="DefaultParagraphFont"/>
    <w:link w:val="BodyText20"/>
    <w:rsid w:val="009159D2"/>
    <w:rPr>
      <w:rFonts w:ascii="Times New Roman" w:eastAsia="Times New Roman" w:hAnsi="Times New Roman" w:cs="Times New Roman"/>
      <w:color w:val="auto"/>
      <w:sz w:val="24"/>
      <w:szCs w:val="20"/>
      <w:lang w:val="en-AU"/>
    </w:rPr>
  </w:style>
  <w:style w:type="paragraph" w:customStyle="1" w:styleId="BodyText1">
    <w:name w:val="Body Text1"/>
    <w:basedOn w:val="Normal"/>
    <w:rsid w:val="009159D2"/>
    <w:pPr>
      <w:spacing w:before="120" w:after="60"/>
      <w:jc w:val="both"/>
    </w:pPr>
    <w:rPr>
      <w:rFonts w:ascii="Times New Roman" w:eastAsia="Times New Roman" w:hAnsi="Times New Roman" w:cs="Times New Roman"/>
      <w:color w:val="auto"/>
      <w:sz w:val="24"/>
      <w:szCs w:val="20"/>
    </w:rPr>
  </w:style>
  <w:style w:type="paragraph" w:styleId="ListParagraph">
    <w:name w:val="List Paragraph"/>
    <w:basedOn w:val="Normal"/>
    <w:uiPriority w:val="34"/>
    <w:qFormat/>
    <w:rsid w:val="009D20C0"/>
    <w:pPr>
      <w:ind w:left="720"/>
      <w:contextualSpacing/>
    </w:pPr>
  </w:style>
  <w:style w:type="character" w:styleId="Hyperlink">
    <w:name w:val="Hyperlink"/>
    <w:basedOn w:val="DefaultParagraphFont"/>
    <w:uiPriority w:val="99"/>
    <w:unhideWhenUsed/>
    <w:rsid w:val="00BC50FD"/>
    <w:rPr>
      <w:strike w:val="0"/>
      <w:dstrike w:val="0"/>
      <w:color w:val="005F96"/>
      <w:u w:val="none"/>
      <w:effect w:val="none"/>
    </w:rPr>
  </w:style>
  <w:style w:type="paragraph" w:styleId="BalloonText">
    <w:name w:val="Balloon Text"/>
    <w:basedOn w:val="Normal"/>
    <w:link w:val="BalloonTextChar"/>
    <w:uiPriority w:val="99"/>
    <w:semiHidden/>
    <w:unhideWhenUsed/>
    <w:rsid w:val="00D55F9E"/>
    <w:rPr>
      <w:rFonts w:ascii="Tahoma" w:hAnsi="Tahoma" w:cs="Tahoma"/>
      <w:sz w:val="16"/>
      <w:szCs w:val="16"/>
    </w:rPr>
  </w:style>
  <w:style w:type="character" w:customStyle="1" w:styleId="BalloonTextChar">
    <w:name w:val="Balloon Text Char"/>
    <w:basedOn w:val="DefaultParagraphFont"/>
    <w:link w:val="BalloonText"/>
    <w:uiPriority w:val="99"/>
    <w:semiHidden/>
    <w:rsid w:val="00D55F9E"/>
    <w:rPr>
      <w:rFonts w:ascii="Tahoma" w:hAnsi="Tahoma" w:cs="Tahoma"/>
      <w:sz w:val="16"/>
      <w:szCs w:val="16"/>
      <w:lang w:val="en-AU"/>
    </w:rPr>
  </w:style>
  <w:style w:type="paragraph" w:customStyle="1" w:styleId="Pa7">
    <w:name w:val="Pa7"/>
    <w:basedOn w:val="Normal"/>
    <w:next w:val="Normal"/>
    <w:uiPriority w:val="99"/>
    <w:rsid w:val="00D55F9E"/>
    <w:pPr>
      <w:autoSpaceDE w:val="0"/>
      <w:autoSpaceDN w:val="0"/>
      <w:adjustRightInd w:val="0"/>
      <w:spacing w:line="201" w:lineRule="atLeast"/>
    </w:pPr>
    <w:rPr>
      <w:rFonts w:ascii="HelveticaNeueLT Std Lt" w:hAnsi="HelveticaNeueLT Std Lt" w:cs="Times New Roman"/>
      <w:sz w:val="24"/>
      <w:szCs w:val="24"/>
    </w:rPr>
  </w:style>
  <w:style w:type="table" w:styleId="TableGrid">
    <w:name w:val="Table Grid"/>
    <w:basedOn w:val="TableNormal"/>
    <w:uiPriority w:val="59"/>
    <w:rsid w:val="001E3A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uiPriority w:val="99"/>
    <w:semiHidden/>
    <w:unhideWhenUsed/>
    <w:rsid w:val="00D267B7"/>
    <w:rPr>
      <w:rFonts w:ascii="Courier New" w:eastAsia="Times New Roman" w:hAnsi="Courier New" w:cs="Courier New" w:hint="default"/>
      <w:sz w:val="20"/>
      <w:szCs w:val="20"/>
    </w:rPr>
  </w:style>
  <w:style w:type="paragraph" w:styleId="NoSpacing">
    <w:name w:val="No Spacing"/>
    <w:uiPriority w:val="1"/>
    <w:qFormat/>
    <w:rsid w:val="00F737F8"/>
    <w:rPr>
      <w:rFonts w:asciiTheme="minorHAnsi" w:eastAsiaTheme="minorHAnsi" w:hAnsiTheme="minorHAnsi" w:cstheme="minorBidi"/>
      <w:color w:val="auto"/>
      <w:lang w:val="en-AU"/>
    </w:rPr>
  </w:style>
  <w:style w:type="table" w:customStyle="1" w:styleId="TableGrid1">
    <w:name w:val="Table Grid1"/>
    <w:basedOn w:val="TableNormal"/>
    <w:next w:val="TableGrid"/>
    <w:uiPriority w:val="59"/>
    <w:rsid w:val="0040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027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818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 Char Char,Footnote Text Char Char Char Char Char Char,Footnote Text1,Footnote Text Char Char Char Char Char Char1,Footnote Text1 Char Char Char,Footnote Text Char Char Char Char Char Char Char Char Char"/>
    <w:basedOn w:val="Normal"/>
    <w:link w:val="FootnoteTextChar"/>
    <w:uiPriority w:val="99"/>
    <w:unhideWhenUsed/>
    <w:rsid w:val="00FF6213"/>
    <w:rPr>
      <w:sz w:val="24"/>
      <w:szCs w:val="24"/>
    </w:rPr>
  </w:style>
  <w:style w:type="character" w:customStyle="1" w:styleId="FootnoteTextChar">
    <w:name w:val="Footnote Text Char"/>
    <w:aliases w:val="Footnote Text Char Char Char Char Char,Footnote Text Char Char Char Char Char Char Char,Footnote Text1 Char,Footnote Text Char Char Char Char Char Char1 Char,Footnote Text1 Char Char Char Char"/>
    <w:basedOn w:val="DefaultParagraphFont"/>
    <w:link w:val="FootnoteText"/>
    <w:uiPriority w:val="99"/>
    <w:rsid w:val="00FF6213"/>
    <w:rPr>
      <w:sz w:val="24"/>
      <w:szCs w:val="24"/>
      <w:lang w:val="en-AU"/>
    </w:rPr>
  </w:style>
  <w:style w:type="character" w:styleId="FootnoteReference">
    <w:name w:val="footnote reference"/>
    <w:basedOn w:val="DefaultParagraphFont"/>
    <w:uiPriority w:val="99"/>
    <w:unhideWhenUsed/>
    <w:rsid w:val="00FF6213"/>
    <w:rPr>
      <w:vertAlign w:val="superscript"/>
    </w:rPr>
  </w:style>
  <w:style w:type="paragraph" w:customStyle="1" w:styleId="Heading-main2">
    <w:name w:val="Heading - main 2"/>
    <w:basedOn w:val="Normal"/>
    <w:rsid w:val="000A0F56"/>
    <w:pPr>
      <w:spacing w:after="240"/>
      <w:ind w:left="1440"/>
    </w:pPr>
    <w:rPr>
      <w:rFonts w:ascii="Arial" w:eastAsia="Times New Roman" w:hAnsi="Arial" w:cs="Times New Roman"/>
      <w:b/>
      <w:color w:val="auto"/>
      <w:sz w:val="36"/>
      <w:szCs w:val="20"/>
    </w:rPr>
  </w:style>
  <w:style w:type="paragraph" w:styleId="Caption">
    <w:name w:val="caption"/>
    <w:basedOn w:val="Normal"/>
    <w:next w:val="Normal"/>
    <w:qFormat/>
    <w:rsid w:val="000A0F56"/>
    <w:pPr>
      <w:spacing w:before="360" w:after="40" w:line="240" w:lineRule="exact"/>
      <w:ind w:left="907" w:hanging="907"/>
    </w:pPr>
    <w:rPr>
      <w:rFonts w:ascii="Century Gothic" w:eastAsia="Times New Roman" w:hAnsi="Century Gothic" w:cs="Times New Roman"/>
      <w:color w:val="auto"/>
      <w:sz w:val="20"/>
      <w:szCs w:val="20"/>
      <w:lang w:eastAsia="en-AU"/>
    </w:rPr>
  </w:style>
  <w:style w:type="paragraph" w:styleId="TOC1">
    <w:name w:val="toc 1"/>
    <w:basedOn w:val="Normal"/>
    <w:next w:val="Normal"/>
    <w:autoRedefine/>
    <w:uiPriority w:val="39"/>
    <w:unhideWhenUsed/>
    <w:rsid w:val="00E91D87"/>
    <w:pPr>
      <w:tabs>
        <w:tab w:val="right" w:leader="hyphen" w:pos="8221"/>
      </w:tabs>
      <w:spacing w:before="180" w:after="60"/>
    </w:pPr>
    <w:rPr>
      <w:rFonts w:asciiTheme="majorHAnsi" w:hAnsiTheme="majorHAnsi"/>
      <w:b/>
      <w:bCs/>
      <w:color w:val="53565A"/>
      <w:sz w:val="24"/>
    </w:rPr>
  </w:style>
  <w:style w:type="paragraph" w:styleId="TOC2">
    <w:name w:val="toc 2"/>
    <w:basedOn w:val="Normal"/>
    <w:next w:val="Normal"/>
    <w:autoRedefine/>
    <w:uiPriority w:val="39"/>
    <w:unhideWhenUsed/>
    <w:rsid w:val="0080680A"/>
    <w:pPr>
      <w:tabs>
        <w:tab w:val="right" w:leader="hyphen" w:pos="8221"/>
      </w:tabs>
      <w:spacing w:before="60"/>
    </w:pPr>
    <w:rPr>
      <w:rFonts w:asciiTheme="majorHAnsi" w:hAnsiTheme="majorHAnsi"/>
      <w:b/>
      <w:bCs/>
    </w:rPr>
  </w:style>
  <w:style w:type="paragraph" w:styleId="TOC3">
    <w:name w:val="toc 3"/>
    <w:basedOn w:val="Normal"/>
    <w:next w:val="Normal"/>
    <w:autoRedefine/>
    <w:uiPriority w:val="39"/>
    <w:unhideWhenUsed/>
    <w:rsid w:val="0080680A"/>
    <w:pPr>
      <w:tabs>
        <w:tab w:val="right" w:leader="dot" w:pos="8211"/>
        <w:tab w:val="right" w:leader="hyphen" w:pos="8505"/>
      </w:tabs>
      <w:spacing w:after="60"/>
    </w:pPr>
    <w:rPr>
      <w:rFonts w:asciiTheme="majorHAnsi" w:hAnsiTheme="majorHAnsi"/>
    </w:rPr>
  </w:style>
  <w:style w:type="paragraph" w:styleId="TOC4">
    <w:name w:val="toc 4"/>
    <w:basedOn w:val="Normal"/>
    <w:next w:val="Normal"/>
    <w:autoRedefine/>
    <w:uiPriority w:val="39"/>
    <w:unhideWhenUsed/>
    <w:rsid w:val="00915744"/>
    <w:rPr>
      <w:rFonts w:asciiTheme="minorHAnsi" w:hAnsiTheme="minorHAnsi"/>
    </w:rPr>
  </w:style>
  <w:style w:type="paragraph" w:styleId="TOC5">
    <w:name w:val="toc 5"/>
    <w:basedOn w:val="Normal"/>
    <w:next w:val="Normal"/>
    <w:autoRedefine/>
    <w:uiPriority w:val="39"/>
    <w:unhideWhenUsed/>
    <w:rsid w:val="00915744"/>
    <w:rPr>
      <w:rFonts w:asciiTheme="minorHAnsi" w:hAnsiTheme="minorHAnsi"/>
    </w:rPr>
  </w:style>
  <w:style w:type="paragraph" w:styleId="TOC6">
    <w:name w:val="toc 6"/>
    <w:basedOn w:val="Normal"/>
    <w:next w:val="Normal"/>
    <w:autoRedefine/>
    <w:uiPriority w:val="39"/>
    <w:unhideWhenUsed/>
    <w:rsid w:val="00915744"/>
    <w:rPr>
      <w:rFonts w:asciiTheme="minorHAnsi" w:hAnsiTheme="minorHAnsi"/>
    </w:rPr>
  </w:style>
  <w:style w:type="paragraph" w:styleId="TOC7">
    <w:name w:val="toc 7"/>
    <w:basedOn w:val="Normal"/>
    <w:next w:val="Normal"/>
    <w:autoRedefine/>
    <w:uiPriority w:val="39"/>
    <w:unhideWhenUsed/>
    <w:rsid w:val="00915744"/>
    <w:rPr>
      <w:rFonts w:asciiTheme="minorHAnsi" w:hAnsiTheme="minorHAnsi"/>
    </w:rPr>
  </w:style>
  <w:style w:type="paragraph" w:styleId="TOC8">
    <w:name w:val="toc 8"/>
    <w:basedOn w:val="Normal"/>
    <w:next w:val="Normal"/>
    <w:autoRedefine/>
    <w:uiPriority w:val="39"/>
    <w:unhideWhenUsed/>
    <w:rsid w:val="00915744"/>
    <w:rPr>
      <w:rFonts w:asciiTheme="minorHAnsi" w:hAnsiTheme="minorHAnsi"/>
    </w:rPr>
  </w:style>
  <w:style w:type="paragraph" w:styleId="TOC9">
    <w:name w:val="toc 9"/>
    <w:basedOn w:val="Normal"/>
    <w:next w:val="Normal"/>
    <w:autoRedefine/>
    <w:uiPriority w:val="39"/>
    <w:unhideWhenUsed/>
    <w:rsid w:val="00915744"/>
    <w:rPr>
      <w:rFonts w:asciiTheme="minorHAnsi" w:hAnsiTheme="minorHAnsi"/>
    </w:rPr>
  </w:style>
  <w:style w:type="character" w:styleId="FollowedHyperlink">
    <w:name w:val="FollowedHyperlink"/>
    <w:basedOn w:val="DefaultParagraphFont"/>
    <w:uiPriority w:val="99"/>
    <w:semiHidden/>
    <w:unhideWhenUsed/>
    <w:rsid w:val="00F9731A"/>
    <w:rPr>
      <w:color w:val="800080" w:themeColor="followedHyperlink"/>
      <w:u w:val="single"/>
    </w:rPr>
  </w:style>
  <w:style w:type="character" w:styleId="CommentReference">
    <w:name w:val="annotation reference"/>
    <w:basedOn w:val="DefaultParagraphFont"/>
    <w:uiPriority w:val="99"/>
    <w:semiHidden/>
    <w:unhideWhenUsed/>
    <w:rsid w:val="0000591C"/>
    <w:rPr>
      <w:sz w:val="16"/>
      <w:szCs w:val="16"/>
    </w:rPr>
  </w:style>
  <w:style w:type="paragraph" w:styleId="CommentText">
    <w:name w:val="annotation text"/>
    <w:basedOn w:val="Normal"/>
    <w:link w:val="CommentTextChar"/>
    <w:uiPriority w:val="99"/>
    <w:unhideWhenUsed/>
    <w:rsid w:val="0000591C"/>
    <w:rPr>
      <w:sz w:val="20"/>
      <w:szCs w:val="20"/>
    </w:rPr>
  </w:style>
  <w:style w:type="character" w:customStyle="1" w:styleId="CommentTextChar">
    <w:name w:val="Comment Text Char"/>
    <w:basedOn w:val="DefaultParagraphFont"/>
    <w:link w:val="CommentText"/>
    <w:uiPriority w:val="99"/>
    <w:rsid w:val="0000591C"/>
    <w:rPr>
      <w:sz w:val="20"/>
      <w:szCs w:val="20"/>
      <w:lang w:val="en-AU"/>
    </w:rPr>
  </w:style>
  <w:style w:type="paragraph" w:styleId="CommentSubject">
    <w:name w:val="annotation subject"/>
    <w:basedOn w:val="CommentText"/>
    <w:next w:val="CommentText"/>
    <w:link w:val="CommentSubjectChar"/>
    <w:uiPriority w:val="99"/>
    <w:semiHidden/>
    <w:unhideWhenUsed/>
    <w:rsid w:val="0000591C"/>
    <w:rPr>
      <w:b/>
      <w:bCs/>
    </w:rPr>
  </w:style>
  <w:style w:type="character" w:customStyle="1" w:styleId="CommentSubjectChar">
    <w:name w:val="Comment Subject Char"/>
    <w:basedOn w:val="CommentTextChar"/>
    <w:link w:val="CommentSubject"/>
    <w:uiPriority w:val="99"/>
    <w:semiHidden/>
    <w:rsid w:val="0000591C"/>
    <w:rPr>
      <w:b/>
      <w:bCs/>
      <w:sz w:val="20"/>
      <w:szCs w:val="20"/>
      <w:lang w:val="en-AU"/>
    </w:rPr>
  </w:style>
  <w:style w:type="paragraph" w:styleId="Header">
    <w:name w:val="header"/>
    <w:basedOn w:val="Normal"/>
    <w:link w:val="HeaderChar"/>
    <w:uiPriority w:val="99"/>
    <w:unhideWhenUsed/>
    <w:rsid w:val="00DE58D7"/>
    <w:pPr>
      <w:tabs>
        <w:tab w:val="center" w:pos="4513"/>
        <w:tab w:val="right" w:pos="9026"/>
      </w:tabs>
    </w:pPr>
  </w:style>
  <w:style w:type="character" w:customStyle="1" w:styleId="HeaderChar">
    <w:name w:val="Header Char"/>
    <w:basedOn w:val="DefaultParagraphFont"/>
    <w:link w:val="Header"/>
    <w:uiPriority w:val="99"/>
    <w:rsid w:val="00DE58D7"/>
    <w:rPr>
      <w:lang w:val="en-AU"/>
    </w:rPr>
  </w:style>
  <w:style w:type="paragraph" w:styleId="Footer">
    <w:name w:val="footer"/>
    <w:basedOn w:val="Normal"/>
    <w:link w:val="FooterChar"/>
    <w:uiPriority w:val="99"/>
    <w:unhideWhenUsed/>
    <w:rsid w:val="00DE58D7"/>
    <w:pPr>
      <w:tabs>
        <w:tab w:val="center" w:pos="4513"/>
        <w:tab w:val="right" w:pos="9026"/>
      </w:tabs>
    </w:pPr>
  </w:style>
  <w:style w:type="character" w:customStyle="1" w:styleId="FooterChar">
    <w:name w:val="Footer Char"/>
    <w:basedOn w:val="DefaultParagraphFont"/>
    <w:link w:val="Footer"/>
    <w:uiPriority w:val="99"/>
    <w:rsid w:val="00DE58D7"/>
    <w:rPr>
      <w:lang w:val="en-AU"/>
    </w:rPr>
  </w:style>
  <w:style w:type="paragraph" w:customStyle="1" w:styleId="Bullet1">
    <w:name w:val="Bullet 1"/>
    <w:basedOn w:val="Normal"/>
    <w:uiPriority w:val="11"/>
    <w:qFormat/>
    <w:rsid w:val="001D1A22"/>
    <w:pPr>
      <w:numPr>
        <w:numId w:val="4"/>
      </w:numPr>
      <w:spacing w:before="80" w:after="80"/>
    </w:pPr>
    <w:rPr>
      <w:rFonts w:eastAsia="Times New Roman" w:cs="Calibri"/>
      <w:color w:val="auto"/>
      <w:lang w:eastAsia="en-AU"/>
    </w:rPr>
  </w:style>
  <w:style w:type="paragraph" w:customStyle="1" w:styleId="Bullet2">
    <w:name w:val="Bullet 2"/>
    <w:basedOn w:val="Bullet1"/>
    <w:uiPriority w:val="11"/>
    <w:rsid w:val="001D1A22"/>
    <w:pPr>
      <w:numPr>
        <w:ilvl w:val="1"/>
      </w:numPr>
    </w:pPr>
  </w:style>
  <w:style w:type="paragraph" w:customStyle="1" w:styleId="Bullet3">
    <w:name w:val="Bullet 3"/>
    <w:basedOn w:val="Bullet2"/>
    <w:uiPriority w:val="11"/>
    <w:rsid w:val="001D1A22"/>
    <w:pPr>
      <w:numPr>
        <w:ilvl w:val="2"/>
      </w:numPr>
    </w:pPr>
  </w:style>
  <w:style w:type="character" w:styleId="PageNumber">
    <w:name w:val="page number"/>
    <w:basedOn w:val="DefaultParagraphFont"/>
    <w:uiPriority w:val="99"/>
    <w:semiHidden/>
    <w:unhideWhenUsed/>
    <w:rsid w:val="00354726"/>
  </w:style>
  <w:style w:type="paragraph" w:styleId="Revision">
    <w:name w:val="Revision"/>
    <w:hidden/>
    <w:uiPriority w:val="99"/>
    <w:semiHidden/>
    <w:rsid w:val="00CD18E5"/>
    <w:rPr>
      <w:lang w:val="en-AU"/>
    </w:rPr>
  </w:style>
  <w:style w:type="paragraph" w:styleId="TOCHeading">
    <w:name w:val="TOC Heading"/>
    <w:basedOn w:val="Heading1"/>
    <w:next w:val="Normal"/>
    <w:uiPriority w:val="39"/>
    <w:unhideWhenUsed/>
    <w:qFormat/>
    <w:rsid w:val="00AB74F5"/>
    <w:pPr>
      <w:spacing w:after="0" w:line="259" w:lineRule="auto"/>
      <w:outlineLvl w:val="9"/>
    </w:pPr>
    <w:rPr>
      <w:b/>
      <w:lang w:val="en-US"/>
    </w:rPr>
  </w:style>
  <w:style w:type="paragraph" w:styleId="NormalWeb">
    <w:name w:val="Normal (Web)"/>
    <w:basedOn w:val="Normal"/>
    <w:uiPriority w:val="99"/>
    <w:unhideWhenUsed/>
    <w:rsid w:val="004768DA"/>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msonormal0">
    <w:name w:val="msonormal"/>
    <w:basedOn w:val="Normal"/>
    <w:rsid w:val="00C100E9"/>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xl65">
    <w:name w:val="xl65"/>
    <w:basedOn w:val="Normal"/>
    <w:rsid w:val="00C100E9"/>
    <w:pPr>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6">
    <w:name w:val="xl66"/>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67">
    <w:name w:val="xl67"/>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8">
    <w:name w:val="xl68"/>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69">
    <w:name w:val="xl69"/>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70">
    <w:name w:val="xl70"/>
    <w:basedOn w:val="Normal"/>
    <w:rsid w:val="00C100E9"/>
    <w:pPr>
      <w:shd w:val="clear" w:color="000000" w:fill="FFFFFF"/>
      <w:spacing w:before="100" w:beforeAutospacing="1" w:after="100" w:afterAutospacing="1"/>
    </w:pPr>
    <w:rPr>
      <w:rFonts w:ascii="Times New Roman" w:eastAsia="Times New Roman" w:hAnsi="Times New Roman" w:cs="Times New Roman"/>
      <w:color w:val="auto"/>
      <w:sz w:val="18"/>
      <w:szCs w:val="18"/>
      <w:lang w:eastAsia="en-AU"/>
    </w:rPr>
  </w:style>
  <w:style w:type="paragraph" w:customStyle="1" w:styleId="xl71">
    <w:name w:val="xl71"/>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72">
    <w:name w:val="xl72"/>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3">
    <w:name w:val="xl73"/>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74">
    <w:name w:val="xl74"/>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5">
    <w:name w:val="xl75"/>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FF0000"/>
      <w:sz w:val="18"/>
      <w:szCs w:val="18"/>
      <w:lang w:eastAsia="en-AU"/>
    </w:rPr>
  </w:style>
  <w:style w:type="paragraph" w:customStyle="1" w:styleId="xl76">
    <w:name w:val="xl76"/>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FF0000"/>
      <w:sz w:val="18"/>
      <w:szCs w:val="18"/>
      <w:lang w:eastAsia="en-AU"/>
    </w:rPr>
  </w:style>
  <w:style w:type="paragraph" w:customStyle="1" w:styleId="xl77">
    <w:name w:val="xl77"/>
    <w:basedOn w:val="Normal"/>
    <w:rsid w:val="00C100E9"/>
    <w:pPr>
      <w:shd w:val="clear" w:color="000000" w:fill="FFFFFF"/>
      <w:spacing w:before="100" w:beforeAutospacing="1" w:after="100" w:afterAutospacing="1"/>
      <w:jc w:val="right"/>
    </w:pPr>
    <w:rPr>
      <w:rFonts w:ascii="Times New Roman" w:eastAsia="Times New Roman" w:hAnsi="Times New Roman" w:cs="Times New Roman"/>
      <w:color w:val="auto"/>
      <w:sz w:val="18"/>
      <w:szCs w:val="18"/>
      <w:lang w:eastAsia="en-AU"/>
    </w:rPr>
  </w:style>
  <w:style w:type="paragraph" w:customStyle="1" w:styleId="xl78">
    <w:name w:val="xl78"/>
    <w:basedOn w:val="Normal"/>
    <w:rsid w:val="00C100E9"/>
    <w:pPr>
      <w:pBdr>
        <w:top w:val="single" w:sz="4" w:space="0" w:color="1F4E78"/>
        <w:bottom w:val="double" w:sz="6" w:space="0" w:color="1F4E78"/>
      </w:pBdr>
      <w:shd w:val="clear" w:color="000000" w:fill="FFFFFF"/>
      <w:spacing w:before="100" w:beforeAutospacing="1" w:after="100" w:afterAutospacing="1"/>
    </w:pPr>
    <w:rPr>
      <w:rFonts w:ascii="Times New Roman" w:eastAsia="Times New Roman" w:hAnsi="Times New Roman" w:cs="Times New Roman"/>
      <w:b/>
      <w:bCs/>
      <w:color w:val="1F4E78"/>
      <w:sz w:val="20"/>
      <w:szCs w:val="20"/>
      <w:lang w:eastAsia="en-AU"/>
    </w:rPr>
  </w:style>
  <w:style w:type="paragraph" w:customStyle="1" w:styleId="xl79">
    <w:name w:val="xl79"/>
    <w:basedOn w:val="Normal"/>
    <w:rsid w:val="00C100E9"/>
    <w:pPr>
      <w:pBdr>
        <w:top w:val="single" w:sz="4" w:space="0" w:color="1F4E78"/>
        <w:bottom w:val="double" w:sz="6" w:space="0" w:color="1F4E78"/>
      </w:pBdr>
      <w:shd w:val="clear" w:color="000000" w:fill="FFFFFF"/>
      <w:spacing w:before="100" w:beforeAutospacing="1" w:after="100" w:afterAutospacing="1"/>
      <w:jc w:val="center"/>
    </w:pPr>
    <w:rPr>
      <w:rFonts w:ascii="Times New Roman" w:eastAsia="Times New Roman" w:hAnsi="Times New Roman" w:cs="Times New Roman"/>
      <w:b/>
      <w:bCs/>
      <w:color w:val="1F4E78"/>
      <w:sz w:val="20"/>
      <w:szCs w:val="20"/>
      <w:lang w:eastAsia="en-AU"/>
    </w:rPr>
  </w:style>
  <w:style w:type="paragraph" w:customStyle="1" w:styleId="xl80">
    <w:name w:val="xl80"/>
    <w:basedOn w:val="Normal"/>
    <w:rsid w:val="00C100E9"/>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xl81">
    <w:name w:val="xl81"/>
    <w:basedOn w:val="Normal"/>
    <w:rsid w:val="00C100E9"/>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xl82">
    <w:name w:val="xl82"/>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3">
    <w:name w:val="xl83"/>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4">
    <w:name w:val="xl84"/>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5">
    <w:name w:val="xl85"/>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6">
    <w:name w:val="xl86"/>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87">
    <w:name w:val="xl87"/>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88">
    <w:name w:val="xl88"/>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89">
    <w:name w:val="xl89"/>
    <w:basedOn w:val="Normal"/>
    <w:rsid w:val="00C100E9"/>
    <w:pP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0">
    <w:name w:val="xl90"/>
    <w:basedOn w:val="Normal"/>
    <w:rsid w:val="00C100E9"/>
    <w:pP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1">
    <w:name w:val="xl91"/>
    <w:basedOn w:val="Normal"/>
    <w:rsid w:val="00C100E9"/>
    <w:pPr>
      <w:shd w:val="clear" w:color="000000" w:fill="FFFFFF"/>
      <w:spacing w:before="100" w:beforeAutospacing="1" w:after="100" w:afterAutospacing="1"/>
      <w:jc w:val="center"/>
    </w:pPr>
    <w:rPr>
      <w:rFonts w:ascii="Times New Roman" w:eastAsia="Times New Roman" w:hAnsi="Times New Roman" w:cs="Times New Roman"/>
      <w:b/>
      <w:bCs/>
      <w:color w:val="1F4E78"/>
      <w:sz w:val="18"/>
      <w:szCs w:val="18"/>
      <w:lang w:eastAsia="en-AU"/>
    </w:rPr>
  </w:style>
  <w:style w:type="paragraph" w:customStyle="1" w:styleId="xl92">
    <w:name w:val="xl92"/>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93">
    <w:name w:val="xl93"/>
    <w:basedOn w:val="Normal"/>
    <w:rsid w:val="00C100E9"/>
    <w:pPr>
      <w:shd w:val="clear" w:color="000000" w:fill="FFFFFF"/>
      <w:spacing w:before="100" w:beforeAutospacing="1" w:after="100" w:afterAutospacing="1"/>
      <w:jc w:val="center"/>
    </w:pPr>
    <w:rPr>
      <w:rFonts w:ascii="Times New Roman" w:eastAsia="Times New Roman" w:hAnsi="Times New Roman" w:cs="Times New Roman"/>
      <w:color w:val="auto"/>
      <w:sz w:val="18"/>
      <w:szCs w:val="18"/>
      <w:lang w:eastAsia="en-AU"/>
    </w:rPr>
  </w:style>
  <w:style w:type="paragraph" w:customStyle="1" w:styleId="xl94">
    <w:name w:val="xl94"/>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5">
    <w:name w:val="xl95"/>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6">
    <w:name w:val="xl96"/>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97">
    <w:name w:val="xl97"/>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8">
    <w:name w:val="xl98"/>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99">
    <w:name w:val="xl99"/>
    <w:basedOn w:val="Normal"/>
    <w:rsid w:val="0000174F"/>
    <w:pPr>
      <w:pBdr>
        <w:bottom w:val="single" w:sz="4" w:space="0" w:color="1F4E78"/>
      </w:pBdr>
      <w:shd w:val="clear" w:color="000000" w:fill="FFFFFF"/>
      <w:spacing w:before="100" w:beforeAutospacing="1" w:after="100" w:afterAutospacing="1"/>
    </w:pPr>
    <w:rPr>
      <w:rFonts w:ascii="Times New Roman" w:eastAsia="Times New Roman" w:hAnsi="Times New Roman" w:cs="Times New Roman"/>
      <w:b/>
      <w:bCs/>
      <w:color w:val="1F4E78"/>
      <w:sz w:val="18"/>
      <w:szCs w:val="18"/>
      <w:lang w:eastAsia="en-AU"/>
    </w:rPr>
  </w:style>
  <w:style w:type="paragraph" w:customStyle="1" w:styleId="xl100">
    <w:name w:val="xl100"/>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FF0000"/>
      <w:sz w:val="18"/>
      <w:szCs w:val="18"/>
      <w:lang w:eastAsia="en-AU"/>
    </w:rPr>
  </w:style>
  <w:style w:type="paragraph" w:customStyle="1" w:styleId="xl101">
    <w:name w:val="xl101"/>
    <w:basedOn w:val="Normal"/>
    <w:rsid w:val="0000174F"/>
    <w:pPr>
      <w:pBdr>
        <w:bottom w:val="single" w:sz="4" w:space="0" w:color="1F4E78"/>
      </w:pBdr>
      <w:shd w:val="clear" w:color="000000" w:fill="FFFFFF"/>
      <w:spacing w:before="100" w:beforeAutospacing="1" w:after="100" w:afterAutospacing="1"/>
      <w:jc w:val="right"/>
    </w:pPr>
    <w:rPr>
      <w:rFonts w:ascii="Times New Roman" w:eastAsia="Times New Roman" w:hAnsi="Times New Roman" w:cs="Times New Roman"/>
      <w:b/>
      <w:bCs/>
      <w:color w:val="1F4E78"/>
      <w:sz w:val="18"/>
      <w:szCs w:val="18"/>
      <w:lang w:eastAsia="en-AU"/>
    </w:rPr>
  </w:style>
  <w:style w:type="paragraph" w:customStyle="1" w:styleId="xl102">
    <w:name w:val="xl102"/>
    <w:basedOn w:val="Normal"/>
    <w:rsid w:val="0000174F"/>
    <w:pPr>
      <w:pBdr>
        <w:top w:val="single" w:sz="4" w:space="0" w:color="1F4E78"/>
        <w:bottom w:val="single" w:sz="4" w:space="0" w:color="1F4E78"/>
      </w:pBdr>
      <w:shd w:val="clear" w:color="000000" w:fill="FFFFFF"/>
      <w:spacing w:before="100" w:beforeAutospacing="1" w:after="100" w:afterAutospacing="1"/>
    </w:pPr>
    <w:rPr>
      <w:rFonts w:ascii="Times New Roman" w:eastAsia="Times New Roman" w:hAnsi="Times New Roman" w:cs="Times New Roman"/>
      <w:b/>
      <w:bCs/>
      <w:i/>
      <w:iCs/>
      <w:color w:val="auto"/>
      <w:sz w:val="18"/>
      <w:szCs w:val="18"/>
      <w:lang w:eastAsia="en-AU"/>
    </w:rPr>
  </w:style>
  <w:style w:type="paragraph" w:customStyle="1" w:styleId="BasicParagraph">
    <w:name w:val="[Basic Paragraph]"/>
    <w:basedOn w:val="Normal"/>
    <w:uiPriority w:val="99"/>
    <w:rsid w:val="00367DC6"/>
    <w:pPr>
      <w:widowControl w:val="0"/>
      <w:autoSpaceDE w:val="0"/>
      <w:autoSpaceDN w:val="0"/>
      <w:adjustRightInd w:val="0"/>
      <w:spacing w:line="288" w:lineRule="auto"/>
      <w:textAlignment w:val="center"/>
    </w:pPr>
    <w:rPr>
      <w:rFonts w:ascii="Minion Pro" w:hAnsi="Minion Pro" w:cs="Minion Pro"/>
      <w:sz w:val="24"/>
      <w:szCs w:val="24"/>
      <w:lang w:val="en-US" w:eastAsia="en-AU"/>
    </w:rPr>
  </w:style>
  <w:style w:type="paragraph" w:customStyle="1" w:styleId="Bodycopy">
    <w:name w:val="Body copy"/>
    <w:basedOn w:val="Normal"/>
    <w:uiPriority w:val="99"/>
    <w:rsid w:val="00367DC6"/>
    <w:pPr>
      <w:widowControl w:val="0"/>
      <w:suppressAutoHyphens/>
      <w:autoSpaceDE w:val="0"/>
      <w:autoSpaceDN w:val="0"/>
      <w:adjustRightInd w:val="0"/>
      <w:spacing w:after="170" w:line="220" w:lineRule="atLeast"/>
      <w:textAlignment w:val="center"/>
    </w:pPr>
    <w:rPr>
      <w:rFonts w:ascii="HelveticaNeueLT Std Lt" w:hAnsi="HelveticaNeueLT Std Lt" w:cs="HelveticaNeueLT Std Lt"/>
      <w:sz w:val="17"/>
      <w:szCs w:val="17"/>
      <w:lang w:val="en-GB" w:eastAsia="en-AU"/>
    </w:rPr>
  </w:style>
  <w:style w:type="paragraph" w:customStyle="1" w:styleId="dots">
    <w:name w:val="dots"/>
    <w:basedOn w:val="Normal"/>
    <w:uiPriority w:val="99"/>
    <w:rsid w:val="00367DC6"/>
    <w:pPr>
      <w:widowControl w:val="0"/>
      <w:tabs>
        <w:tab w:val="left" w:pos="283"/>
      </w:tabs>
      <w:suppressAutoHyphens/>
      <w:autoSpaceDE w:val="0"/>
      <w:autoSpaceDN w:val="0"/>
      <w:adjustRightInd w:val="0"/>
      <w:spacing w:after="57" w:line="220" w:lineRule="atLeast"/>
      <w:ind w:left="283" w:hanging="283"/>
      <w:textAlignment w:val="center"/>
    </w:pPr>
    <w:rPr>
      <w:rFonts w:ascii="HelveticaNeueLT Std Lt" w:hAnsi="HelveticaNeueLT Std Lt" w:cs="HelveticaNeueLT Std Lt"/>
      <w:sz w:val="17"/>
      <w:szCs w:val="17"/>
      <w:lang w:val="en-GB" w:eastAsia="en-AU"/>
    </w:rPr>
  </w:style>
  <w:style w:type="paragraph" w:customStyle="1" w:styleId="Default">
    <w:name w:val="Default"/>
    <w:rsid w:val="0017753A"/>
    <w:pPr>
      <w:autoSpaceDE w:val="0"/>
      <w:autoSpaceDN w:val="0"/>
      <w:adjustRightInd w:val="0"/>
    </w:pPr>
    <w:rPr>
      <w:rFonts w:cs="Calibri"/>
      <w:sz w:val="24"/>
      <w:szCs w:val="24"/>
      <w:lang w:val="en-AU"/>
    </w:rPr>
  </w:style>
  <w:style w:type="character" w:styleId="Strong">
    <w:name w:val="Strong"/>
    <w:basedOn w:val="DefaultParagraphFont"/>
    <w:qFormat/>
    <w:rsid w:val="000A4F4A"/>
    <w:rPr>
      <w:b/>
      <w:bCs/>
    </w:rPr>
  </w:style>
  <w:style w:type="paragraph" w:customStyle="1" w:styleId="ImprintText">
    <w:name w:val="_ImprintText"/>
    <w:uiPriority w:val="9"/>
    <w:rsid w:val="000A4F4A"/>
    <w:pPr>
      <w:spacing w:after="85" w:line="170" w:lineRule="atLeast"/>
    </w:pPr>
    <w:rPr>
      <w:rFonts w:ascii="Arial" w:eastAsia="Times New Roman" w:hAnsi="Arial" w:cs="Arial"/>
      <w:color w:val="auto"/>
      <w:sz w:val="14"/>
      <w:szCs w:val="14"/>
      <w:lang w:val="en-AU"/>
    </w:rPr>
  </w:style>
  <w:style w:type="paragraph" w:customStyle="1" w:styleId="H13pt">
    <w:name w:val="H 13pt"/>
    <w:basedOn w:val="Normal"/>
    <w:qFormat/>
    <w:rsid w:val="00AB74F5"/>
    <w:pPr>
      <w:jc w:val="both"/>
    </w:pPr>
    <w:rPr>
      <w:rFonts w:eastAsia="Times New Roman" w:cs="Arial"/>
      <w:b/>
      <w:color w:val="53565A"/>
      <w:sz w:val="26"/>
      <w:szCs w:val="26"/>
    </w:rPr>
  </w:style>
  <w:style w:type="paragraph" w:customStyle="1" w:styleId="H11italic">
    <w:name w:val="H 11 italic"/>
    <w:basedOn w:val="Normal"/>
    <w:qFormat/>
    <w:rsid w:val="00AB74F5"/>
    <w:pPr>
      <w:jc w:val="both"/>
    </w:pPr>
    <w:rPr>
      <w:b/>
      <w:i/>
      <w:color w:val="53565A"/>
      <w:lang w:val="en-US"/>
    </w:rPr>
  </w:style>
  <w:style w:type="character" w:customStyle="1" w:styleId="Mention">
    <w:name w:val="Mention"/>
    <w:basedOn w:val="DefaultParagraphFont"/>
    <w:uiPriority w:val="99"/>
    <w:semiHidden/>
    <w:unhideWhenUsed/>
    <w:rsid w:val="00793D7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5494">
      <w:bodyDiv w:val="1"/>
      <w:marLeft w:val="0"/>
      <w:marRight w:val="0"/>
      <w:marTop w:val="0"/>
      <w:marBottom w:val="0"/>
      <w:divBdr>
        <w:top w:val="none" w:sz="0" w:space="0" w:color="auto"/>
        <w:left w:val="none" w:sz="0" w:space="0" w:color="auto"/>
        <w:bottom w:val="none" w:sz="0" w:space="0" w:color="auto"/>
        <w:right w:val="none" w:sz="0" w:space="0" w:color="auto"/>
      </w:divBdr>
    </w:div>
    <w:div w:id="13387411">
      <w:bodyDiv w:val="1"/>
      <w:marLeft w:val="0"/>
      <w:marRight w:val="0"/>
      <w:marTop w:val="0"/>
      <w:marBottom w:val="0"/>
      <w:divBdr>
        <w:top w:val="none" w:sz="0" w:space="0" w:color="auto"/>
        <w:left w:val="none" w:sz="0" w:space="0" w:color="auto"/>
        <w:bottom w:val="none" w:sz="0" w:space="0" w:color="auto"/>
        <w:right w:val="none" w:sz="0" w:space="0" w:color="auto"/>
      </w:divBdr>
    </w:div>
    <w:div w:id="24909922">
      <w:bodyDiv w:val="1"/>
      <w:marLeft w:val="0"/>
      <w:marRight w:val="0"/>
      <w:marTop w:val="0"/>
      <w:marBottom w:val="0"/>
      <w:divBdr>
        <w:top w:val="none" w:sz="0" w:space="0" w:color="auto"/>
        <w:left w:val="none" w:sz="0" w:space="0" w:color="auto"/>
        <w:bottom w:val="none" w:sz="0" w:space="0" w:color="auto"/>
        <w:right w:val="none" w:sz="0" w:space="0" w:color="auto"/>
      </w:divBdr>
    </w:div>
    <w:div w:id="30695296">
      <w:bodyDiv w:val="1"/>
      <w:marLeft w:val="0"/>
      <w:marRight w:val="0"/>
      <w:marTop w:val="0"/>
      <w:marBottom w:val="0"/>
      <w:divBdr>
        <w:top w:val="none" w:sz="0" w:space="0" w:color="auto"/>
        <w:left w:val="none" w:sz="0" w:space="0" w:color="auto"/>
        <w:bottom w:val="none" w:sz="0" w:space="0" w:color="auto"/>
        <w:right w:val="none" w:sz="0" w:space="0" w:color="auto"/>
      </w:divBdr>
    </w:div>
    <w:div w:id="87121123">
      <w:bodyDiv w:val="1"/>
      <w:marLeft w:val="0"/>
      <w:marRight w:val="0"/>
      <w:marTop w:val="0"/>
      <w:marBottom w:val="0"/>
      <w:divBdr>
        <w:top w:val="none" w:sz="0" w:space="0" w:color="auto"/>
        <w:left w:val="none" w:sz="0" w:space="0" w:color="auto"/>
        <w:bottom w:val="none" w:sz="0" w:space="0" w:color="auto"/>
        <w:right w:val="none" w:sz="0" w:space="0" w:color="auto"/>
      </w:divBdr>
    </w:div>
    <w:div w:id="100609037">
      <w:bodyDiv w:val="1"/>
      <w:marLeft w:val="0"/>
      <w:marRight w:val="0"/>
      <w:marTop w:val="0"/>
      <w:marBottom w:val="0"/>
      <w:divBdr>
        <w:top w:val="none" w:sz="0" w:space="0" w:color="auto"/>
        <w:left w:val="none" w:sz="0" w:space="0" w:color="auto"/>
        <w:bottom w:val="none" w:sz="0" w:space="0" w:color="auto"/>
        <w:right w:val="none" w:sz="0" w:space="0" w:color="auto"/>
      </w:divBdr>
    </w:div>
    <w:div w:id="128480182">
      <w:bodyDiv w:val="1"/>
      <w:marLeft w:val="0"/>
      <w:marRight w:val="0"/>
      <w:marTop w:val="0"/>
      <w:marBottom w:val="0"/>
      <w:divBdr>
        <w:top w:val="none" w:sz="0" w:space="0" w:color="auto"/>
        <w:left w:val="none" w:sz="0" w:space="0" w:color="auto"/>
        <w:bottom w:val="none" w:sz="0" w:space="0" w:color="auto"/>
        <w:right w:val="none" w:sz="0" w:space="0" w:color="auto"/>
      </w:divBdr>
    </w:div>
    <w:div w:id="133841851">
      <w:bodyDiv w:val="1"/>
      <w:marLeft w:val="0"/>
      <w:marRight w:val="0"/>
      <w:marTop w:val="0"/>
      <w:marBottom w:val="0"/>
      <w:divBdr>
        <w:top w:val="none" w:sz="0" w:space="0" w:color="auto"/>
        <w:left w:val="none" w:sz="0" w:space="0" w:color="auto"/>
        <w:bottom w:val="none" w:sz="0" w:space="0" w:color="auto"/>
        <w:right w:val="none" w:sz="0" w:space="0" w:color="auto"/>
      </w:divBdr>
    </w:div>
    <w:div w:id="165286598">
      <w:bodyDiv w:val="1"/>
      <w:marLeft w:val="0"/>
      <w:marRight w:val="0"/>
      <w:marTop w:val="0"/>
      <w:marBottom w:val="0"/>
      <w:divBdr>
        <w:top w:val="none" w:sz="0" w:space="0" w:color="auto"/>
        <w:left w:val="none" w:sz="0" w:space="0" w:color="auto"/>
        <w:bottom w:val="none" w:sz="0" w:space="0" w:color="auto"/>
        <w:right w:val="none" w:sz="0" w:space="0" w:color="auto"/>
      </w:divBdr>
    </w:div>
    <w:div w:id="169103070">
      <w:bodyDiv w:val="1"/>
      <w:marLeft w:val="0"/>
      <w:marRight w:val="0"/>
      <w:marTop w:val="0"/>
      <w:marBottom w:val="0"/>
      <w:divBdr>
        <w:top w:val="none" w:sz="0" w:space="0" w:color="auto"/>
        <w:left w:val="none" w:sz="0" w:space="0" w:color="auto"/>
        <w:bottom w:val="none" w:sz="0" w:space="0" w:color="auto"/>
        <w:right w:val="none" w:sz="0" w:space="0" w:color="auto"/>
      </w:divBdr>
    </w:div>
    <w:div w:id="184832905">
      <w:bodyDiv w:val="1"/>
      <w:marLeft w:val="0"/>
      <w:marRight w:val="0"/>
      <w:marTop w:val="0"/>
      <w:marBottom w:val="0"/>
      <w:divBdr>
        <w:top w:val="none" w:sz="0" w:space="0" w:color="auto"/>
        <w:left w:val="none" w:sz="0" w:space="0" w:color="auto"/>
        <w:bottom w:val="none" w:sz="0" w:space="0" w:color="auto"/>
        <w:right w:val="none" w:sz="0" w:space="0" w:color="auto"/>
      </w:divBdr>
    </w:div>
    <w:div w:id="198780564">
      <w:bodyDiv w:val="1"/>
      <w:marLeft w:val="0"/>
      <w:marRight w:val="0"/>
      <w:marTop w:val="0"/>
      <w:marBottom w:val="0"/>
      <w:divBdr>
        <w:top w:val="none" w:sz="0" w:space="0" w:color="auto"/>
        <w:left w:val="none" w:sz="0" w:space="0" w:color="auto"/>
        <w:bottom w:val="none" w:sz="0" w:space="0" w:color="auto"/>
        <w:right w:val="none" w:sz="0" w:space="0" w:color="auto"/>
      </w:divBdr>
    </w:div>
    <w:div w:id="204684897">
      <w:bodyDiv w:val="1"/>
      <w:marLeft w:val="0"/>
      <w:marRight w:val="0"/>
      <w:marTop w:val="0"/>
      <w:marBottom w:val="0"/>
      <w:divBdr>
        <w:top w:val="none" w:sz="0" w:space="0" w:color="auto"/>
        <w:left w:val="none" w:sz="0" w:space="0" w:color="auto"/>
        <w:bottom w:val="none" w:sz="0" w:space="0" w:color="auto"/>
        <w:right w:val="none" w:sz="0" w:space="0" w:color="auto"/>
      </w:divBdr>
    </w:div>
    <w:div w:id="211504164">
      <w:bodyDiv w:val="1"/>
      <w:marLeft w:val="0"/>
      <w:marRight w:val="0"/>
      <w:marTop w:val="0"/>
      <w:marBottom w:val="0"/>
      <w:divBdr>
        <w:top w:val="none" w:sz="0" w:space="0" w:color="auto"/>
        <w:left w:val="none" w:sz="0" w:space="0" w:color="auto"/>
        <w:bottom w:val="none" w:sz="0" w:space="0" w:color="auto"/>
        <w:right w:val="none" w:sz="0" w:space="0" w:color="auto"/>
      </w:divBdr>
    </w:div>
    <w:div w:id="244612496">
      <w:bodyDiv w:val="1"/>
      <w:marLeft w:val="0"/>
      <w:marRight w:val="0"/>
      <w:marTop w:val="0"/>
      <w:marBottom w:val="0"/>
      <w:divBdr>
        <w:top w:val="none" w:sz="0" w:space="0" w:color="auto"/>
        <w:left w:val="none" w:sz="0" w:space="0" w:color="auto"/>
        <w:bottom w:val="none" w:sz="0" w:space="0" w:color="auto"/>
        <w:right w:val="none" w:sz="0" w:space="0" w:color="auto"/>
      </w:divBdr>
    </w:div>
    <w:div w:id="250742469">
      <w:bodyDiv w:val="1"/>
      <w:marLeft w:val="0"/>
      <w:marRight w:val="0"/>
      <w:marTop w:val="0"/>
      <w:marBottom w:val="0"/>
      <w:divBdr>
        <w:top w:val="none" w:sz="0" w:space="0" w:color="auto"/>
        <w:left w:val="none" w:sz="0" w:space="0" w:color="auto"/>
        <w:bottom w:val="none" w:sz="0" w:space="0" w:color="auto"/>
        <w:right w:val="none" w:sz="0" w:space="0" w:color="auto"/>
      </w:divBdr>
    </w:div>
    <w:div w:id="251202805">
      <w:bodyDiv w:val="1"/>
      <w:marLeft w:val="0"/>
      <w:marRight w:val="0"/>
      <w:marTop w:val="0"/>
      <w:marBottom w:val="0"/>
      <w:divBdr>
        <w:top w:val="none" w:sz="0" w:space="0" w:color="auto"/>
        <w:left w:val="none" w:sz="0" w:space="0" w:color="auto"/>
        <w:bottom w:val="none" w:sz="0" w:space="0" w:color="auto"/>
        <w:right w:val="none" w:sz="0" w:space="0" w:color="auto"/>
      </w:divBdr>
    </w:div>
    <w:div w:id="259065310">
      <w:bodyDiv w:val="1"/>
      <w:marLeft w:val="0"/>
      <w:marRight w:val="0"/>
      <w:marTop w:val="0"/>
      <w:marBottom w:val="0"/>
      <w:divBdr>
        <w:top w:val="none" w:sz="0" w:space="0" w:color="auto"/>
        <w:left w:val="none" w:sz="0" w:space="0" w:color="auto"/>
        <w:bottom w:val="none" w:sz="0" w:space="0" w:color="auto"/>
        <w:right w:val="none" w:sz="0" w:space="0" w:color="auto"/>
      </w:divBdr>
    </w:div>
    <w:div w:id="259140962">
      <w:bodyDiv w:val="1"/>
      <w:marLeft w:val="0"/>
      <w:marRight w:val="0"/>
      <w:marTop w:val="0"/>
      <w:marBottom w:val="0"/>
      <w:divBdr>
        <w:top w:val="none" w:sz="0" w:space="0" w:color="auto"/>
        <w:left w:val="none" w:sz="0" w:space="0" w:color="auto"/>
        <w:bottom w:val="none" w:sz="0" w:space="0" w:color="auto"/>
        <w:right w:val="none" w:sz="0" w:space="0" w:color="auto"/>
      </w:divBdr>
    </w:div>
    <w:div w:id="301926226">
      <w:bodyDiv w:val="1"/>
      <w:marLeft w:val="0"/>
      <w:marRight w:val="0"/>
      <w:marTop w:val="0"/>
      <w:marBottom w:val="0"/>
      <w:divBdr>
        <w:top w:val="none" w:sz="0" w:space="0" w:color="auto"/>
        <w:left w:val="none" w:sz="0" w:space="0" w:color="auto"/>
        <w:bottom w:val="none" w:sz="0" w:space="0" w:color="auto"/>
        <w:right w:val="none" w:sz="0" w:space="0" w:color="auto"/>
      </w:divBdr>
    </w:div>
    <w:div w:id="312947946">
      <w:bodyDiv w:val="1"/>
      <w:marLeft w:val="0"/>
      <w:marRight w:val="0"/>
      <w:marTop w:val="0"/>
      <w:marBottom w:val="0"/>
      <w:divBdr>
        <w:top w:val="none" w:sz="0" w:space="0" w:color="auto"/>
        <w:left w:val="none" w:sz="0" w:space="0" w:color="auto"/>
        <w:bottom w:val="none" w:sz="0" w:space="0" w:color="auto"/>
        <w:right w:val="none" w:sz="0" w:space="0" w:color="auto"/>
      </w:divBdr>
    </w:div>
    <w:div w:id="317924190">
      <w:bodyDiv w:val="1"/>
      <w:marLeft w:val="0"/>
      <w:marRight w:val="0"/>
      <w:marTop w:val="0"/>
      <w:marBottom w:val="0"/>
      <w:divBdr>
        <w:top w:val="none" w:sz="0" w:space="0" w:color="auto"/>
        <w:left w:val="none" w:sz="0" w:space="0" w:color="auto"/>
        <w:bottom w:val="none" w:sz="0" w:space="0" w:color="auto"/>
        <w:right w:val="none" w:sz="0" w:space="0" w:color="auto"/>
      </w:divBdr>
    </w:div>
    <w:div w:id="318731551">
      <w:bodyDiv w:val="1"/>
      <w:marLeft w:val="0"/>
      <w:marRight w:val="0"/>
      <w:marTop w:val="0"/>
      <w:marBottom w:val="0"/>
      <w:divBdr>
        <w:top w:val="none" w:sz="0" w:space="0" w:color="auto"/>
        <w:left w:val="none" w:sz="0" w:space="0" w:color="auto"/>
        <w:bottom w:val="none" w:sz="0" w:space="0" w:color="auto"/>
        <w:right w:val="none" w:sz="0" w:space="0" w:color="auto"/>
      </w:divBdr>
    </w:div>
    <w:div w:id="322048593">
      <w:bodyDiv w:val="1"/>
      <w:marLeft w:val="0"/>
      <w:marRight w:val="0"/>
      <w:marTop w:val="0"/>
      <w:marBottom w:val="0"/>
      <w:divBdr>
        <w:top w:val="none" w:sz="0" w:space="0" w:color="auto"/>
        <w:left w:val="none" w:sz="0" w:space="0" w:color="auto"/>
        <w:bottom w:val="none" w:sz="0" w:space="0" w:color="auto"/>
        <w:right w:val="none" w:sz="0" w:space="0" w:color="auto"/>
      </w:divBdr>
    </w:div>
    <w:div w:id="346441345">
      <w:bodyDiv w:val="1"/>
      <w:marLeft w:val="0"/>
      <w:marRight w:val="0"/>
      <w:marTop w:val="0"/>
      <w:marBottom w:val="0"/>
      <w:divBdr>
        <w:top w:val="none" w:sz="0" w:space="0" w:color="auto"/>
        <w:left w:val="none" w:sz="0" w:space="0" w:color="auto"/>
        <w:bottom w:val="none" w:sz="0" w:space="0" w:color="auto"/>
        <w:right w:val="none" w:sz="0" w:space="0" w:color="auto"/>
      </w:divBdr>
    </w:div>
    <w:div w:id="360209558">
      <w:bodyDiv w:val="1"/>
      <w:marLeft w:val="0"/>
      <w:marRight w:val="0"/>
      <w:marTop w:val="0"/>
      <w:marBottom w:val="0"/>
      <w:divBdr>
        <w:top w:val="none" w:sz="0" w:space="0" w:color="auto"/>
        <w:left w:val="none" w:sz="0" w:space="0" w:color="auto"/>
        <w:bottom w:val="none" w:sz="0" w:space="0" w:color="auto"/>
        <w:right w:val="none" w:sz="0" w:space="0" w:color="auto"/>
      </w:divBdr>
    </w:div>
    <w:div w:id="386076377">
      <w:bodyDiv w:val="1"/>
      <w:marLeft w:val="0"/>
      <w:marRight w:val="0"/>
      <w:marTop w:val="0"/>
      <w:marBottom w:val="0"/>
      <w:divBdr>
        <w:top w:val="none" w:sz="0" w:space="0" w:color="auto"/>
        <w:left w:val="none" w:sz="0" w:space="0" w:color="auto"/>
        <w:bottom w:val="none" w:sz="0" w:space="0" w:color="auto"/>
        <w:right w:val="none" w:sz="0" w:space="0" w:color="auto"/>
      </w:divBdr>
    </w:div>
    <w:div w:id="396516997">
      <w:bodyDiv w:val="1"/>
      <w:marLeft w:val="0"/>
      <w:marRight w:val="0"/>
      <w:marTop w:val="0"/>
      <w:marBottom w:val="0"/>
      <w:divBdr>
        <w:top w:val="none" w:sz="0" w:space="0" w:color="auto"/>
        <w:left w:val="none" w:sz="0" w:space="0" w:color="auto"/>
        <w:bottom w:val="none" w:sz="0" w:space="0" w:color="auto"/>
        <w:right w:val="none" w:sz="0" w:space="0" w:color="auto"/>
      </w:divBdr>
    </w:div>
    <w:div w:id="408885802">
      <w:bodyDiv w:val="1"/>
      <w:marLeft w:val="0"/>
      <w:marRight w:val="0"/>
      <w:marTop w:val="0"/>
      <w:marBottom w:val="0"/>
      <w:divBdr>
        <w:top w:val="none" w:sz="0" w:space="0" w:color="auto"/>
        <w:left w:val="none" w:sz="0" w:space="0" w:color="auto"/>
        <w:bottom w:val="none" w:sz="0" w:space="0" w:color="auto"/>
        <w:right w:val="none" w:sz="0" w:space="0" w:color="auto"/>
      </w:divBdr>
    </w:div>
    <w:div w:id="426928929">
      <w:bodyDiv w:val="1"/>
      <w:marLeft w:val="0"/>
      <w:marRight w:val="0"/>
      <w:marTop w:val="0"/>
      <w:marBottom w:val="0"/>
      <w:divBdr>
        <w:top w:val="none" w:sz="0" w:space="0" w:color="auto"/>
        <w:left w:val="none" w:sz="0" w:space="0" w:color="auto"/>
        <w:bottom w:val="none" w:sz="0" w:space="0" w:color="auto"/>
        <w:right w:val="none" w:sz="0" w:space="0" w:color="auto"/>
      </w:divBdr>
    </w:div>
    <w:div w:id="434247638">
      <w:bodyDiv w:val="1"/>
      <w:marLeft w:val="0"/>
      <w:marRight w:val="0"/>
      <w:marTop w:val="0"/>
      <w:marBottom w:val="0"/>
      <w:divBdr>
        <w:top w:val="none" w:sz="0" w:space="0" w:color="auto"/>
        <w:left w:val="none" w:sz="0" w:space="0" w:color="auto"/>
        <w:bottom w:val="none" w:sz="0" w:space="0" w:color="auto"/>
        <w:right w:val="none" w:sz="0" w:space="0" w:color="auto"/>
      </w:divBdr>
    </w:div>
    <w:div w:id="462113080">
      <w:bodyDiv w:val="1"/>
      <w:marLeft w:val="0"/>
      <w:marRight w:val="0"/>
      <w:marTop w:val="0"/>
      <w:marBottom w:val="0"/>
      <w:divBdr>
        <w:top w:val="none" w:sz="0" w:space="0" w:color="auto"/>
        <w:left w:val="none" w:sz="0" w:space="0" w:color="auto"/>
        <w:bottom w:val="none" w:sz="0" w:space="0" w:color="auto"/>
        <w:right w:val="none" w:sz="0" w:space="0" w:color="auto"/>
      </w:divBdr>
    </w:div>
    <w:div w:id="523249569">
      <w:bodyDiv w:val="1"/>
      <w:marLeft w:val="0"/>
      <w:marRight w:val="0"/>
      <w:marTop w:val="0"/>
      <w:marBottom w:val="0"/>
      <w:divBdr>
        <w:top w:val="none" w:sz="0" w:space="0" w:color="auto"/>
        <w:left w:val="none" w:sz="0" w:space="0" w:color="auto"/>
        <w:bottom w:val="none" w:sz="0" w:space="0" w:color="auto"/>
        <w:right w:val="none" w:sz="0" w:space="0" w:color="auto"/>
      </w:divBdr>
    </w:div>
    <w:div w:id="525369089">
      <w:bodyDiv w:val="1"/>
      <w:marLeft w:val="0"/>
      <w:marRight w:val="0"/>
      <w:marTop w:val="0"/>
      <w:marBottom w:val="0"/>
      <w:divBdr>
        <w:top w:val="none" w:sz="0" w:space="0" w:color="auto"/>
        <w:left w:val="none" w:sz="0" w:space="0" w:color="auto"/>
        <w:bottom w:val="none" w:sz="0" w:space="0" w:color="auto"/>
        <w:right w:val="none" w:sz="0" w:space="0" w:color="auto"/>
      </w:divBdr>
    </w:div>
    <w:div w:id="554046077">
      <w:bodyDiv w:val="1"/>
      <w:marLeft w:val="0"/>
      <w:marRight w:val="0"/>
      <w:marTop w:val="0"/>
      <w:marBottom w:val="0"/>
      <w:divBdr>
        <w:top w:val="none" w:sz="0" w:space="0" w:color="auto"/>
        <w:left w:val="none" w:sz="0" w:space="0" w:color="auto"/>
        <w:bottom w:val="none" w:sz="0" w:space="0" w:color="auto"/>
        <w:right w:val="none" w:sz="0" w:space="0" w:color="auto"/>
      </w:divBdr>
    </w:div>
    <w:div w:id="570969243">
      <w:bodyDiv w:val="1"/>
      <w:marLeft w:val="0"/>
      <w:marRight w:val="0"/>
      <w:marTop w:val="0"/>
      <w:marBottom w:val="0"/>
      <w:divBdr>
        <w:top w:val="none" w:sz="0" w:space="0" w:color="auto"/>
        <w:left w:val="none" w:sz="0" w:space="0" w:color="auto"/>
        <w:bottom w:val="none" w:sz="0" w:space="0" w:color="auto"/>
        <w:right w:val="none" w:sz="0" w:space="0" w:color="auto"/>
      </w:divBdr>
    </w:div>
    <w:div w:id="577448151">
      <w:bodyDiv w:val="1"/>
      <w:marLeft w:val="0"/>
      <w:marRight w:val="0"/>
      <w:marTop w:val="0"/>
      <w:marBottom w:val="0"/>
      <w:divBdr>
        <w:top w:val="none" w:sz="0" w:space="0" w:color="auto"/>
        <w:left w:val="none" w:sz="0" w:space="0" w:color="auto"/>
        <w:bottom w:val="none" w:sz="0" w:space="0" w:color="auto"/>
        <w:right w:val="none" w:sz="0" w:space="0" w:color="auto"/>
      </w:divBdr>
    </w:div>
    <w:div w:id="585847457">
      <w:bodyDiv w:val="1"/>
      <w:marLeft w:val="0"/>
      <w:marRight w:val="0"/>
      <w:marTop w:val="0"/>
      <w:marBottom w:val="0"/>
      <w:divBdr>
        <w:top w:val="none" w:sz="0" w:space="0" w:color="auto"/>
        <w:left w:val="none" w:sz="0" w:space="0" w:color="auto"/>
        <w:bottom w:val="none" w:sz="0" w:space="0" w:color="auto"/>
        <w:right w:val="none" w:sz="0" w:space="0" w:color="auto"/>
      </w:divBdr>
    </w:div>
    <w:div w:id="598637197">
      <w:bodyDiv w:val="1"/>
      <w:marLeft w:val="0"/>
      <w:marRight w:val="0"/>
      <w:marTop w:val="0"/>
      <w:marBottom w:val="0"/>
      <w:divBdr>
        <w:top w:val="none" w:sz="0" w:space="0" w:color="auto"/>
        <w:left w:val="none" w:sz="0" w:space="0" w:color="auto"/>
        <w:bottom w:val="none" w:sz="0" w:space="0" w:color="auto"/>
        <w:right w:val="none" w:sz="0" w:space="0" w:color="auto"/>
      </w:divBdr>
    </w:div>
    <w:div w:id="637150069">
      <w:bodyDiv w:val="1"/>
      <w:marLeft w:val="0"/>
      <w:marRight w:val="0"/>
      <w:marTop w:val="0"/>
      <w:marBottom w:val="0"/>
      <w:divBdr>
        <w:top w:val="none" w:sz="0" w:space="0" w:color="auto"/>
        <w:left w:val="none" w:sz="0" w:space="0" w:color="auto"/>
        <w:bottom w:val="none" w:sz="0" w:space="0" w:color="auto"/>
        <w:right w:val="none" w:sz="0" w:space="0" w:color="auto"/>
      </w:divBdr>
    </w:div>
    <w:div w:id="637497179">
      <w:bodyDiv w:val="1"/>
      <w:marLeft w:val="0"/>
      <w:marRight w:val="0"/>
      <w:marTop w:val="0"/>
      <w:marBottom w:val="0"/>
      <w:divBdr>
        <w:top w:val="none" w:sz="0" w:space="0" w:color="auto"/>
        <w:left w:val="none" w:sz="0" w:space="0" w:color="auto"/>
        <w:bottom w:val="none" w:sz="0" w:space="0" w:color="auto"/>
        <w:right w:val="none" w:sz="0" w:space="0" w:color="auto"/>
      </w:divBdr>
    </w:div>
    <w:div w:id="645472231">
      <w:bodyDiv w:val="1"/>
      <w:marLeft w:val="0"/>
      <w:marRight w:val="0"/>
      <w:marTop w:val="0"/>
      <w:marBottom w:val="0"/>
      <w:divBdr>
        <w:top w:val="none" w:sz="0" w:space="0" w:color="auto"/>
        <w:left w:val="none" w:sz="0" w:space="0" w:color="auto"/>
        <w:bottom w:val="none" w:sz="0" w:space="0" w:color="auto"/>
        <w:right w:val="none" w:sz="0" w:space="0" w:color="auto"/>
      </w:divBdr>
    </w:div>
    <w:div w:id="651299670">
      <w:bodyDiv w:val="1"/>
      <w:marLeft w:val="0"/>
      <w:marRight w:val="0"/>
      <w:marTop w:val="0"/>
      <w:marBottom w:val="0"/>
      <w:divBdr>
        <w:top w:val="none" w:sz="0" w:space="0" w:color="auto"/>
        <w:left w:val="none" w:sz="0" w:space="0" w:color="auto"/>
        <w:bottom w:val="none" w:sz="0" w:space="0" w:color="auto"/>
        <w:right w:val="none" w:sz="0" w:space="0" w:color="auto"/>
      </w:divBdr>
    </w:div>
    <w:div w:id="707803337">
      <w:bodyDiv w:val="1"/>
      <w:marLeft w:val="0"/>
      <w:marRight w:val="0"/>
      <w:marTop w:val="0"/>
      <w:marBottom w:val="0"/>
      <w:divBdr>
        <w:top w:val="none" w:sz="0" w:space="0" w:color="auto"/>
        <w:left w:val="none" w:sz="0" w:space="0" w:color="auto"/>
        <w:bottom w:val="none" w:sz="0" w:space="0" w:color="auto"/>
        <w:right w:val="none" w:sz="0" w:space="0" w:color="auto"/>
      </w:divBdr>
    </w:div>
    <w:div w:id="715618503">
      <w:bodyDiv w:val="1"/>
      <w:marLeft w:val="0"/>
      <w:marRight w:val="0"/>
      <w:marTop w:val="0"/>
      <w:marBottom w:val="0"/>
      <w:divBdr>
        <w:top w:val="none" w:sz="0" w:space="0" w:color="auto"/>
        <w:left w:val="none" w:sz="0" w:space="0" w:color="auto"/>
        <w:bottom w:val="none" w:sz="0" w:space="0" w:color="auto"/>
        <w:right w:val="none" w:sz="0" w:space="0" w:color="auto"/>
      </w:divBdr>
    </w:div>
    <w:div w:id="722486580">
      <w:bodyDiv w:val="1"/>
      <w:marLeft w:val="0"/>
      <w:marRight w:val="0"/>
      <w:marTop w:val="0"/>
      <w:marBottom w:val="0"/>
      <w:divBdr>
        <w:top w:val="none" w:sz="0" w:space="0" w:color="auto"/>
        <w:left w:val="none" w:sz="0" w:space="0" w:color="auto"/>
        <w:bottom w:val="none" w:sz="0" w:space="0" w:color="auto"/>
        <w:right w:val="none" w:sz="0" w:space="0" w:color="auto"/>
      </w:divBdr>
    </w:div>
    <w:div w:id="731199099">
      <w:bodyDiv w:val="1"/>
      <w:marLeft w:val="0"/>
      <w:marRight w:val="0"/>
      <w:marTop w:val="0"/>
      <w:marBottom w:val="0"/>
      <w:divBdr>
        <w:top w:val="none" w:sz="0" w:space="0" w:color="auto"/>
        <w:left w:val="none" w:sz="0" w:space="0" w:color="auto"/>
        <w:bottom w:val="none" w:sz="0" w:space="0" w:color="auto"/>
        <w:right w:val="none" w:sz="0" w:space="0" w:color="auto"/>
      </w:divBdr>
    </w:div>
    <w:div w:id="731345054">
      <w:bodyDiv w:val="1"/>
      <w:marLeft w:val="0"/>
      <w:marRight w:val="0"/>
      <w:marTop w:val="0"/>
      <w:marBottom w:val="0"/>
      <w:divBdr>
        <w:top w:val="none" w:sz="0" w:space="0" w:color="auto"/>
        <w:left w:val="none" w:sz="0" w:space="0" w:color="auto"/>
        <w:bottom w:val="none" w:sz="0" w:space="0" w:color="auto"/>
        <w:right w:val="none" w:sz="0" w:space="0" w:color="auto"/>
      </w:divBdr>
    </w:div>
    <w:div w:id="746616524">
      <w:bodyDiv w:val="1"/>
      <w:marLeft w:val="0"/>
      <w:marRight w:val="0"/>
      <w:marTop w:val="0"/>
      <w:marBottom w:val="0"/>
      <w:divBdr>
        <w:top w:val="none" w:sz="0" w:space="0" w:color="auto"/>
        <w:left w:val="none" w:sz="0" w:space="0" w:color="auto"/>
        <w:bottom w:val="none" w:sz="0" w:space="0" w:color="auto"/>
        <w:right w:val="none" w:sz="0" w:space="0" w:color="auto"/>
      </w:divBdr>
    </w:div>
    <w:div w:id="779573157">
      <w:bodyDiv w:val="1"/>
      <w:marLeft w:val="0"/>
      <w:marRight w:val="0"/>
      <w:marTop w:val="0"/>
      <w:marBottom w:val="0"/>
      <w:divBdr>
        <w:top w:val="none" w:sz="0" w:space="0" w:color="auto"/>
        <w:left w:val="none" w:sz="0" w:space="0" w:color="auto"/>
        <w:bottom w:val="none" w:sz="0" w:space="0" w:color="auto"/>
        <w:right w:val="none" w:sz="0" w:space="0" w:color="auto"/>
      </w:divBdr>
    </w:div>
    <w:div w:id="801654307">
      <w:bodyDiv w:val="1"/>
      <w:marLeft w:val="0"/>
      <w:marRight w:val="0"/>
      <w:marTop w:val="0"/>
      <w:marBottom w:val="0"/>
      <w:divBdr>
        <w:top w:val="none" w:sz="0" w:space="0" w:color="auto"/>
        <w:left w:val="none" w:sz="0" w:space="0" w:color="auto"/>
        <w:bottom w:val="none" w:sz="0" w:space="0" w:color="auto"/>
        <w:right w:val="none" w:sz="0" w:space="0" w:color="auto"/>
      </w:divBdr>
    </w:div>
    <w:div w:id="810099596">
      <w:bodyDiv w:val="1"/>
      <w:marLeft w:val="0"/>
      <w:marRight w:val="0"/>
      <w:marTop w:val="0"/>
      <w:marBottom w:val="0"/>
      <w:divBdr>
        <w:top w:val="none" w:sz="0" w:space="0" w:color="auto"/>
        <w:left w:val="none" w:sz="0" w:space="0" w:color="auto"/>
        <w:bottom w:val="none" w:sz="0" w:space="0" w:color="auto"/>
        <w:right w:val="none" w:sz="0" w:space="0" w:color="auto"/>
      </w:divBdr>
    </w:div>
    <w:div w:id="815605351">
      <w:bodyDiv w:val="1"/>
      <w:marLeft w:val="0"/>
      <w:marRight w:val="0"/>
      <w:marTop w:val="0"/>
      <w:marBottom w:val="0"/>
      <w:divBdr>
        <w:top w:val="none" w:sz="0" w:space="0" w:color="auto"/>
        <w:left w:val="none" w:sz="0" w:space="0" w:color="auto"/>
        <w:bottom w:val="none" w:sz="0" w:space="0" w:color="auto"/>
        <w:right w:val="none" w:sz="0" w:space="0" w:color="auto"/>
      </w:divBdr>
    </w:div>
    <w:div w:id="824782360">
      <w:bodyDiv w:val="1"/>
      <w:marLeft w:val="0"/>
      <w:marRight w:val="0"/>
      <w:marTop w:val="0"/>
      <w:marBottom w:val="0"/>
      <w:divBdr>
        <w:top w:val="none" w:sz="0" w:space="0" w:color="auto"/>
        <w:left w:val="none" w:sz="0" w:space="0" w:color="auto"/>
        <w:bottom w:val="none" w:sz="0" w:space="0" w:color="auto"/>
        <w:right w:val="none" w:sz="0" w:space="0" w:color="auto"/>
      </w:divBdr>
    </w:div>
    <w:div w:id="830682790">
      <w:bodyDiv w:val="1"/>
      <w:marLeft w:val="0"/>
      <w:marRight w:val="0"/>
      <w:marTop w:val="0"/>
      <w:marBottom w:val="0"/>
      <w:divBdr>
        <w:top w:val="none" w:sz="0" w:space="0" w:color="auto"/>
        <w:left w:val="none" w:sz="0" w:space="0" w:color="auto"/>
        <w:bottom w:val="none" w:sz="0" w:space="0" w:color="auto"/>
        <w:right w:val="none" w:sz="0" w:space="0" w:color="auto"/>
      </w:divBdr>
    </w:div>
    <w:div w:id="836457494">
      <w:bodyDiv w:val="1"/>
      <w:marLeft w:val="0"/>
      <w:marRight w:val="0"/>
      <w:marTop w:val="0"/>
      <w:marBottom w:val="0"/>
      <w:divBdr>
        <w:top w:val="none" w:sz="0" w:space="0" w:color="auto"/>
        <w:left w:val="none" w:sz="0" w:space="0" w:color="auto"/>
        <w:bottom w:val="none" w:sz="0" w:space="0" w:color="auto"/>
        <w:right w:val="none" w:sz="0" w:space="0" w:color="auto"/>
      </w:divBdr>
    </w:div>
    <w:div w:id="840193998">
      <w:bodyDiv w:val="1"/>
      <w:marLeft w:val="0"/>
      <w:marRight w:val="0"/>
      <w:marTop w:val="0"/>
      <w:marBottom w:val="0"/>
      <w:divBdr>
        <w:top w:val="none" w:sz="0" w:space="0" w:color="auto"/>
        <w:left w:val="none" w:sz="0" w:space="0" w:color="auto"/>
        <w:bottom w:val="none" w:sz="0" w:space="0" w:color="auto"/>
        <w:right w:val="none" w:sz="0" w:space="0" w:color="auto"/>
      </w:divBdr>
    </w:div>
    <w:div w:id="846286062">
      <w:bodyDiv w:val="1"/>
      <w:marLeft w:val="0"/>
      <w:marRight w:val="0"/>
      <w:marTop w:val="0"/>
      <w:marBottom w:val="0"/>
      <w:divBdr>
        <w:top w:val="none" w:sz="0" w:space="0" w:color="auto"/>
        <w:left w:val="none" w:sz="0" w:space="0" w:color="auto"/>
        <w:bottom w:val="none" w:sz="0" w:space="0" w:color="auto"/>
        <w:right w:val="none" w:sz="0" w:space="0" w:color="auto"/>
      </w:divBdr>
    </w:div>
    <w:div w:id="877739224">
      <w:bodyDiv w:val="1"/>
      <w:marLeft w:val="0"/>
      <w:marRight w:val="0"/>
      <w:marTop w:val="0"/>
      <w:marBottom w:val="0"/>
      <w:divBdr>
        <w:top w:val="none" w:sz="0" w:space="0" w:color="auto"/>
        <w:left w:val="none" w:sz="0" w:space="0" w:color="auto"/>
        <w:bottom w:val="none" w:sz="0" w:space="0" w:color="auto"/>
        <w:right w:val="none" w:sz="0" w:space="0" w:color="auto"/>
      </w:divBdr>
    </w:div>
    <w:div w:id="911087307">
      <w:bodyDiv w:val="1"/>
      <w:marLeft w:val="0"/>
      <w:marRight w:val="0"/>
      <w:marTop w:val="0"/>
      <w:marBottom w:val="0"/>
      <w:divBdr>
        <w:top w:val="none" w:sz="0" w:space="0" w:color="auto"/>
        <w:left w:val="none" w:sz="0" w:space="0" w:color="auto"/>
        <w:bottom w:val="none" w:sz="0" w:space="0" w:color="auto"/>
        <w:right w:val="none" w:sz="0" w:space="0" w:color="auto"/>
      </w:divBdr>
    </w:div>
    <w:div w:id="913005793">
      <w:bodyDiv w:val="1"/>
      <w:marLeft w:val="0"/>
      <w:marRight w:val="0"/>
      <w:marTop w:val="0"/>
      <w:marBottom w:val="0"/>
      <w:divBdr>
        <w:top w:val="none" w:sz="0" w:space="0" w:color="auto"/>
        <w:left w:val="none" w:sz="0" w:space="0" w:color="auto"/>
        <w:bottom w:val="none" w:sz="0" w:space="0" w:color="auto"/>
        <w:right w:val="none" w:sz="0" w:space="0" w:color="auto"/>
      </w:divBdr>
    </w:div>
    <w:div w:id="915824543">
      <w:bodyDiv w:val="1"/>
      <w:marLeft w:val="0"/>
      <w:marRight w:val="0"/>
      <w:marTop w:val="0"/>
      <w:marBottom w:val="0"/>
      <w:divBdr>
        <w:top w:val="none" w:sz="0" w:space="0" w:color="auto"/>
        <w:left w:val="none" w:sz="0" w:space="0" w:color="auto"/>
        <w:bottom w:val="none" w:sz="0" w:space="0" w:color="auto"/>
        <w:right w:val="none" w:sz="0" w:space="0" w:color="auto"/>
      </w:divBdr>
    </w:div>
    <w:div w:id="958071405">
      <w:bodyDiv w:val="1"/>
      <w:marLeft w:val="0"/>
      <w:marRight w:val="0"/>
      <w:marTop w:val="0"/>
      <w:marBottom w:val="0"/>
      <w:divBdr>
        <w:top w:val="none" w:sz="0" w:space="0" w:color="auto"/>
        <w:left w:val="none" w:sz="0" w:space="0" w:color="auto"/>
        <w:bottom w:val="none" w:sz="0" w:space="0" w:color="auto"/>
        <w:right w:val="none" w:sz="0" w:space="0" w:color="auto"/>
      </w:divBdr>
    </w:div>
    <w:div w:id="963266610">
      <w:bodyDiv w:val="1"/>
      <w:marLeft w:val="0"/>
      <w:marRight w:val="0"/>
      <w:marTop w:val="0"/>
      <w:marBottom w:val="0"/>
      <w:divBdr>
        <w:top w:val="none" w:sz="0" w:space="0" w:color="auto"/>
        <w:left w:val="none" w:sz="0" w:space="0" w:color="auto"/>
        <w:bottom w:val="none" w:sz="0" w:space="0" w:color="auto"/>
        <w:right w:val="none" w:sz="0" w:space="0" w:color="auto"/>
      </w:divBdr>
    </w:div>
    <w:div w:id="983856315">
      <w:bodyDiv w:val="1"/>
      <w:marLeft w:val="0"/>
      <w:marRight w:val="0"/>
      <w:marTop w:val="0"/>
      <w:marBottom w:val="0"/>
      <w:divBdr>
        <w:top w:val="none" w:sz="0" w:space="0" w:color="auto"/>
        <w:left w:val="none" w:sz="0" w:space="0" w:color="auto"/>
        <w:bottom w:val="none" w:sz="0" w:space="0" w:color="auto"/>
        <w:right w:val="none" w:sz="0" w:space="0" w:color="auto"/>
      </w:divBdr>
    </w:div>
    <w:div w:id="991520644">
      <w:bodyDiv w:val="1"/>
      <w:marLeft w:val="0"/>
      <w:marRight w:val="0"/>
      <w:marTop w:val="0"/>
      <w:marBottom w:val="0"/>
      <w:divBdr>
        <w:top w:val="none" w:sz="0" w:space="0" w:color="auto"/>
        <w:left w:val="none" w:sz="0" w:space="0" w:color="auto"/>
        <w:bottom w:val="none" w:sz="0" w:space="0" w:color="auto"/>
        <w:right w:val="none" w:sz="0" w:space="0" w:color="auto"/>
      </w:divBdr>
    </w:div>
    <w:div w:id="994912979">
      <w:bodyDiv w:val="1"/>
      <w:marLeft w:val="0"/>
      <w:marRight w:val="0"/>
      <w:marTop w:val="0"/>
      <w:marBottom w:val="0"/>
      <w:divBdr>
        <w:top w:val="none" w:sz="0" w:space="0" w:color="auto"/>
        <w:left w:val="none" w:sz="0" w:space="0" w:color="auto"/>
        <w:bottom w:val="none" w:sz="0" w:space="0" w:color="auto"/>
        <w:right w:val="none" w:sz="0" w:space="0" w:color="auto"/>
      </w:divBdr>
    </w:div>
    <w:div w:id="1002775345">
      <w:bodyDiv w:val="1"/>
      <w:marLeft w:val="0"/>
      <w:marRight w:val="0"/>
      <w:marTop w:val="0"/>
      <w:marBottom w:val="0"/>
      <w:divBdr>
        <w:top w:val="none" w:sz="0" w:space="0" w:color="auto"/>
        <w:left w:val="none" w:sz="0" w:space="0" w:color="auto"/>
        <w:bottom w:val="none" w:sz="0" w:space="0" w:color="auto"/>
        <w:right w:val="none" w:sz="0" w:space="0" w:color="auto"/>
      </w:divBdr>
    </w:div>
    <w:div w:id="1006593320">
      <w:bodyDiv w:val="1"/>
      <w:marLeft w:val="0"/>
      <w:marRight w:val="0"/>
      <w:marTop w:val="0"/>
      <w:marBottom w:val="0"/>
      <w:divBdr>
        <w:top w:val="none" w:sz="0" w:space="0" w:color="auto"/>
        <w:left w:val="none" w:sz="0" w:space="0" w:color="auto"/>
        <w:bottom w:val="none" w:sz="0" w:space="0" w:color="auto"/>
        <w:right w:val="none" w:sz="0" w:space="0" w:color="auto"/>
      </w:divBdr>
    </w:div>
    <w:div w:id="1017076009">
      <w:bodyDiv w:val="1"/>
      <w:marLeft w:val="0"/>
      <w:marRight w:val="0"/>
      <w:marTop w:val="0"/>
      <w:marBottom w:val="0"/>
      <w:divBdr>
        <w:top w:val="none" w:sz="0" w:space="0" w:color="auto"/>
        <w:left w:val="none" w:sz="0" w:space="0" w:color="auto"/>
        <w:bottom w:val="none" w:sz="0" w:space="0" w:color="auto"/>
        <w:right w:val="none" w:sz="0" w:space="0" w:color="auto"/>
      </w:divBdr>
    </w:div>
    <w:div w:id="1020860540">
      <w:bodyDiv w:val="1"/>
      <w:marLeft w:val="0"/>
      <w:marRight w:val="0"/>
      <w:marTop w:val="0"/>
      <w:marBottom w:val="0"/>
      <w:divBdr>
        <w:top w:val="none" w:sz="0" w:space="0" w:color="auto"/>
        <w:left w:val="none" w:sz="0" w:space="0" w:color="auto"/>
        <w:bottom w:val="none" w:sz="0" w:space="0" w:color="auto"/>
        <w:right w:val="none" w:sz="0" w:space="0" w:color="auto"/>
      </w:divBdr>
    </w:div>
    <w:div w:id="1031488934">
      <w:bodyDiv w:val="1"/>
      <w:marLeft w:val="0"/>
      <w:marRight w:val="0"/>
      <w:marTop w:val="0"/>
      <w:marBottom w:val="0"/>
      <w:divBdr>
        <w:top w:val="none" w:sz="0" w:space="0" w:color="auto"/>
        <w:left w:val="none" w:sz="0" w:space="0" w:color="auto"/>
        <w:bottom w:val="none" w:sz="0" w:space="0" w:color="auto"/>
        <w:right w:val="none" w:sz="0" w:space="0" w:color="auto"/>
      </w:divBdr>
    </w:div>
    <w:div w:id="1048995114">
      <w:bodyDiv w:val="1"/>
      <w:marLeft w:val="0"/>
      <w:marRight w:val="0"/>
      <w:marTop w:val="0"/>
      <w:marBottom w:val="0"/>
      <w:divBdr>
        <w:top w:val="none" w:sz="0" w:space="0" w:color="auto"/>
        <w:left w:val="none" w:sz="0" w:space="0" w:color="auto"/>
        <w:bottom w:val="none" w:sz="0" w:space="0" w:color="auto"/>
        <w:right w:val="none" w:sz="0" w:space="0" w:color="auto"/>
      </w:divBdr>
    </w:div>
    <w:div w:id="1060784376">
      <w:bodyDiv w:val="1"/>
      <w:marLeft w:val="0"/>
      <w:marRight w:val="0"/>
      <w:marTop w:val="0"/>
      <w:marBottom w:val="0"/>
      <w:divBdr>
        <w:top w:val="none" w:sz="0" w:space="0" w:color="auto"/>
        <w:left w:val="none" w:sz="0" w:space="0" w:color="auto"/>
        <w:bottom w:val="none" w:sz="0" w:space="0" w:color="auto"/>
        <w:right w:val="none" w:sz="0" w:space="0" w:color="auto"/>
      </w:divBdr>
    </w:div>
    <w:div w:id="1062023075">
      <w:bodyDiv w:val="1"/>
      <w:marLeft w:val="0"/>
      <w:marRight w:val="0"/>
      <w:marTop w:val="0"/>
      <w:marBottom w:val="0"/>
      <w:divBdr>
        <w:top w:val="none" w:sz="0" w:space="0" w:color="auto"/>
        <w:left w:val="none" w:sz="0" w:space="0" w:color="auto"/>
        <w:bottom w:val="none" w:sz="0" w:space="0" w:color="auto"/>
        <w:right w:val="none" w:sz="0" w:space="0" w:color="auto"/>
      </w:divBdr>
    </w:div>
    <w:div w:id="1068072706">
      <w:bodyDiv w:val="1"/>
      <w:marLeft w:val="0"/>
      <w:marRight w:val="0"/>
      <w:marTop w:val="0"/>
      <w:marBottom w:val="0"/>
      <w:divBdr>
        <w:top w:val="none" w:sz="0" w:space="0" w:color="auto"/>
        <w:left w:val="none" w:sz="0" w:space="0" w:color="auto"/>
        <w:bottom w:val="none" w:sz="0" w:space="0" w:color="auto"/>
        <w:right w:val="none" w:sz="0" w:space="0" w:color="auto"/>
      </w:divBdr>
    </w:div>
    <w:div w:id="1072120412">
      <w:bodyDiv w:val="1"/>
      <w:marLeft w:val="0"/>
      <w:marRight w:val="0"/>
      <w:marTop w:val="0"/>
      <w:marBottom w:val="0"/>
      <w:divBdr>
        <w:top w:val="none" w:sz="0" w:space="0" w:color="auto"/>
        <w:left w:val="none" w:sz="0" w:space="0" w:color="auto"/>
        <w:bottom w:val="none" w:sz="0" w:space="0" w:color="auto"/>
        <w:right w:val="none" w:sz="0" w:space="0" w:color="auto"/>
      </w:divBdr>
    </w:div>
    <w:div w:id="1081562459">
      <w:bodyDiv w:val="1"/>
      <w:marLeft w:val="0"/>
      <w:marRight w:val="0"/>
      <w:marTop w:val="0"/>
      <w:marBottom w:val="0"/>
      <w:divBdr>
        <w:top w:val="none" w:sz="0" w:space="0" w:color="auto"/>
        <w:left w:val="none" w:sz="0" w:space="0" w:color="auto"/>
        <w:bottom w:val="none" w:sz="0" w:space="0" w:color="auto"/>
        <w:right w:val="none" w:sz="0" w:space="0" w:color="auto"/>
      </w:divBdr>
    </w:div>
    <w:div w:id="1083910494">
      <w:bodyDiv w:val="1"/>
      <w:marLeft w:val="0"/>
      <w:marRight w:val="0"/>
      <w:marTop w:val="0"/>
      <w:marBottom w:val="0"/>
      <w:divBdr>
        <w:top w:val="none" w:sz="0" w:space="0" w:color="auto"/>
        <w:left w:val="none" w:sz="0" w:space="0" w:color="auto"/>
        <w:bottom w:val="none" w:sz="0" w:space="0" w:color="auto"/>
        <w:right w:val="none" w:sz="0" w:space="0" w:color="auto"/>
      </w:divBdr>
    </w:div>
    <w:div w:id="1085683493">
      <w:bodyDiv w:val="1"/>
      <w:marLeft w:val="0"/>
      <w:marRight w:val="0"/>
      <w:marTop w:val="0"/>
      <w:marBottom w:val="0"/>
      <w:divBdr>
        <w:top w:val="none" w:sz="0" w:space="0" w:color="auto"/>
        <w:left w:val="none" w:sz="0" w:space="0" w:color="auto"/>
        <w:bottom w:val="none" w:sz="0" w:space="0" w:color="auto"/>
        <w:right w:val="none" w:sz="0" w:space="0" w:color="auto"/>
      </w:divBdr>
    </w:div>
    <w:div w:id="1088505586">
      <w:bodyDiv w:val="1"/>
      <w:marLeft w:val="0"/>
      <w:marRight w:val="0"/>
      <w:marTop w:val="0"/>
      <w:marBottom w:val="0"/>
      <w:divBdr>
        <w:top w:val="none" w:sz="0" w:space="0" w:color="auto"/>
        <w:left w:val="none" w:sz="0" w:space="0" w:color="auto"/>
        <w:bottom w:val="none" w:sz="0" w:space="0" w:color="auto"/>
        <w:right w:val="none" w:sz="0" w:space="0" w:color="auto"/>
      </w:divBdr>
    </w:div>
    <w:div w:id="1098871399">
      <w:bodyDiv w:val="1"/>
      <w:marLeft w:val="0"/>
      <w:marRight w:val="0"/>
      <w:marTop w:val="0"/>
      <w:marBottom w:val="0"/>
      <w:divBdr>
        <w:top w:val="none" w:sz="0" w:space="0" w:color="auto"/>
        <w:left w:val="none" w:sz="0" w:space="0" w:color="auto"/>
        <w:bottom w:val="none" w:sz="0" w:space="0" w:color="auto"/>
        <w:right w:val="none" w:sz="0" w:space="0" w:color="auto"/>
      </w:divBdr>
    </w:div>
    <w:div w:id="1123425912">
      <w:bodyDiv w:val="1"/>
      <w:marLeft w:val="0"/>
      <w:marRight w:val="0"/>
      <w:marTop w:val="0"/>
      <w:marBottom w:val="0"/>
      <w:divBdr>
        <w:top w:val="none" w:sz="0" w:space="0" w:color="auto"/>
        <w:left w:val="none" w:sz="0" w:space="0" w:color="auto"/>
        <w:bottom w:val="none" w:sz="0" w:space="0" w:color="auto"/>
        <w:right w:val="none" w:sz="0" w:space="0" w:color="auto"/>
      </w:divBdr>
    </w:div>
    <w:div w:id="1137145778">
      <w:bodyDiv w:val="1"/>
      <w:marLeft w:val="0"/>
      <w:marRight w:val="0"/>
      <w:marTop w:val="0"/>
      <w:marBottom w:val="0"/>
      <w:divBdr>
        <w:top w:val="none" w:sz="0" w:space="0" w:color="auto"/>
        <w:left w:val="none" w:sz="0" w:space="0" w:color="auto"/>
        <w:bottom w:val="none" w:sz="0" w:space="0" w:color="auto"/>
        <w:right w:val="none" w:sz="0" w:space="0" w:color="auto"/>
      </w:divBdr>
    </w:div>
    <w:div w:id="1144159156">
      <w:bodyDiv w:val="1"/>
      <w:marLeft w:val="0"/>
      <w:marRight w:val="0"/>
      <w:marTop w:val="0"/>
      <w:marBottom w:val="0"/>
      <w:divBdr>
        <w:top w:val="none" w:sz="0" w:space="0" w:color="auto"/>
        <w:left w:val="none" w:sz="0" w:space="0" w:color="auto"/>
        <w:bottom w:val="none" w:sz="0" w:space="0" w:color="auto"/>
        <w:right w:val="none" w:sz="0" w:space="0" w:color="auto"/>
      </w:divBdr>
    </w:div>
    <w:div w:id="1145242380">
      <w:bodyDiv w:val="1"/>
      <w:marLeft w:val="0"/>
      <w:marRight w:val="0"/>
      <w:marTop w:val="0"/>
      <w:marBottom w:val="0"/>
      <w:divBdr>
        <w:top w:val="none" w:sz="0" w:space="0" w:color="auto"/>
        <w:left w:val="none" w:sz="0" w:space="0" w:color="auto"/>
        <w:bottom w:val="none" w:sz="0" w:space="0" w:color="auto"/>
        <w:right w:val="none" w:sz="0" w:space="0" w:color="auto"/>
      </w:divBdr>
    </w:div>
    <w:div w:id="1166747887">
      <w:bodyDiv w:val="1"/>
      <w:marLeft w:val="0"/>
      <w:marRight w:val="0"/>
      <w:marTop w:val="0"/>
      <w:marBottom w:val="0"/>
      <w:divBdr>
        <w:top w:val="none" w:sz="0" w:space="0" w:color="auto"/>
        <w:left w:val="none" w:sz="0" w:space="0" w:color="auto"/>
        <w:bottom w:val="none" w:sz="0" w:space="0" w:color="auto"/>
        <w:right w:val="none" w:sz="0" w:space="0" w:color="auto"/>
      </w:divBdr>
    </w:div>
    <w:div w:id="1173497914">
      <w:bodyDiv w:val="1"/>
      <w:marLeft w:val="0"/>
      <w:marRight w:val="0"/>
      <w:marTop w:val="0"/>
      <w:marBottom w:val="0"/>
      <w:divBdr>
        <w:top w:val="none" w:sz="0" w:space="0" w:color="auto"/>
        <w:left w:val="none" w:sz="0" w:space="0" w:color="auto"/>
        <w:bottom w:val="none" w:sz="0" w:space="0" w:color="auto"/>
        <w:right w:val="none" w:sz="0" w:space="0" w:color="auto"/>
      </w:divBdr>
    </w:div>
    <w:div w:id="1182672065">
      <w:bodyDiv w:val="1"/>
      <w:marLeft w:val="0"/>
      <w:marRight w:val="0"/>
      <w:marTop w:val="0"/>
      <w:marBottom w:val="0"/>
      <w:divBdr>
        <w:top w:val="none" w:sz="0" w:space="0" w:color="auto"/>
        <w:left w:val="none" w:sz="0" w:space="0" w:color="auto"/>
        <w:bottom w:val="none" w:sz="0" w:space="0" w:color="auto"/>
        <w:right w:val="none" w:sz="0" w:space="0" w:color="auto"/>
      </w:divBdr>
    </w:div>
    <w:div w:id="1189829284">
      <w:bodyDiv w:val="1"/>
      <w:marLeft w:val="0"/>
      <w:marRight w:val="0"/>
      <w:marTop w:val="0"/>
      <w:marBottom w:val="0"/>
      <w:divBdr>
        <w:top w:val="none" w:sz="0" w:space="0" w:color="auto"/>
        <w:left w:val="none" w:sz="0" w:space="0" w:color="auto"/>
        <w:bottom w:val="none" w:sz="0" w:space="0" w:color="auto"/>
        <w:right w:val="none" w:sz="0" w:space="0" w:color="auto"/>
      </w:divBdr>
    </w:div>
    <w:div w:id="1197111692">
      <w:bodyDiv w:val="1"/>
      <w:marLeft w:val="0"/>
      <w:marRight w:val="0"/>
      <w:marTop w:val="0"/>
      <w:marBottom w:val="0"/>
      <w:divBdr>
        <w:top w:val="none" w:sz="0" w:space="0" w:color="auto"/>
        <w:left w:val="none" w:sz="0" w:space="0" w:color="auto"/>
        <w:bottom w:val="none" w:sz="0" w:space="0" w:color="auto"/>
        <w:right w:val="none" w:sz="0" w:space="0" w:color="auto"/>
      </w:divBdr>
    </w:div>
    <w:div w:id="1226649662">
      <w:bodyDiv w:val="1"/>
      <w:marLeft w:val="0"/>
      <w:marRight w:val="0"/>
      <w:marTop w:val="0"/>
      <w:marBottom w:val="0"/>
      <w:divBdr>
        <w:top w:val="none" w:sz="0" w:space="0" w:color="auto"/>
        <w:left w:val="none" w:sz="0" w:space="0" w:color="auto"/>
        <w:bottom w:val="none" w:sz="0" w:space="0" w:color="auto"/>
        <w:right w:val="none" w:sz="0" w:space="0" w:color="auto"/>
      </w:divBdr>
    </w:div>
    <w:div w:id="1232081674">
      <w:bodyDiv w:val="1"/>
      <w:marLeft w:val="0"/>
      <w:marRight w:val="0"/>
      <w:marTop w:val="0"/>
      <w:marBottom w:val="0"/>
      <w:divBdr>
        <w:top w:val="none" w:sz="0" w:space="0" w:color="auto"/>
        <w:left w:val="none" w:sz="0" w:space="0" w:color="auto"/>
        <w:bottom w:val="none" w:sz="0" w:space="0" w:color="auto"/>
        <w:right w:val="none" w:sz="0" w:space="0" w:color="auto"/>
      </w:divBdr>
    </w:div>
    <w:div w:id="1247766951">
      <w:bodyDiv w:val="1"/>
      <w:marLeft w:val="0"/>
      <w:marRight w:val="0"/>
      <w:marTop w:val="0"/>
      <w:marBottom w:val="0"/>
      <w:divBdr>
        <w:top w:val="none" w:sz="0" w:space="0" w:color="auto"/>
        <w:left w:val="none" w:sz="0" w:space="0" w:color="auto"/>
        <w:bottom w:val="none" w:sz="0" w:space="0" w:color="auto"/>
        <w:right w:val="none" w:sz="0" w:space="0" w:color="auto"/>
      </w:divBdr>
    </w:div>
    <w:div w:id="1256012529">
      <w:bodyDiv w:val="1"/>
      <w:marLeft w:val="0"/>
      <w:marRight w:val="0"/>
      <w:marTop w:val="0"/>
      <w:marBottom w:val="0"/>
      <w:divBdr>
        <w:top w:val="none" w:sz="0" w:space="0" w:color="auto"/>
        <w:left w:val="none" w:sz="0" w:space="0" w:color="auto"/>
        <w:bottom w:val="none" w:sz="0" w:space="0" w:color="auto"/>
        <w:right w:val="none" w:sz="0" w:space="0" w:color="auto"/>
      </w:divBdr>
    </w:div>
    <w:div w:id="1268269281">
      <w:bodyDiv w:val="1"/>
      <w:marLeft w:val="0"/>
      <w:marRight w:val="0"/>
      <w:marTop w:val="0"/>
      <w:marBottom w:val="0"/>
      <w:divBdr>
        <w:top w:val="none" w:sz="0" w:space="0" w:color="auto"/>
        <w:left w:val="none" w:sz="0" w:space="0" w:color="auto"/>
        <w:bottom w:val="none" w:sz="0" w:space="0" w:color="auto"/>
        <w:right w:val="none" w:sz="0" w:space="0" w:color="auto"/>
      </w:divBdr>
    </w:div>
    <w:div w:id="1270508246">
      <w:bodyDiv w:val="1"/>
      <w:marLeft w:val="0"/>
      <w:marRight w:val="0"/>
      <w:marTop w:val="0"/>
      <w:marBottom w:val="0"/>
      <w:divBdr>
        <w:top w:val="none" w:sz="0" w:space="0" w:color="auto"/>
        <w:left w:val="none" w:sz="0" w:space="0" w:color="auto"/>
        <w:bottom w:val="none" w:sz="0" w:space="0" w:color="auto"/>
        <w:right w:val="none" w:sz="0" w:space="0" w:color="auto"/>
      </w:divBdr>
    </w:div>
    <w:div w:id="1281491768">
      <w:bodyDiv w:val="1"/>
      <w:marLeft w:val="0"/>
      <w:marRight w:val="0"/>
      <w:marTop w:val="0"/>
      <w:marBottom w:val="0"/>
      <w:divBdr>
        <w:top w:val="none" w:sz="0" w:space="0" w:color="auto"/>
        <w:left w:val="none" w:sz="0" w:space="0" w:color="auto"/>
        <w:bottom w:val="none" w:sz="0" w:space="0" w:color="auto"/>
        <w:right w:val="none" w:sz="0" w:space="0" w:color="auto"/>
      </w:divBdr>
    </w:div>
    <w:div w:id="1291329112">
      <w:bodyDiv w:val="1"/>
      <w:marLeft w:val="0"/>
      <w:marRight w:val="0"/>
      <w:marTop w:val="0"/>
      <w:marBottom w:val="0"/>
      <w:divBdr>
        <w:top w:val="none" w:sz="0" w:space="0" w:color="auto"/>
        <w:left w:val="none" w:sz="0" w:space="0" w:color="auto"/>
        <w:bottom w:val="none" w:sz="0" w:space="0" w:color="auto"/>
        <w:right w:val="none" w:sz="0" w:space="0" w:color="auto"/>
      </w:divBdr>
      <w:divsChild>
        <w:div w:id="93940108">
          <w:marLeft w:val="0"/>
          <w:marRight w:val="0"/>
          <w:marTop w:val="0"/>
          <w:marBottom w:val="0"/>
          <w:divBdr>
            <w:top w:val="none" w:sz="0" w:space="0" w:color="auto"/>
            <w:left w:val="none" w:sz="0" w:space="0" w:color="auto"/>
            <w:bottom w:val="none" w:sz="0" w:space="0" w:color="auto"/>
            <w:right w:val="none" w:sz="0" w:space="0" w:color="auto"/>
          </w:divBdr>
          <w:divsChild>
            <w:div w:id="596332967">
              <w:marLeft w:val="0"/>
              <w:marRight w:val="0"/>
              <w:marTop w:val="0"/>
              <w:marBottom w:val="450"/>
              <w:divBdr>
                <w:top w:val="none" w:sz="0" w:space="0" w:color="auto"/>
                <w:left w:val="none" w:sz="0" w:space="0" w:color="auto"/>
                <w:bottom w:val="none" w:sz="0" w:space="0" w:color="auto"/>
                <w:right w:val="none" w:sz="0" w:space="0" w:color="auto"/>
              </w:divBdr>
              <w:divsChild>
                <w:div w:id="1349984526">
                  <w:marLeft w:val="0"/>
                  <w:marRight w:val="0"/>
                  <w:marTop w:val="0"/>
                  <w:marBottom w:val="0"/>
                  <w:divBdr>
                    <w:top w:val="none" w:sz="0" w:space="0" w:color="auto"/>
                    <w:left w:val="none" w:sz="0" w:space="0" w:color="auto"/>
                    <w:bottom w:val="none" w:sz="0" w:space="0" w:color="auto"/>
                    <w:right w:val="none" w:sz="0" w:space="0" w:color="auto"/>
                  </w:divBdr>
                  <w:divsChild>
                    <w:div w:id="1888906336">
                      <w:marLeft w:val="0"/>
                      <w:marRight w:val="0"/>
                      <w:marTop w:val="0"/>
                      <w:marBottom w:val="0"/>
                      <w:divBdr>
                        <w:top w:val="none" w:sz="0" w:space="0" w:color="auto"/>
                        <w:left w:val="none" w:sz="0" w:space="0" w:color="auto"/>
                        <w:bottom w:val="none" w:sz="0" w:space="0" w:color="auto"/>
                        <w:right w:val="none" w:sz="0" w:space="0" w:color="auto"/>
                      </w:divBdr>
                      <w:divsChild>
                        <w:div w:id="1908876153">
                          <w:marLeft w:val="0"/>
                          <w:marRight w:val="0"/>
                          <w:marTop w:val="0"/>
                          <w:marBottom w:val="0"/>
                          <w:divBdr>
                            <w:top w:val="none" w:sz="0" w:space="0" w:color="auto"/>
                            <w:left w:val="none" w:sz="0" w:space="0" w:color="auto"/>
                            <w:bottom w:val="none" w:sz="0" w:space="0" w:color="auto"/>
                            <w:right w:val="none" w:sz="0" w:space="0" w:color="auto"/>
                          </w:divBdr>
                          <w:divsChild>
                            <w:div w:id="156567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176070">
      <w:bodyDiv w:val="1"/>
      <w:marLeft w:val="0"/>
      <w:marRight w:val="0"/>
      <w:marTop w:val="0"/>
      <w:marBottom w:val="0"/>
      <w:divBdr>
        <w:top w:val="none" w:sz="0" w:space="0" w:color="auto"/>
        <w:left w:val="none" w:sz="0" w:space="0" w:color="auto"/>
        <w:bottom w:val="none" w:sz="0" w:space="0" w:color="auto"/>
        <w:right w:val="none" w:sz="0" w:space="0" w:color="auto"/>
      </w:divBdr>
    </w:div>
    <w:div w:id="1305624260">
      <w:bodyDiv w:val="1"/>
      <w:marLeft w:val="0"/>
      <w:marRight w:val="0"/>
      <w:marTop w:val="0"/>
      <w:marBottom w:val="0"/>
      <w:divBdr>
        <w:top w:val="none" w:sz="0" w:space="0" w:color="auto"/>
        <w:left w:val="none" w:sz="0" w:space="0" w:color="auto"/>
        <w:bottom w:val="none" w:sz="0" w:space="0" w:color="auto"/>
        <w:right w:val="none" w:sz="0" w:space="0" w:color="auto"/>
      </w:divBdr>
      <w:divsChild>
        <w:div w:id="1198816844">
          <w:marLeft w:val="0"/>
          <w:marRight w:val="0"/>
          <w:marTop w:val="0"/>
          <w:marBottom w:val="0"/>
          <w:divBdr>
            <w:top w:val="none" w:sz="0" w:space="0" w:color="auto"/>
            <w:left w:val="none" w:sz="0" w:space="0" w:color="auto"/>
            <w:bottom w:val="none" w:sz="0" w:space="0" w:color="auto"/>
            <w:right w:val="none" w:sz="0" w:space="0" w:color="auto"/>
          </w:divBdr>
          <w:divsChild>
            <w:div w:id="1010447699">
              <w:marLeft w:val="0"/>
              <w:marRight w:val="0"/>
              <w:marTop w:val="0"/>
              <w:marBottom w:val="450"/>
              <w:divBdr>
                <w:top w:val="none" w:sz="0" w:space="0" w:color="auto"/>
                <w:left w:val="none" w:sz="0" w:space="0" w:color="auto"/>
                <w:bottom w:val="none" w:sz="0" w:space="0" w:color="auto"/>
                <w:right w:val="none" w:sz="0" w:space="0" w:color="auto"/>
              </w:divBdr>
              <w:divsChild>
                <w:div w:id="789981755">
                  <w:marLeft w:val="0"/>
                  <w:marRight w:val="0"/>
                  <w:marTop w:val="0"/>
                  <w:marBottom w:val="0"/>
                  <w:divBdr>
                    <w:top w:val="none" w:sz="0" w:space="0" w:color="auto"/>
                    <w:left w:val="none" w:sz="0" w:space="0" w:color="auto"/>
                    <w:bottom w:val="none" w:sz="0" w:space="0" w:color="auto"/>
                    <w:right w:val="none" w:sz="0" w:space="0" w:color="auto"/>
                  </w:divBdr>
                  <w:divsChild>
                    <w:div w:id="664868503">
                      <w:marLeft w:val="0"/>
                      <w:marRight w:val="0"/>
                      <w:marTop w:val="0"/>
                      <w:marBottom w:val="0"/>
                      <w:divBdr>
                        <w:top w:val="none" w:sz="0" w:space="0" w:color="auto"/>
                        <w:left w:val="none" w:sz="0" w:space="0" w:color="auto"/>
                        <w:bottom w:val="none" w:sz="0" w:space="0" w:color="auto"/>
                        <w:right w:val="none" w:sz="0" w:space="0" w:color="auto"/>
                      </w:divBdr>
                      <w:divsChild>
                        <w:div w:id="1814980232">
                          <w:marLeft w:val="0"/>
                          <w:marRight w:val="0"/>
                          <w:marTop w:val="0"/>
                          <w:marBottom w:val="0"/>
                          <w:divBdr>
                            <w:top w:val="none" w:sz="0" w:space="0" w:color="auto"/>
                            <w:left w:val="none" w:sz="0" w:space="0" w:color="auto"/>
                            <w:bottom w:val="none" w:sz="0" w:space="0" w:color="auto"/>
                            <w:right w:val="none" w:sz="0" w:space="0" w:color="auto"/>
                          </w:divBdr>
                          <w:divsChild>
                            <w:div w:id="686755143">
                              <w:marLeft w:val="0"/>
                              <w:marRight w:val="0"/>
                              <w:marTop w:val="0"/>
                              <w:marBottom w:val="0"/>
                              <w:divBdr>
                                <w:top w:val="none" w:sz="0" w:space="0" w:color="auto"/>
                                <w:left w:val="none" w:sz="0" w:space="0" w:color="auto"/>
                                <w:bottom w:val="none" w:sz="0" w:space="0" w:color="auto"/>
                                <w:right w:val="none" w:sz="0" w:space="0" w:color="auto"/>
                              </w:divBdr>
                              <w:divsChild>
                                <w:div w:id="161232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0672249">
      <w:bodyDiv w:val="1"/>
      <w:marLeft w:val="0"/>
      <w:marRight w:val="0"/>
      <w:marTop w:val="0"/>
      <w:marBottom w:val="0"/>
      <w:divBdr>
        <w:top w:val="none" w:sz="0" w:space="0" w:color="auto"/>
        <w:left w:val="none" w:sz="0" w:space="0" w:color="auto"/>
        <w:bottom w:val="none" w:sz="0" w:space="0" w:color="auto"/>
        <w:right w:val="none" w:sz="0" w:space="0" w:color="auto"/>
      </w:divBdr>
    </w:div>
    <w:div w:id="1318608126">
      <w:bodyDiv w:val="1"/>
      <w:marLeft w:val="0"/>
      <w:marRight w:val="0"/>
      <w:marTop w:val="0"/>
      <w:marBottom w:val="0"/>
      <w:divBdr>
        <w:top w:val="none" w:sz="0" w:space="0" w:color="auto"/>
        <w:left w:val="none" w:sz="0" w:space="0" w:color="auto"/>
        <w:bottom w:val="none" w:sz="0" w:space="0" w:color="auto"/>
        <w:right w:val="none" w:sz="0" w:space="0" w:color="auto"/>
      </w:divBdr>
    </w:div>
    <w:div w:id="1319845213">
      <w:bodyDiv w:val="1"/>
      <w:marLeft w:val="0"/>
      <w:marRight w:val="0"/>
      <w:marTop w:val="0"/>
      <w:marBottom w:val="0"/>
      <w:divBdr>
        <w:top w:val="none" w:sz="0" w:space="0" w:color="auto"/>
        <w:left w:val="none" w:sz="0" w:space="0" w:color="auto"/>
        <w:bottom w:val="none" w:sz="0" w:space="0" w:color="auto"/>
        <w:right w:val="none" w:sz="0" w:space="0" w:color="auto"/>
      </w:divBdr>
    </w:div>
    <w:div w:id="1324973605">
      <w:bodyDiv w:val="1"/>
      <w:marLeft w:val="0"/>
      <w:marRight w:val="0"/>
      <w:marTop w:val="0"/>
      <w:marBottom w:val="0"/>
      <w:divBdr>
        <w:top w:val="none" w:sz="0" w:space="0" w:color="auto"/>
        <w:left w:val="none" w:sz="0" w:space="0" w:color="auto"/>
        <w:bottom w:val="none" w:sz="0" w:space="0" w:color="auto"/>
        <w:right w:val="none" w:sz="0" w:space="0" w:color="auto"/>
      </w:divBdr>
    </w:div>
    <w:div w:id="1330987759">
      <w:bodyDiv w:val="1"/>
      <w:marLeft w:val="0"/>
      <w:marRight w:val="0"/>
      <w:marTop w:val="0"/>
      <w:marBottom w:val="0"/>
      <w:divBdr>
        <w:top w:val="none" w:sz="0" w:space="0" w:color="auto"/>
        <w:left w:val="none" w:sz="0" w:space="0" w:color="auto"/>
        <w:bottom w:val="none" w:sz="0" w:space="0" w:color="auto"/>
        <w:right w:val="none" w:sz="0" w:space="0" w:color="auto"/>
      </w:divBdr>
    </w:div>
    <w:div w:id="1340231557">
      <w:bodyDiv w:val="1"/>
      <w:marLeft w:val="0"/>
      <w:marRight w:val="0"/>
      <w:marTop w:val="0"/>
      <w:marBottom w:val="0"/>
      <w:divBdr>
        <w:top w:val="none" w:sz="0" w:space="0" w:color="auto"/>
        <w:left w:val="none" w:sz="0" w:space="0" w:color="auto"/>
        <w:bottom w:val="none" w:sz="0" w:space="0" w:color="auto"/>
        <w:right w:val="none" w:sz="0" w:space="0" w:color="auto"/>
      </w:divBdr>
    </w:div>
    <w:div w:id="1340736643">
      <w:bodyDiv w:val="1"/>
      <w:marLeft w:val="0"/>
      <w:marRight w:val="0"/>
      <w:marTop w:val="0"/>
      <w:marBottom w:val="0"/>
      <w:divBdr>
        <w:top w:val="none" w:sz="0" w:space="0" w:color="auto"/>
        <w:left w:val="none" w:sz="0" w:space="0" w:color="auto"/>
        <w:bottom w:val="none" w:sz="0" w:space="0" w:color="auto"/>
        <w:right w:val="none" w:sz="0" w:space="0" w:color="auto"/>
      </w:divBdr>
      <w:divsChild>
        <w:div w:id="1017780438">
          <w:marLeft w:val="0"/>
          <w:marRight w:val="0"/>
          <w:marTop w:val="0"/>
          <w:marBottom w:val="0"/>
          <w:divBdr>
            <w:top w:val="none" w:sz="0" w:space="0" w:color="auto"/>
            <w:left w:val="none" w:sz="0" w:space="0" w:color="auto"/>
            <w:bottom w:val="none" w:sz="0" w:space="0" w:color="auto"/>
            <w:right w:val="none" w:sz="0" w:space="0" w:color="auto"/>
          </w:divBdr>
          <w:divsChild>
            <w:div w:id="878906100">
              <w:marLeft w:val="0"/>
              <w:marRight w:val="0"/>
              <w:marTop w:val="0"/>
              <w:marBottom w:val="0"/>
              <w:divBdr>
                <w:top w:val="none" w:sz="0" w:space="0" w:color="auto"/>
                <w:left w:val="none" w:sz="0" w:space="0" w:color="auto"/>
                <w:bottom w:val="none" w:sz="0" w:space="0" w:color="auto"/>
                <w:right w:val="none" w:sz="0" w:space="0" w:color="auto"/>
              </w:divBdr>
              <w:divsChild>
                <w:div w:id="114297778">
                  <w:marLeft w:val="0"/>
                  <w:marRight w:val="0"/>
                  <w:marTop w:val="0"/>
                  <w:marBottom w:val="0"/>
                  <w:divBdr>
                    <w:top w:val="none" w:sz="0" w:space="0" w:color="auto"/>
                    <w:left w:val="none" w:sz="0" w:space="0" w:color="auto"/>
                    <w:bottom w:val="none" w:sz="0" w:space="0" w:color="auto"/>
                    <w:right w:val="none" w:sz="0" w:space="0" w:color="auto"/>
                  </w:divBdr>
                  <w:divsChild>
                    <w:div w:id="1502548119">
                      <w:marLeft w:val="0"/>
                      <w:marRight w:val="0"/>
                      <w:marTop w:val="0"/>
                      <w:marBottom w:val="0"/>
                      <w:divBdr>
                        <w:top w:val="none" w:sz="0" w:space="0" w:color="auto"/>
                        <w:left w:val="none" w:sz="0" w:space="0" w:color="auto"/>
                        <w:bottom w:val="none" w:sz="0" w:space="0" w:color="auto"/>
                        <w:right w:val="none" w:sz="0" w:space="0" w:color="auto"/>
                      </w:divBdr>
                      <w:divsChild>
                        <w:div w:id="315232940">
                          <w:marLeft w:val="0"/>
                          <w:marRight w:val="0"/>
                          <w:marTop w:val="0"/>
                          <w:marBottom w:val="0"/>
                          <w:divBdr>
                            <w:top w:val="none" w:sz="0" w:space="0" w:color="auto"/>
                            <w:left w:val="none" w:sz="0" w:space="0" w:color="auto"/>
                            <w:bottom w:val="none" w:sz="0" w:space="0" w:color="auto"/>
                            <w:right w:val="none" w:sz="0" w:space="0" w:color="auto"/>
                          </w:divBdr>
                          <w:divsChild>
                            <w:div w:id="1996757581">
                              <w:marLeft w:val="0"/>
                              <w:marRight w:val="0"/>
                              <w:marTop w:val="0"/>
                              <w:marBottom w:val="0"/>
                              <w:divBdr>
                                <w:top w:val="none" w:sz="0" w:space="0" w:color="auto"/>
                                <w:left w:val="none" w:sz="0" w:space="0" w:color="auto"/>
                                <w:bottom w:val="none" w:sz="0" w:space="0" w:color="auto"/>
                                <w:right w:val="none" w:sz="0" w:space="0" w:color="auto"/>
                              </w:divBdr>
                              <w:divsChild>
                                <w:div w:id="395319271">
                                  <w:marLeft w:val="0"/>
                                  <w:marRight w:val="0"/>
                                  <w:marTop w:val="0"/>
                                  <w:marBottom w:val="0"/>
                                  <w:divBdr>
                                    <w:top w:val="none" w:sz="0" w:space="0" w:color="auto"/>
                                    <w:left w:val="none" w:sz="0" w:space="0" w:color="auto"/>
                                    <w:bottom w:val="none" w:sz="0" w:space="0" w:color="auto"/>
                                    <w:right w:val="none" w:sz="0" w:space="0" w:color="auto"/>
                                  </w:divBdr>
                                  <w:divsChild>
                                    <w:div w:id="889147328">
                                      <w:marLeft w:val="0"/>
                                      <w:marRight w:val="0"/>
                                      <w:marTop w:val="0"/>
                                      <w:marBottom w:val="0"/>
                                      <w:divBdr>
                                        <w:top w:val="none" w:sz="0" w:space="0" w:color="auto"/>
                                        <w:left w:val="none" w:sz="0" w:space="0" w:color="auto"/>
                                        <w:bottom w:val="none" w:sz="0" w:space="0" w:color="auto"/>
                                        <w:right w:val="none" w:sz="0" w:space="0" w:color="auto"/>
                                      </w:divBdr>
                                      <w:divsChild>
                                        <w:div w:id="229461369">
                                          <w:marLeft w:val="0"/>
                                          <w:marRight w:val="0"/>
                                          <w:marTop w:val="0"/>
                                          <w:marBottom w:val="0"/>
                                          <w:divBdr>
                                            <w:top w:val="none" w:sz="0" w:space="0" w:color="auto"/>
                                            <w:left w:val="none" w:sz="0" w:space="0" w:color="auto"/>
                                            <w:bottom w:val="none" w:sz="0" w:space="0" w:color="auto"/>
                                            <w:right w:val="none" w:sz="0" w:space="0" w:color="auto"/>
                                          </w:divBdr>
                                          <w:divsChild>
                                            <w:div w:id="642545823">
                                              <w:marLeft w:val="0"/>
                                              <w:marRight w:val="0"/>
                                              <w:marTop w:val="0"/>
                                              <w:marBottom w:val="0"/>
                                              <w:divBdr>
                                                <w:top w:val="none" w:sz="0" w:space="0" w:color="auto"/>
                                                <w:left w:val="none" w:sz="0" w:space="0" w:color="auto"/>
                                                <w:bottom w:val="none" w:sz="0" w:space="0" w:color="auto"/>
                                                <w:right w:val="none" w:sz="0" w:space="0" w:color="auto"/>
                                              </w:divBdr>
                                              <w:divsChild>
                                                <w:div w:id="1460343897">
                                                  <w:marLeft w:val="0"/>
                                                  <w:marRight w:val="0"/>
                                                  <w:marTop w:val="0"/>
                                                  <w:marBottom w:val="0"/>
                                                  <w:divBdr>
                                                    <w:top w:val="none" w:sz="0" w:space="0" w:color="auto"/>
                                                    <w:left w:val="none" w:sz="0" w:space="0" w:color="auto"/>
                                                    <w:bottom w:val="none" w:sz="0" w:space="0" w:color="auto"/>
                                                    <w:right w:val="none" w:sz="0" w:space="0" w:color="auto"/>
                                                  </w:divBdr>
                                                  <w:divsChild>
                                                    <w:div w:id="2106614746">
                                                      <w:marLeft w:val="0"/>
                                                      <w:marRight w:val="0"/>
                                                      <w:marTop w:val="0"/>
                                                      <w:marBottom w:val="0"/>
                                                      <w:divBdr>
                                                        <w:top w:val="none" w:sz="0" w:space="0" w:color="auto"/>
                                                        <w:left w:val="none" w:sz="0" w:space="0" w:color="auto"/>
                                                        <w:bottom w:val="none" w:sz="0" w:space="0" w:color="auto"/>
                                                        <w:right w:val="none" w:sz="0" w:space="0" w:color="auto"/>
                                                      </w:divBdr>
                                                      <w:divsChild>
                                                        <w:div w:id="1703941959">
                                                          <w:marLeft w:val="0"/>
                                                          <w:marRight w:val="0"/>
                                                          <w:marTop w:val="0"/>
                                                          <w:marBottom w:val="0"/>
                                                          <w:divBdr>
                                                            <w:top w:val="none" w:sz="0" w:space="0" w:color="auto"/>
                                                            <w:left w:val="none" w:sz="0" w:space="0" w:color="auto"/>
                                                            <w:bottom w:val="none" w:sz="0" w:space="0" w:color="auto"/>
                                                            <w:right w:val="none" w:sz="0" w:space="0" w:color="auto"/>
                                                          </w:divBdr>
                                                          <w:divsChild>
                                                            <w:div w:id="1526089272">
                                                              <w:marLeft w:val="0"/>
                                                              <w:marRight w:val="150"/>
                                                              <w:marTop w:val="0"/>
                                                              <w:marBottom w:val="150"/>
                                                              <w:divBdr>
                                                                <w:top w:val="none" w:sz="0" w:space="0" w:color="auto"/>
                                                                <w:left w:val="none" w:sz="0" w:space="0" w:color="auto"/>
                                                                <w:bottom w:val="none" w:sz="0" w:space="0" w:color="auto"/>
                                                                <w:right w:val="none" w:sz="0" w:space="0" w:color="auto"/>
                                                              </w:divBdr>
                                                              <w:divsChild>
                                                                <w:div w:id="907151039">
                                                                  <w:marLeft w:val="0"/>
                                                                  <w:marRight w:val="0"/>
                                                                  <w:marTop w:val="0"/>
                                                                  <w:marBottom w:val="0"/>
                                                                  <w:divBdr>
                                                                    <w:top w:val="none" w:sz="0" w:space="0" w:color="auto"/>
                                                                    <w:left w:val="none" w:sz="0" w:space="0" w:color="auto"/>
                                                                    <w:bottom w:val="none" w:sz="0" w:space="0" w:color="auto"/>
                                                                    <w:right w:val="none" w:sz="0" w:space="0" w:color="auto"/>
                                                                  </w:divBdr>
                                                                  <w:divsChild>
                                                                    <w:div w:id="1231574350">
                                                                      <w:marLeft w:val="0"/>
                                                                      <w:marRight w:val="0"/>
                                                                      <w:marTop w:val="0"/>
                                                                      <w:marBottom w:val="0"/>
                                                                      <w:divBdr>
                                                                        <w:top w:val="none" w:sz="0" w:space="0" w:color="auto"/>
                                                                        <w:left w:val="none" w:sz="0" w:space="0" w:color="auto"/>
                                                                        <w:bottom w:val="none" w:sz="0" w:space="0" w:color="auto"/>
                                                                        <w:right w:val="none" w:sz="0" w:space="0" w:color="auto"/>
                                                                      </w:divBdr>
                                                                      <w:divsChild>
                                                                        <w:div w:id="1967733983">
                                                                          <w:marLeft w:val="0"/>
                                                                          <w:marRight w:val="0"/>
                                                                          <w:marTop w:val="0"/>
                                                                          <w:marBottom w:val="0"/>
                                                                          <w:divBdr>
                                                                            <w:top w:val="none" w:sz="0" w:space="0" w:color="auto"/>
                                                                            <w:left w:val="none" w:sz="0" w:space="0" w:color="auto"/>
                                                                            <w:bottom w:val="none" w:sz="0" w:space="0" w:color="auto"/>
                                                                            <w:right w:val="none" w:sz="0" w:space="0" w:color="auto"/>
                                                                          </w:divBdr>
                                                                          <w:divsChild>
                                                                            <w:div w:id="475227366">
                                                                              <w:marLeft w:val="0"/>
                                                                              <w:marRight w:val="0"/>
                                                                              <w:marTop w:val="0"/>
                                                                              <w:marBottom w:val="0"/>
                                                                              <w:divBdr>
                                                                                <w:top w:val="none" w:sz="0" w:space="0" w:color="auto"/>
                                                                                <w:left w:val="none" w:sz="0" w:space="0" w:color="auto"/>
                                                                                <w:bottom w:val="none" w:sz="0" w:space="0" w:color="auto"/>
                                                                                <w:right w:val="none" w:sz="0" w:space="0" w:color="auto"/>
                                                                              </w:divBdr>
                                                                              <w:divsChild>
                                                                                <w:div w:id="1184129121">
                                                                                  <w:marLeft w:val="0"/>
                                                                                  <w:marRight w:val="0"/>
                                                                                  <w:marTop w:val="0"/>
                                                                                  <w:marBottom w:val="0"/>
                                                                                  <w:divBdr>
                                                                                    <w:top w:val="none" w:sz="0" w:space="0" w:color="auto"/>
                                                                                    <w:left w:val="none" w:sz="0" w:space="0" w:color="auto"/>
                                                                                    <w:bottom w:val="none" w:sz="0" w:space="0" w:color="auto"/>
                                                                                    <w:right w:val="none" w:sz="0" w:space="0" w:color="auto"/>
                                                                                  </w:divBdr>
                                                                                  <w:divsChild>
                                                                                    <w:div w:id="1606960867">
                                                                                      <w:marLeft w:val="0"/>
                                                                                      <w:marRight w:val="0"/>
                                                                                      <w:marTop w:val="0"/>
                                                                                      <w:marBottom w:val="0"/>
                                                                                      <w:divBdr>
                                                                                        <w:top w:val="none" w:sz="0" w:space="0" w:color="auto"/>
                                                                                        <w:left w:val="none" w:sz="0" w:space="0" w:color="auto"/>
                                                                                        <w:bottom w:val="none" w:sz="0" w:space="0" w:color="auto"/>
                                                                                        <w:right w:val="none" w:sz="0" w:space="0" w:color="auto"/>
                                                                                      </w:divBdr>
                                                                                    </w:div>
                                                                                    <w:div w:id="470291256">
                                                                                      <w:marLeft w:val="0"/>
                                                                                      <w:marRight w:val="0"/>
                                                                                      <w:marTop w:val="0"/>
                                                                                      <w:marBottom w:val="0"/>
                                                                                      <w:divBdr>
                                                                                        <w:top w:val="none" w:sz="0" w:space="0" w:color="auto"/>
                                                                                        <w:left w:val="none" w:sz="0" w:space="0" w:color="auto"/>
                                                                                        <w:bottom w:val="none" w:sz="0" w:space="0" w:color="auto"/>
                                                                                        <w:right w:val="none" w:sz="0" w:space="0" w:color="auto"/>
                                                                                      </w:divBdr>
                                                                                    </w:div>
                                                                                    <w:div w:id="16713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5228191">
      <w:bodyDiv w:val="1"/>
      <w:marLeft w:val="0"/>
      <w:marRight w:val="0"/>
      <w:marTop w:val="0"/>
      <w:marBottom w:val="0"/>
      <w:divBdr>
        <w:top w:val="none" w:sz="0" w:space="0" w:color="auto"/>
        <w:left w:val="none" w:sz="0" w:space="0" w:color="auto"/>
        <w:bottom w:val="none" w:sz="0" w:space="0" w:color="auto"/>
        <w:right w:val="none" w:sz="0" w:space="0" w:color="auto"/>
      </w:divBdr>
    </w:div>
    <w:div w:id="1363286919">
      <w:bodyDiv w:val="1"/>
      <w:marLeft w:val="0"/>
      <w:marRight w:val="0"/>
      <w:marTop w:val="0"/>
      <w:marBottom w:val="0"/>
      <w:divBdr>
        <w:top w:val="none" w:sz="0" w:space="0" w:color="auto"/>
        <w:left w:val="none" w:sz="0" w:space="0" w:color="auto"/>
        <w:bottom w:val="none" w:sz="0" w:space="0" w:color="auto"/>
        <w:right w:val="none" w:sz="0" w:space="0" w:color="auto"/>
      </w:divBdr>
    </w:div>
    <w:div w:id="1382945464">
      <w:bodyDiv w:val="1"/>
      <w:marLeft w:val="0"/>
      <w:marRight w:val="0"/>
      <w:marTop w:val="0"/>
      <w:marBottom w:val="0"/>
      <w:divBdr>
        <w:top w:val="none" w:sz="0" w:space="0" w:color="auto"/>
        <w:left w:val="none" w:sz="0" w:space="0" w:color="auto"/>
        <w:bottom w:val="none" w:sz="0" w:space="0" w:color="auto"/>
        <w:right w:val="none" w:sz="0" w:space="0" w:color="auto"/>
      </w:divBdr>
    </w:div>
    <w:div w:id="1402865945">
      <w:bodyDiv w:val="1"/>
      <w:marLeft w:val="0"/>
      <w:marRight w:val="0"/>
      <w:marTop w:val="0"/>
      <w:marBottom w:val="0"/>
      <w:divBdr>
        <w:top w:val="none" w:sz="0" w:space="0" w:color="auto"/>
        <w:left w:val="none" w:sz="0" w:space="0" w:color="auto"/>
        <w:bottom w:val="none" w:sz="0" w:space="0" w:color="auto"/>
        <w:right w:val="none" w:sz="0" w:space="0" w:color="auto"/>
      </w:divBdr>
    </w:div>
    <w:div w:id="1402942486">
      <w:bodyDiv w:val="1"/>
      <w:marLeft w:val="0"/>
      <w:marRight w:val="0"/>
      <w:marTop w:val="0"/>
      <w:marBottom w:val="0"/>
      <w:divBdr>
        <w:top w:val="none" w:sz="0" w:space="0" w:color="auto"/>
        <w:left w:val="none" w:sz="0" w:space="0" w:color="auto"/>
        <w:bottom w:val="none" w:sz="0" w:space="0" w:color="auto"/>
        <w:right w:val="none" w:sz="0" w:space="0" w:color="auto"/>
      </w:divBdr>
    </w:div>
    <w:div w:id="1417168713">
      <w:bodyDiv w:val="1"/>
      <w:marLeft w:val="0"/>
      <w:marRight w:val="0"/>
      <w:marTop w:val="0"/>
      <w:marBottom w:val="0"/>
      <w:divBdr>
        <w:top w:val="none" w:sz="0" w:space="0" w:color="auto"/>
        <w:left w:val="none" w:sz="0" w:space="0" w:color="auto"/>
        <w:bottom w:val="none" w:sz="0" w:space="0" w:color="auto"/>
        <w:right w:val="none" w:sz="0" w:space="0" w:color="auto"/>
      </w:divBdr>
    </w:div>
    <w:div w:id="1421873451">
      <w:bodyDiv w:val="1"/>
      <w:marLeft w:val="0"/>
      <w:marRight w:val="0"/>
      <w:marTop w:val="0"/>
      <w:marBottom w:val="0"/>
      <w:divBdr>
        <w:top w:val="none" w:sz="0" w:space="0" w:color="auto"/>
        <w:left w:val="none" w:sz="0" w:space="0" w:color="auto"/>
        <w:bottom w:val="none" w:sz="0" w:space="0" w:color="auto"/>
        <w:right w:val="none" w:sz="0" w:space="0" w:color="auto"/>
      </w:divBdr>
    </w:div>
    <w:div w:id="1431705764">
      <w:bodyDiv w:val="1"/>
      <w:marLeft w:val="0"/>
      <w:marRight w:val="0"/>
      <w:marTop w:val="0"/>
      <w:marBottom w:val="0"/>
      <w:divBdr>
        <w:top w:val="none" w:sz="0" w:space="0" w:color="auto"/>
        <w:left w:val="none" w:sz="0" w:space="0" w:color="auto"/>
        <w:bottom w:val="none" w:sz="0" w:space="0" w:color="auto"/>
        <w:right w:val="none" w:sz="0" w:space="0" w:color="auto"/>
      </w:divBdr>
    </w:div>
    <w:div w:id="1434206441">
      <w:bodyDiv w:val="1"/>
      <w:marLeft w:val="0"/>
      <w:marRight w:val="0"/>
      <w:marTop w:val="0"/>
      <w:marBottom w:val="0"/>
      <w:divBdr>
        <w:top w:val="none" w:sz="0" w:space="0" w:color="auto"/>
        <w:left w:val="none" w:sz="0" w:space="0" w:color="auto"/>
        <w:bottom w:val="none" w:sz="0" w:space="0" w:color="auto"/>
        <w:right w:val="none" w:sz="0" w:space="0" w:color="auto"/>
      </w:divBdr>
    </w:div>
    <w:div w:id="1466192482">
      <w:bodyDiv w:val="1"/>
      <w:marLeft w:val="0"/>
      <w:marRight w:val="0"/>
      <w:marTop w:val="0"/>
      <w:marBottom w:val="0"/>
      <w:divBdr>
        <w:top w:val="none" w:sz="0" w:space="0" w:color="auto"/>
        <w:left w:val="none" w:sz="0" w:space="0" w:color="auto"/>
        <w:bottom w:val="none" w:sz="0" w:space="0" w:color="auto"/>
        <w:right w:val="none" w:sz="0" w:space="0" w:color="auto"/>
      </w:divBdr>
    </w:div>
    <w:div w:id="1483547014">
      <w:bodyDiv w:val="1"/>
      <w:marLeft w:val="0"/>
      <w:marRight w:val="0"/>
      <w:marTop w:val="0"/>
      <w:marBottom w:val="0"/>
      <w:divBdr>
        <w:top w:val="none" w:sz="0" w:space="0" w:color="auto"/>
        <w:left w:val="none" w:sz="0" w:space="0" w:color="auto"/>
        <w:bottom w:val="none" w:sz="0" w:space="0" w:color="auto"/>
        <w:right w:val="none" w:sz="0" w:space="0" w:color="auto"/>
      </w:divBdr>
    </w:div>
    <w:div w:id="1489784291">
      <w:bodyDiv w:val="1"/>
      <w:marLeft w:val="0"/>
      <w:marRight w:val="0"/>
      <w:marTop w:val="0"/>
      <w:marBottom w:val="0"/>
      <w:divBdr>
        <w:top w:val="none" w:sz="0" w:space="0" w:color="auto"/>
        <w:left w:val="none" w:sz="0" w:space="0" w:color="auto"/>
        <w:bottom w:val="none" w:sz="0" w:space="0" w:color="auto"/>
        <w:right w:val="none" w:sz="0" w:space="0" w:color="auto"/>
      </w:divBdr>
    </w:div>
    <w:div w:id="1491209727">
      <w:bodyDiv w:val="1"/>
      <w:marLeft w:val="0"/>
      <w:marRight w:val="0"/>
      <w:marTop w:val="0"/>
      <w:marBottom w:val="0"/>
      <w:divBdr>
        <w:top w:val="none" w:sz="0" w:space="0" w:color="auto"/>
        <w:left w:val="none" w:sz="0" w:space="0" w:color="auto"/>
        <w:bottom w:val="none" w:sz="0" w:space="0" w:color="auto"/>
        <w:right w:val="none" w:sz="0" w:space="0" w:color="auto"/>
      </w:divBdr>
    </w:div>
    <w:div w:id="1492065831">
      <w:bodyDiv w:val="1"/>
      <w:marLeft w:val="0"/>
      <w:marRight w:val="0"/>
      <w:marTop w:val="0"/>
      <w:marBottom w:val="0"/>
      <w:divBdr>
        <w:top w:val="none" w:sz="0" w:space="0" w:color="auto"/>
        <w:left w:val="none" w:sz="0" w:space="0" w:color="auto"/>
        <w:bottom w:val="none" w:sz="0" w:space="0" w:color="auto"/>
        <w:right w:val="none" w:sz="0" w:space="0" w:color="auto"/>
      </w:divBdr>
    </w:div>
    <w:div w:id="1514609713">
      <w:bodyDiv w:val="1"/>
      <w:marLeft w:val="0"/>
      <w:marRight w:val="0"/>
      <w:marTop w:val="0"/>
      <w:marBottom w:val="0"/>
      <w:divBdr>
        <w:top w:val="none" w:sz="0" w:space="0" w:color="auto"/>
        <w:left w:val="none" w:sz="0" w:space="0" w:color="auto"/>
        <w:bottom w:val="none" w:sz="0" w:space="0" w:color="auto"/>
        <w:right w:val="none" w:sz="0" w:space="0" w:color="auto"/>
      </w:divBdr>
    </w:div>
    <w:div w:id="1518697547">
      <w:bodyDiv w:val="1"/>
      <w:marLeft w:val="0"/>
      <w:marRight w:val="0"/>
      <w:marTop w:val="0"/>
      <w:marBottom w:val="0"/>
      <w:divBdr>
        <w:top w:val="none" w:sz="0" w:space="0" w:color="auto"/>
        <w:left w:val="none" w:sz="0" w:space="0" w:color="auto"/>
        <w:bottom w:val="none" w:sz="0" w:space="0" w:color="auto"/>
        <w:right w:val="none" w:sz="0" w:space="0" w:color="auto"/>
      </w:divBdr>
    </w:div>
    <w:div w:id="1537308683">
      <w:bodyDiv w:val="1"/>
      <w:marLeft w:val="0"/>
      <w:marRight w:val="0"/>
      <w:marTop w:val="0"/>
      <w:marBottom w:val="0"/>
      <w:divBdr>
        <w:top w:val="none" w:sz="0" w:space="0" w:color="auto"/>
        <w:left w:val="none" w:sz="0" w:space="0" w:color="auto"/>
        <w:bottom w:val="none" w:sz="0" w:space="0" w:color="auto"/>
        <w:right w:val="none" w:sz="0" w:space="0" w:color="auto"/>
      </w:divBdr>
    </w:div>
    <w:div w:id="1582371963">
      <w:bodyDiv w:val="1"/>
      <w:marLeft w:val="0"/>
      <w:marRight w:val="0"/>
      <w:marTop w:val="0"/>
      <w:marBottom w:val="0"/>
      <w:divBdr>
        <w:top w:val="none" w:sz="0" w:space="0" w:color="auto"/>
        <w:left w:val="none" w:sz="0" w:space="0" w:color="auto"/>
        <w:bottom w:val="none" w:sz="0" w:space="0" w:color="auto"/>
        <w:right w:val="none" w:sz="0" w:space="0" w:color="auto"/>
      </w:divBdr>
    </w:div>
    <w:div w:id="1587496489">
      <w:bodyDiv w:val="1"/>
      <w:marLeft w:val="0"/>
      <w:marRight w:val="0"/>
      <w:marTop w:val="0"/>
      <w:marBottom w:val="0"/>
      <w:divBdr>
        <w:top w:val="none" w:sz="0" w:space="0" w:color="auto"/>
        <w:left w:val="none" w:sz="0" w:space="0" w:color="auto"/>
        <w:bottom w:val="none" w:sz="0" w:space="0" w:color="auto"/>
        <w:right w:val="none" w:sz="0" w:space="0" w:color="auto"/>
      </w:divBdr>
      <w:divsChild>
        <w:div w:id="1773937592">
          <w:marLeft w:val="0"/>
          <w:marRight w:val="0"/>
          <w:marTop w:val="0"/>
          <w:marBottom w:val="0"/>
          <w:divBdr>
            <w:top w:val="none" w:sz="0" w:space="0" w:color="auto"/>
            <w:left w:val="none" w:sz="0" w:space="0" w:color="auto"/>
            <w:bottom w:val="none" w:sz="0" w:space="0" w:color="auto"/>
            <w:right w:val="none" w:sz="0" w:space="0" w:color="auto"/>
          </w:divBdr>
          <w:divsChild>
            <w:div w:id="680199735">
              <w:marLeft w:val="0"/>
              <w:marRight w:val="0"/>
              <w:marTop w:val="0"/>
              <w:marBottom w:val="0"/>
              <w:divBdr>
                <w:top w:val="none" w:sz="0" w:space="0" w:color="auto"/>
                <w:left w:val="none" w:sz="0" w:space="0" w:color="auto"/>
                <w:bottom w:val="none" w:sz="0" w:space="0" w:color="auto"/>
                <w:right w:val="none" w:sz="0" w:space="0" w:color="auto"/>
              </w:divBdr>
              <w:divsChild>
                <w:div w:id="607860447">
                  <w:marLeft w:val="0"/>
                  <w:marRight w:val="0"/>
                  <w:marTop w:val="0"/>
                  <w:marBottom w:val="0"/>
                  <w:divBdr>
                    <w:top w:val="none" w:sz="0" w:space="0" w:color="auto"/>
                    <w:left w:val="none" w:sz="0" w:space="0" w:color="auto"/>
                    <w:bottom w:val="none" w:sz="0" w:space="0" w:color="auto"/>
                    <w:right w:val="none" w:sz="0" w:space="0" w:color="auto"/>
                  </w:divBdr>
                  <w:divsChild>
                    <w:div w:id="38164574">
                      <w:marLeft w:val="0"/>
                      <w:marRight w:val="0"/>
                      <w:marTop w:val="0"/>
                      <w:marBottom w:val="0"/>
                      <w:divBdr>
                        <w:top w:val="none" w:sz="0" w:space="0" w:color="auto"/>
                        <w:left w:val="none" w:sz="0" w:space="0" w:color="auto"/>
                        <w:bottom w:val="none" w:sz="0" w:space="0" w:color="auto"/>
                        <w:right w:val="none" w:sz="0" w:space="0" w:color="auto"/>
                      </w:divBdr>
                      <w:divsChild>
                        <w:div w:id="961612954">
                          <w:marLeft w:val="0"/>
                          <w:marRight w:val="0"/>
                          <w:marTop w:val="0"/>
                          <w:marBottom w:val="0"/>
                          <w:divBdr>
                            <w:top w:val="none" w:sz="0" w:space="0" w:color="auto"/>
                            <w:left w:val="none" w:sz="0" w:space="0" w:color="auto"/>
                            <w:bottom w:val="none" w:sz="0" w:space="0" w:color="auto"/>
                            <w:right w:val="none" w:sz="0" w:space="0" w:color="auto"/>
                          </w:divBdr>
                          <w:divsChild>
                            <w:div w:id="651757480">
                              <w:marLeft w:val="0"/>
                              <w:marRight w:val="240"/>
                              <w:marTop w:val="0"/>
                              <w:marBottom w:val="0"/>
                              <w:divBdr>
                                <w:top w:val="none" w:sz="0" w:space="0" w:color="auto"/>
                                <w:left w:val="none" w:sz="0" w:space="0" w:color="auto"/>
                                <w:bottom w:val="none" w:sz="0" w:space="0" w:color="auto"/>
                                <w:right w:val="none" w:sz="0" w:space="0" w:color="auto"/>
                              </w:divBdr>
                              <w:divsChild>
                                <w:div w:id="21392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4892523">
      <w:bodyDiv w:val="1"/>
      <w:marLeft w:val="0"/>
      <w:marRight w:val="0"/>
      <w:marTop w:val="0"/>
      <w:marBottom w:val="0"/>
      <w:divBdr>
        <w:top w:val="none" w:sz="0" w:space="0" w:color="auto"/>
        <w:left w:val="none" w:sz="0" w:space="0" w:color="auto"/>
        <w:bottom w:val="none" w:sz="0" w:space="0" w:color="auto"/>
        <w:right w:val="none" w:sz="0" w:space="0" w:color="auto"/>
      </w:divBdr>
    </w:div>
    <w:div w:id="1597903669">
      <w:bodyDiv w:val="1"/>
      <w:marLeft w:val="0"/>
      <w:marRight w:val="0"/>
      <w:marTop w:val="0"/>
      <w:marBottom w:val="0"/>
      <w:divBdr>
        <w:top w:val="none" w:sz="0" w:space="0" w:color="auto"/>
        <w:left w:val="none" w:sz="0" w:space="0" w:color="auto"/>
        <w:bottom w:val="none" w:sz="0" w:space="0" w:color="auto"/>
        <w:right w:val="none" w:sz="0" w:space="0" w:color="auto"/>
      </w:divBdr>
    </w:div>
    <w:div w:id="1600022438">
      <w:bodyDiv w:val="1"/>
      <w:marLeft w:val="0"/>
      <w:marRight w:val="0"/>
      <w:marTop w:val="0"/>
      <w:marBottom w:val="0"/>
      <w:divBdr>
        <w:top w:val="none" w:sz="0" w:space="0" w:color="auto"/>
        <w:left w:val="none" w:sz="0" w:space="0" w:color="auto"/>
        <w:bottom w:val="none" w:sz="0" w:space="0" w:color="auto"/>
        <w:right w:val="none" w:sz="0" w:space="0" w:color="auto"/>
      </w:divBdr>
    </w:div>
    <w:div w:id="1610044616">
      <w:bodyDiv w:val="1"/>
      <w:marLeft w:val="0"/>
      <w:marRight w:val="0"/>
      <w:marTop w:val="0"/>
      <w:marBottom w:val="0"/>
      <w:divBdr>
        <w:top w:val="none" w:sz="0" w:space="0" w:color="auto"/>
        <w:left w:val="none" w:sz="0" w:space="0" w:color="auto"/>
        <w:bottom w:val="none" w:sz="0" w:space="0" w:color="auto"/>
        <w:right w:val="none" w:sz="0" w:space="0" w:color="auto"/>
      </w:divBdr>
    </w:div>
    <w:div w:id="1669670262">
      <w:bodyDiv w:val="1"/>
      <w:marLeft w:val="0"/>
      <w:marRight w:val="0"/>
      <w:marTop w:val="0"/>
      <w:marBottom w:val="0"/>
      <w:divBdr>
        <w:top w:val="none" w:sz="0" w:space="0" w:color="auto"/>
        <w:left w:val="none" w:sz="0" w:space="0" w:color="auto"/>
        <w:bottom w:val="none" w:sz="0" w:space="0" w:color="auto"/>
        <w:right w:val="none" w:sz="0" w:space="0" w:color="auto"/>
      </w:divBdr>
    </w:div>
    <w:div w:id="1712535317">
      <w:bodyDiv w:val="1"/>
      <w:marLeft w:val="0"/>
      <w:marRight w:val="0"/>
      <w:marTop w:val="0"/>
      <w:marBottom w:val="0"/>
      <w:divBdr>
        <w:top w:val="none" w:sz="0" w:space="0" w:color="auto"/>
        <w:left w:val="none" w:sz="0" w:space="0" w:color="auto"/>
        <w:bottom w:val="none" w:sz="0" w:space="0" w:color="auto"/>
        <w:right w:val="none" w:sz="0" w:space="0" w:color="auto"/>
      </w:divBdr>
    </w:div>
    <w:div w:id="1712683845">
      <w:bodyDiv w:val="1"/>
      <w:marLeft w:val="0"/>
      <w:marRight w:val="0"/>
      <w:marTop w:val="0"/>
      <w:marBottom w:val="0"/>
      <w:divBdr>
        <w:top w:val="none" w:sz="0" w:space="0" w:color="auto"/>
        <w:left w:val="none" w:sz="0" w:space="0" w:color="auto"/>
        <w:bottom w:val="none" w:sz="0" w:space="0" w:color="auto"/>
        <w:right w:val="none" w:sz="0" w:space="0" w:color="auto"/>
      </w:divBdr>
    </w:div>
    <w:div w:id="1721637285">
      <w:bodyDiv w:val="1"/>
      <w:marLeft w:val="0"/>
      <w:marRight w:val="0"/>
      <w:marTop w:val="0"/>
      <w:marBottom w:val="0"/>
      <w:divBdr>
        <w:top w:val="none" w:sz="0" w:space="0" w:color="auto"/>
        <w:left w:val="none" w:sz="0" w:space="0" w:color="auto"/>
        <w:bottom w:val="none" w:sz="0" w:space="0" w:color="auto"/>
        <w:right w:val="none" w:sz="0" w:space="0" w:color="auto"/>
      </w:divBdr>
    </w:div>
    <w:div w:id="1729375825">
      <w:bodyDiv w:val="1"/>
      <w:marLeft w:val="0"/>
      <w:marRight w:val="0"/>
      <w:marTop w:val="0"/>
      <w:marBottom w:val="0"/>
      <w:divBdr>
        <w:top w:val="none" w:sz="0" w:space="0" w:color="auto"/>
        <w:left w:val="none" w:sz="0" w:space="0" w:color="auto"/>
        <w:bottom w:val="none" w:sz="0" w:space="0" w:color="auto"/>
        <w:right w:val="none" w:sz="0" w:space="0" w:color="auto"/>
      </w:divBdr>
    </w:div>
    <w:div w:id="1743942311">
      <w:bodyDiv w:val="1"/>
      <w:marLeft w:val="0"/>
      <w:marRight w:val="0"/>
      <w:marTop w:val="0"/>
      <w:marBottom w:val="0"/>
      <w:divBdr>
        <w:top w:val="none" w:sz="0" w:space="0" w:color="auto"/>
        <w:left w:val="none" w:sz="0" w:space="0" w:color="auto"/>
        <w:bottom w:val="none" w:sz="0" w:space="0" w:color="auto"/>
        <w:right w:val="none" w:sz="0" w:space="0" w:color="auto"/>
      </w:divBdr>
    </w:div>
    <w:div w:id="1744789144">
      <w:bodyDiv w:val="1"/>
      <w:marLeft w:val="0"/>
      <w:marRight w:val="0"/>
      <w:marTop w:val="0"/>
      <w:marBottom w:val="0"/>
      <w:divBdr>
        <w:top w:val="none" w:sz="0" w:space="0" w:color="auto"/>
        <w:left w:val="none" w:sz="0" w:space="0" w:color="auto"/>
        <w:bottom w:val="none" w:sz="0" w:space="0" w:color="auto"/>
        <w:right w:val="none" w:sz="0" w:space="0" w:color="auto"/>
      </w:divBdr>
    </w:div>
    <w:div w:id="1759598919">
      <w:bodyDiv w:val="1"/>
      <w:marLeft w:val="0"/>
      <w:marRight w:val="0"/>
      <w:marTop w:val="0"/>
      <w:marBottom w:val="0"/>
      <w:divBdr>
        <w:top w:val="none" w:sz="0" w:space="0" w:color="auto"/>
        <w:left w:val="none" w:sz="0" w:space="0" w:color="auto"/>
        <w:bottom w:val="none" w:sz="0" w:space="0" w:color="auto"/>
        <w:right w:val="none" w:sz="0" w:space="0" w:color="auto"/>
      </w:divBdr>
    </w:div>
    <w:div w:id="1771461286">
      <w:bodyDiv w:val="1"/>
      <w:marLeft w:val="0"/>
      <w:marRight w:val="0"/>
      <w:marTop w:val="0"/>
      <w:marBottom w:val="0"/>
      <w:divBdr>
        <w:top w:val="none" w:sz="0" w:space="0" w:color="auto"/>
        <w:left w:val="none" w:sz="0" w:space="0" w:color="auto"/>
        <w:bottom w:val="none" w:sz="0" w:space="0" w:color="auto"/>
        <w:right w:val="none" w:sz="0" w:space="0" w:color="auto"/>
      </w:divBdr>
      <w:divsChild>
        <w:div w:id="241645778">
          <w:marLeft w:val="0"/>
          <w:marRight w:val="0"/>
          <w:marTop w:val="0"/>
          <w:marBottom w:val="0"/>
          <w:divBdr>
            <w:top w:val="none" w:sz="0" w:space="0" w:color="auto"/>
            <w:left w:val="none" w:sz="0" w:space="0" w:color="auto"/>
            <w:bottom w:val="none" w:sz="0" w:space="0" w:color="auto"/>
            <w:right w:val="none" w:sz="0" w:space="0" w:color="auto"/>
          </w:divBdr>
          <w:divsChild>
            <w:div w:id="156196050">
              <w:marLeft w:val="0"/>
              <w:marRight w:val="0"/>
              <w:marTop w:val="0"/>
              <w:marBottom w:val="450"/>
              <w:divBdr>
                <w:top w:val="none" w:sz="0" w:space="0" w:color="auto"/>
                <w:left w:val="none" w:sz="0" w:space="0" w:color="auto"/>
                <w:bottom w:val="none" w:sz="0" w:space="0" w:color="auto"/>
                <w:right w:val="none" w:sz="0" w:space="0" w:color="auto"/>
              </w:divBdr>
              <w:divsChild>
                <w:div w:id="418648082">
                  <w:marLeft w:val="0"/>
                  <w:marRight w:val="0"/>
                  <w:marTop w:val="0"/>
                  <w:marBottom w:val="0"/>
                  <w:divBdr>
                    <w:top w:val="none" w:sz="0" w:space="0" w:color="auto"/>
                    <w:left w:val="none" w:sz="0" w:space="0" w:color="auto"/>
                    <w:bottom w:val="none" w:sz="0" w:space="0" w:color="auto"/>
                    <w:right w:val="none" w:sz="0" w:space="0" w:color="auto"/>
                  </w:divBdr>
                  <w:divsChild>
                    <w:div w:id="951936361">
                      <w:marLeft w:val="0"/>
                      <w:marRight w:val="0"/>
                      <w:marTop w:val="0"/>
                      <w:marBottom w:val="0"/>
                      <w:divBdr>
                        <w:top w:val="none" w:sz="0" w:space="0" w:color="auto"/>
                        <w:left w:val="none" w:sz="0" w:space="0" w:color="auto"/>
                        <w:bottom w:val="none" w:sz="0" w:space="0" w:color="auto"/>
                        <w:right w:val="none" w:sz="0" w:space="0" w:color="auto"/>
                      </w:divBdr>
                      <w:divsChild>
                        <w:div w:id="1706368510">
                          <w:marLeft w:val="0"/>
                          <w:marRight w:val="0"/>
                          <w:marTop w:val="0"/>
                          <w:marBottom w:val="0"/>
                          <w:divBdr>
                            <w:top w:val="none" w:sz="0" w:space="0" w:color="auto"/>
                            <w:left w:val="none" w:sz="0" w:space="0" w:color="auto"/>
                            <w:bottom w:val="none" w:sz="0" w:space="0" w:color="auto"/>
                            <w:right w:val="none" w:sz="0" w:space="0" w:color="auto"/>
                          </w:divBdr>
                          <w:divsChild>
                            <w:div w:id="88159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235038">
      <w:bodyDiv w:val="1"/>
      <w:marLeft w:val="0"/>
      <w:marRight w:val="0"/>
      <w:marTop w:val="0"/>
      <w:marBottom w:val="0"/>
      <w:divBdr>
        <w:top w:val="none" w:sz="0" w:space="0" w:color="auto"/>
        <w:left w:val="none" w:sz="0" w:space="0" w:color="auto"/>
        <w:bottom w:val="none" w:sz="0" w:space="0" w:color="auto"/>
        <w:right w:val="none" w:sz="0" w:space="0" w:color="auto"/>
      </w:divBdr>
    </w:div>
    <w:div w:id="1796875712">
      <w:bodyDiv w:val="1"/>
      <w:marLeft w:val="0"/>
      <w:marRight w:val="0"/>
      <w:marTop w:val="0"/>
      <w:marBottom w:val="0"/>
      <w:divBdr>
        <w:top w:val="none" w:sz="0" w:space="0" w:color="auto"/>
        <w:left w:val="none" w:sz="0" w:space="0" w:color="auto"/>
        <w:bottom w:val="none" w:sz="0" w:space="0" w:color="auto"/>
        <w:right w:val="none" w:sz="0" w:space="0" w:color="auto"/>
      </w:divBdr>
    </w:div>
    <w:div w:id="1801532361">
      <w:bodyDiv w:val="1"/>
      <w:marLeft w:val="0"/>
      <w:marRight w:val="0"/>
      <w:marTop w:val="0"/>
      <w:marBottom w:val="0"/>
      <w:divBdr>
        <w:top w:val="none" w:sz="0" w:space="0" w:color="auto"/>
        <w:left w:val="none" w:sz="0" w:space="0" w:color="auto"/>
        <w:bottom w:val="none" w:sz="0" w:space="0" w:color="auto"/>
        <w:right w:val="none" w:sz="0" w:space="0" w:color="auto"/>
      </w:divBdr>
    </w:div>
    <w:div w:id="1829906385">
      <w:bodyDiv w:val="1"/>
      <w:marLeft w:val="0"/>
      <w:marRight w:val="0"/>
      <w:marTop w:val="0"/>
      <w:marBottom w:val="0"/>
      <w:divBdr>
        <w:top w:val="none" w:sz="0" w:space="0" w:color="auto"/>
        <w:left w:val="none" w:sz="0" w:space="0" w:color="auto"/>
        <w:bottom w:val="none" w:sz="0" w:space="0" w:color="auto"/>
        <w:right w:val="none" w:sz="0" w:space="0" w:color="auto"/>
      </w:divBdr>
    </w:div>
    <w:div w:id="1839803054">
      <w:bodyDiv w:val="1"/>
      <w:marLeft w:val="0"/>
      <w:marRight w:val="0"/>
      <w:marTop w:val="0"/>
      <w:marBottom w:val="0"/>
      <w:divBdr>
        <w:top w:val="none" w:sz="0" w:space="0" w:color="auto"/>
        <w:left w:val="none" w:sz="0" w:space="0" w:color="auto"/>
        <w:bottom w:val="none" w:sz="0" w:space="0" w:color="auto"/>
        <w:right w:val="none" w:sz="0" w:space="0" w:color="auto"/>
      </w:divBdr>
    </w:div>
    <w:div w:id="1847868660">
      <w:bodyDiv w:val="1"/>
      <w:marLeft w:val="0"/>
      <w:marRight w:val="0"/>
      <w:marTop w:val="0"/>
      <w:marBottom w:val="0"/>
      <w:divBdr>
        <w:top w:val="none" w:sz="0" w:space="0" w:color="auto"/>
        <w:left w:val="none" w:sz="0" w:space="0" w:color="auto"/>
        <w:bottom w:val="none" w:sz="0" w:space="0" w:color="auto"/>
        <w:right w:val="none" w:sz="0" w:space="0" w:color="auto"/>
      </w:divBdr>
    </w:div>
    <w:div w:id="1855679711">
      <w:bodyDiv w:val="1"/>
      <w:marLeft w:val="0"/>
      <w:marRight w:val="0"/>
      <w:marTop w:val="0"/>
      <w:marBottom w:val="0"/>
      <w:divBdr>
        <w:top w:val="none" w:sz="0" w:space="0" w:color="auto"/>
        <w:left w:val="none" w:sz="0" w:space="0" w:color="auto"/>
        <w:bottom w:val="none" w:sz="0" w:space="0" w:color="auto"/>
        <w:right w:val="none" w:sz="0" w:space="0" w:color="auto"/>
      </w:divBdr>
    </w:div>
    <w:div w:id="1890260653">
      <w:bodyDiv w:val="1"/>
      <w:marLeft w:val="0"/>
      <w:marRight w:val="0"/>
      <w:marTop w:val="0"/>
      <w:marBottom w:val="0"/>
      <w:divBdr>
        <w:top w:val="none" w:sz="0" w:space="0" w:color="auto"/>
        <w:left w:val="none" w:sz="0" w:space="0" w:color="auto"/>
        <w:bottom w:val="none" w:sz="0" w:space="0" w:color="auto"/>
        <w:right w:val="none" w:sz="0" w:space="0" w:color="auto"/>
      </w:divBdr>
    </w:div>
    <w:div w:id="1893539195">
      <w:bodyDiv w:val="1"/>
      <w:marLeft w:val="0"/>
      <w:marRight w:val="0"/>
      <w:marTop w:val="0"/>
      <w:marBottom w:val="0"/>
      <w:divBdr>
        <w:top w:val="none" w:sz="0" w:space="0" w:color="auto"/>
        <w:left w:val="none" w:sz="0" w:space="0" w:color="auto"/>
        <w:bottom w:val="none" w:sz="0" w:space="0" w:color="auto"/>
        <w:right w:val="none" w:sz="0" w:space="0" w:color="auto"/>
      </w:divBdr>
    </w:div>
    <w:div w:id="1921715517">
      <w:bodyDiv w:val="1"/>
      <w:marLeft w:val="0"/>
      <w:marRight w:val="0"/>
      <w:marTop w:val="0"/>
      <w:marBottom w:val="0"/>
      <w:divBdr>
        <w:top w:val="none" w:sz="0" w:space="0" w:color="auto"/>
        <w:left w:val="none" w:sz="0" w:space="0" w:color="auto"/>
        <w:bottom w:val="none" w:sz="0" w:space="0" w:color="auto"/>
        <w:right w:val="none" w:sz="0" w:space="0" w:color="auto"/>
      </w:divBdr>
    </w:div>
    <w:div w:id="1926067480">
      <w:bodyDiv w:val="1"/>
      <w:marLeft w:val="0"/>
      <w:marRight w:val="0"/>
      <w:marTop w:val="0"/>
      <w:marBottom w:val="0"/>
      <w:divBdr>
        <w:top w:val="none" w:sz="0" w:space="0" w:color="auto"/>
        <w:left w:val="none" w:sz="0" w:space="0" w:color="auto"/>
        <w:bottom w:val="none" w:sz="0" w:space="0" w:color="auto"/>
        <w:right w:val="none" w:sz="0" w:space="0" w:color="auto"/>
      </w:divBdr>
    </w:div>
    <w:div w:id="1945108836">
      <w:bodyDiv w:val="1"/>
      <w:marLeft w:val="0"/>
      <w:marRight w:val="0"/>
      <w:marTop w:val="0"/>
      <w:marBottom w:val="0"/>
      <w:divBdr>
        <w:top w:val="none" w:sz="0" w:space="0" w:color="auto"/>
        <w:left w:val="none" w:sz="0" w:space="0" w:color="auto"/>
        <w:bottom w:val="none" w:sz="0" w:space="0" w:color="auto"/>
        <w:right w:val="none" w:sz="0" w:space="0" w:color="auto"/>
      </w:divBdr>
    </w:div>
    <w:div w:id="1949851138">
      <w:bodyDiv w:val="1"/>
      <w:marLeft w:val="0"/>
      <w:marRight w:val="0"/>
      <w:marTop w:val="0"/>
      <w:marBottom w:val="0"/>
      <w:divBdr>
        <w:top w:val="none" w:sz="0" w:space="0" w:color="auto"/>
        <w:left w:val="none" w:sz="0" w:space="0" w:color="auto"/>
        <w:bottom w:val="none" w:sz="0" w:space="0" w:color="auto"/>
        <w:right w:val="none" w:sz="0" w:space="0" w:color="auto"/>
      </w:divBdr>
    </w:div>
    <w:div w:id="1952783532">
      <w:bodyDiv w:val="1"/>
      <w:marLeft w:val="0"/>
      <w:marRight w:val="0"/>
      <w:marTop w:val="0"/>
      <w:marBottom w:val="0"/>
      <w:divBdr>
        <w:top w:val="none" w:sz="0" w:space="0" w:color="auto"/>
        <w:left w:val="none" w:sz="0" w:space="0" w:color="auto"/>
        <w:bottom w:val="none" w:sz="0" w:space="0" w:color="auto"/>
        <w:right w:val="none" w:sz="0" w:space="0" w:color="auto"/>
      </w:divBdr>
    </w:div>
    <w:div w:id="1962833430">
      <w:bodyDiv w:val="1"/>
      <w:marLeft w:val="0"/>
      <w:marRight w:val="0"/>
      <w:marTop w:val="0"/>
      <w:marBottom w:val="0"/>
      <w:divBdr>
        <w:top w:val="none" w:sz="0" w:space="0" w:color="auto"/>
        <w:left w:val="none" w:sz="0" w:space="0" w:color="auto"/>
        <w:bottom w:val="none" w:sz="0" w:space="0" w:color="auto"/>
        <w:right w:val="none" w:sz="0" w:space="0" w:color="auto"/>
      </w:divBdr>
    </w:div>
    <w:div w:id="1965769956">
      <w:bodyDiv w:val="1"/>
      <w:marLeft w:val="0"/>
      <w:marRight w:val="0"/>
      <w:marTop w:val="0"/>
      <w:marBottom w:val="0"/>
      <w:divBdr>
        <w:top w:val="none" w:sz="0" w:space="0" w:color="auto"/>
        <w:left w:val="none" w:sz="0" w:space="0" w:color="auto"/>
        <w:bottom w:val="none" w:sz="0" w:space="0" w:color="auto"/>
        <w:right w:val="none" w:sz="0" w:space="0" w:color="auto"/>
      </w:divBdr>
      <w:divsChild>
        <w:div w:id="671110326">
          <w:marLeft w:val="0"/>
          <w:marRight w:val="0"/>
          <w:marTop w:val="0"/>
          <w:marBottom w:val="0"/>
          <w:divBdr>
            <w:top w:val="none" w:sz="0" w:space="0" w:color="auto"/>
            <w:left w:val="none" w:sz="0" w:space="0" w:color="auto"/>
            <w:bottom w:val="none" w:sz="0" w:space="0" w:color="auto"/>
            <w:right w:val="none" w:sz="0" w:space="0" w:color="auto"/>
          </w:divBdr>
          <w:divsChild>
            <w:div w:id="888301826">
              <w:marLeft w:val="0"/>
              <w:marRight w:val="0"/>
              <w:marTop w:val="0"/>
              <w:marBottom w:val="0"/>
              <w:divBdr>
                <w:top w:val="none" w:sz="0" w:space="0" w:color="auto"/>
                <w:left w:val="none" w:sz="0" w:space="0" w:color="auto"/>
                <w:bottom w:val="none" w:sz="0" w:space="0" w:color="auto"/>
                <w:right w:val="none" w:sz="0" w:space="0" w:color="auto"/>
              </w:divBdr>
              <w:divsChild>
                <w:div w:id="901986886">
                  <w:marLeft w:val="0"/>
                  <w:marRight w:val="0"/>
                  <w:marTop w:val="0"/>
                  <w:marBottom w:val="0"/>
                  <w:divBdr>
                    <w:top w:val="none" w:sz="0" w:space="0" w:color="auto"/>
                    <w:left w:val="none" w:sz="0" w:space="0" w:color="auto"/>
                    <w:bottom w:val="none" w:sz="0" w:space="0" w:color="auto"/>
                    <w:right w:val="none" w:sz="0" w:space="0" w:color="auto"/>
                  </w:divBdr>
                  <w:divsChild>
                    <w:div w:id="1844395757">
                      <w:marLeft w:val="0"/>
                      <w:marRight w:val="0"/>
                      <w:marTop w:val="0"/>
                      <w:marBottom w:val="0"/>
                      <w:divBdr>
                        <w:top w:val="none" w:sz="0" w:space="0" w:color="auto"/>
                        <w:left w:val="none" w:sz="0" w:space="0" w:color="auto"/>
                        <w:bottom w:val="none" w:sz="0" w:space="0" w:color="auto"/>
                        <w:right w:val="none" w:sz="0" w:space="0" w:color="auto"/>
                      </w:divBdr>
                      <w:divsChild>
                        <w:div w:id="1192835789">
                          <w:marLeft w:val="0"/>
                          <w:marRight w:val="0"/>
                          <w:marTop w:val="0"/>
                          <w:marBottom w:val="0"/>
                          <w:divBdr>
                            <w:top w:val="none" w:sz="0" w:space="0" w:color="auto"/>
                            <w:left w:val="none" w:sz="0" w:space="0" w:color="auto"/>
                            <w:bottom w:val="none" w:sz="0" w:space="0" w:color="auto"/>
                            <w:right w:val="none" w:sz="0" w:space="0" w:color="auto"/>
                          </w:divBdr>
                          <w:divsChild>
                            <w:div w:id="1057826790">
                              <w:marLeft w:val="0"/>
                              <w:marRight w:val="0"/>
                              <w:marTop w:val="0"/>
                              <w:marBottom w:val="0"/>
                              <w:divBdr>
                                <w:top w:val="none" w:sz="0" w:space="0" w:color="auto"/>
                                <w:left w:val="none" w:sz="0" w:space="0" w:color="auto"/>
                                <w:bottom w:val="none" w:sz="0" w:space="0" w:color="auto"/>
                                <w:right w:val="none" w:sz="0" w:space="0" w:color="auto"/>
                              </w:divBdr>
                              <w:divsChild>
                                <w:div w:id="2120026481">
                                  <w:marLeft w:val="0"/>
                                  <w:marRight w:val="0"/>
                                  <w:marTop w:val="0"/>
                                  <w:marBottom w:val="0"/>
                                  <w:divBdr>
                                    <w:top w:val="none" w:sz="0" w:space="0" w:color="auto"/>
                                    <w:left w:val="none" w:sz="0" w:space="0" w:color="auto"/>
                                    <w:bottom w:val="none" w:sz="0" w:space="0" w:color="auto"/>
                                    <w:right w:val="none" w:sz="0" w:space="0" w:color="auto"/>
                                  </w:divBdr>
                                  <w:divsChild>
                                    <w:div w:id="867985615">
                                      <w:marLeft w:val="0"/>
                                      <w:marRight w:val="0"/>
                                      <w:marTop w:val="0"/>
                                      <w:marBottom w:val="0"/>
                                      <w:divBdr>
                                        <w:top w:val="none" w:sz="0" w:space="0" w:color="auto"/>
                                        <w:left w:val="none" w:sz="0" w:space="0" w:color="auto"/>
                                        <w:bottom w:val="none" w:sz="0" w:space="0" w:color="auto"/>
                                        <w:right w:val="none" w:sz="0" w:space="0" w:color="auto"/>
                                      </w:divBdr>
                                      <w:divsChild>
                                        <w:div w:id="232088507">
                                          <w:marLeft w:val="0"/>
                                          <w:marRight w:val="0"/>
                                          <w:marTop w:val="0"/>
                                          <w:marBottom w:val="0"/>
                                          <w:divBdr>
                                            <w:top w:val="none" w:sz="0" w:space="0" w:color="auto"/>
                                            <w:left w:val="none" w:sz="0" w:space="0" w:color="auto"/>
                                            <w:bottom w:val="none" w:sz="0" w:space="0" w:color="auto"/>
                                            <w:right w:val="none" w:sz="0" w:space="0" w:color="auto"/>
                                          </w:divBdr>
                                          <w:divsChild>
                                            <w:div w:id="445739633">
                                              <w:marLeft w:val="0"/>
                                              <w:marRight w:val="0"/>
                                              <w:marTop w:val="0"/>
                                              <w:marBottom w:val="0"/>
                                              <w:divBdr>
                                                <w:top w:val="none" w:sz="0" w:space="0" w:color="auto"/>
                                                <w:left w:val="none" w:sz="0" w:space="0" w:color="auto"/>
                                                <w:bottom w:val="none" w:sz="0" w:space="0" w:color="auto"/>
                                                <w:right w:val="none" w:sz="0" w:space="0" w:color="auto"/>
                                              </w:divBdr>
                                              <w:divsChild>
                                                <w:div w:id="422409758">
                                                  <w:marLeft w:val="0"/>
                                                  <w:marRight w:val="0"/>
                                                  <w:marTop w:val="0"/>
                                                  <w:marBottom w:val="0"/>
                                                  <w:divBdr>
                                                    <w:top w:val="none" w:sz="0" w:space="0" w:color="auto"/>
                                                    <w:left w:val="none" w:sz="0" w:space="0" w:color="auto"/>
                                                    <w:bottom w:val="none" w:sz="0" w:space="0" w:color="auto"/>
                                                    <w:right w:val="none" w:sz="0" w:space="0" w:color="auto"/>
                                                  </w:divBdr>
                                                  <w:divsChild>
                                                    <w:div w:id="516965441">
                                                      <w:marLeft w:val="0"/>
                                                      <w:marRight w:val="0"/>
                                                      <w:marTop w:val="0"/>
                                                      <w:marBottom w:val="0"/>
                                                      <w:divBdr>
                                                        <w:top w:val="none" w:sz="0" w:space="0" w:color="auto"/>
                                                        <w:left w:val="none" w:sz="0" w:space="0" w:color="auto"/>
                                                        <w:bottom w:val="none" w:sz="0" w:space="0" w:color="auto"/>
                                                        <w:right w:val="none" w:sz="0" w:space="0" w:color="auto"/>
                                                      </w:divBdr>
                                                      <w:divsChild>
                                                        <w:div w:id="1220550355">
                                                          <w:marLeft w:val="0"/>
                                                          <w:marRight w:val="0"/>
                                                          <w:marTop w:val="0"/>
                                                          <w:marBottom w:val="0"/>
                                                          <w:divBdr>
                                                            <w:top w:val="none" w:sz="0" w:space="0" w:color="auto"/>
                                                            <w:left w:val="none" w:sz="0" w:space="0" w:color="auto"/>
                                                            <w:bottom w:val="none" w:sz="0" w:space="0" w:color="auto"/>
                                                            <w:right w:val="none" w:sz="0" w:space="0" w:color="auto"/>
                                                          </w:divBdr>
                                                          <w:divsChild>
                                                            <w:div w:id="852844356">
                                                              <w:marLeft w:val="0"/>
                                                              <w:marRight w:val="150"/>
                                                              <w:marTop w:val="0"/>
                                                              <w:marBottom w:val="150"/>
                                                              <w:divBdr>
                                                                <w:top w:val="none" w:sz="0" w:space="0" w:color="auto"/>
                                                                <w:left w:val="none" w:sz="0" w:space="0" w:color="auto"/>
                                                                <w:bottom w:val="none" w:sz="0" w:space="0" w:color="auto"/>
                                                                <w:right w:val="none" w:sz="0" w:space="0" w:color="auto"/>
                                                              </w:divBdr>
                                                              <w:divsChild>
                                                                <w:div w:id="670639391">
                                                                  <w:marLeft w:val="0"/>
                                                                  <w:marRight w:val="0"/>
                                                                  <w:marTop w:val="0"/>
                                                                  <w:marBottom w:val="0"/>
                                                                  <w:divBdr>
                                                                    <w:top w:val="none" w:sz="0" w:space="0" w:color="auto"/>
                                                                    <w:left w:val="none" w:sz="0" w:space="0" w:color="auto"/>
                                                                    <w:bottom w:val="none" w:sz="0" w:space="0" w:color="auto"/>
                                                                    <w:right w:val="none" w:sz="0" w:space="0" w:color="auto"/>
                                                                  </w:divBdr>
                                                                  <w:divsChild>
                                                                    <w:div w:id="1233544770">
                                                                      <w:marLeft w:val="0"/>
                                                                      <w:marRight w:val="0"/>
                                                                      <w:marTop w:val="0"/>
                                                                      <w:marBottom w:val="0"/>
                                                                      <w:divBdr>
                                                                        <w:top w:val="none" w:sz="0" w:space="0" w:color="auto"/>
                                                                        <w:left w:val="none" w:sz="0" w:space="0" w:color="auto"/>
                                                                        <w:bottom w:val="none" w:sz="0" w:space="0" w:color="auto"/>
                                                                        <w:right w:val="none" w:sz="0" w:space="0" w:color="auto"/>
                                                                      </w:divBdr>
                                                                      <w:divsChild>
                                                                        <w:div w:id="2028753504">
                                                                          <w:marLeft w:val="0"/>
                                                                          <w:marRight w:val="0"/>
                                                                          <w:marTop w:val="0"/>
                                                                          <w:marBottom w:val="0"/>
                                                                          <w:divBdr>
                                                                            <w:top w:val="none" w:sz="0" w:space="0" w:color="auto"/>
                                                                            <w:left w:val="none" w:sz="0" w:space="0" w:color="auto"/>
                                                                            <w:bottom w:val="none" w:sz="0" w:space="0" w:color="auto"/>
                                                                            <w:right w:val="none" w:sz="0" w:space="0" w:color="auto"/>
                                                                          </w:divBdr>
                                                                          <w:divsChild>
                                                                            <w:div w:id="14425660">
                                                                              <w:marLeft w:val="0"/>
                                                                              <w:marRight w:val="0"/>
                                                                              <w:marTop w:val="0"/>
                                                                              <w:marBottom w:val="0"/>
                                                                              <w:divBdr>
                                                                                <w:top w:val="none" w:sz="0" w:space="0" w:color="auto"/>
                                                                                <w:left w:val="none" w:sz="0" w:space="0" w:color="auto"/>
                                                                                <w:bottom w:val="none" w:sz="0" w:space="0" w:color="auto"/>
                                                                                <w:right w:val="none" w:sz="0" w:space="0" w:color="auto"/>
                                                                              </w:divBdr>
                                                                              <w:divsChild>
                                                                                <w:div w:id="2017073651">
                                                                                  <w:marLeft w:val="0"/>
                                                                                  <w:marRight w:val="0"/>
                                                                                  <w:marTop w:val="0"/>
                                                                                  <w:marBottom w:val="0"/>
                                                                                  <w:divBdr>
                                                                                    <w:top w:val="none" w:sz="0" w:space="0" w:color="auto"/>
                                                                                    <w:left w:val="none" w:sz="0" w:space="0" w:color="auto"/>
                                                                                    <w:bottom w:val="none" w:sz="0" w:space="0" w:color="auto"/>
                                                                                    <w:right w:val="none" w:sz="0" w:space="0" w:color="auto"/>
                                                                                  </w:divBdr>
                                                                                  <w:divsChild>
                                                                                    <w:div w:id="782460077">
                                                                                      <w:marLeft w:val="0"/>
                                                                                      <w:marRight w:val="0"/>
                                                                                      <w:marTop w:val="0"/>
                                                                                      <w:marBottom w:val="0"/>
                                                                                      <w:divBdr>
                                                                                        <w:top w:val="none" w:sz="0" w:space="0" w:color="auto"/>
                                                                                        <w:left w:val="none" w:sz="0" w:space="0" w:color="auto"/>
                                                                                        <w:bottom w:val="none" w:sz="0" w:space="0" w:color="auto"/>
                                                                                        <w:right w:val="none" w:sz="0" w:space="0" w:color="auto"/>
                                                                                      </w:divBdr>
                                                                                    </w:div>
                                                                                    <w:div w:id="1635060915">
                                                                                      <w:marLeft w:val="0"/>
                                                                                      <w:marRight w:val="0"/>
                                                                                      <w:marTop w:val="0"/>
                                                                                      <w:marBottom w:val="0"/>
                                                                                      <w:divBdr>
                                                                                        <w:top w:val="none" w:sz="0" w:space="0" w:color="auto"/>
                                                                                        <w:left w:val="none" w:sz="0" w:space="0" w:color="auto"/>
                                                                                        <w:bottom w:val="none" w:sz="0" w:space="0" w:color="auto"/>
                                                                                        <w:right w:val="none" w:sz="0" w:space="0" w:color="auto"/>
                                                                                      </w:divBdr>
                                                                                    </w:div>
                                                                                    <w:div w:id="102428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6815706">
      <w:bodyDiv w:val="1"/>
      <w:marLeft w:val="0"/>
      <w:marRight w:val="0"/>
      <w:marTop w:val="0"/>
      <w:marBottom w:val="0"/>
      <w:divBdr>
        <w:top w:val="none" w:sz="0" w:space="0" w:color="auto"/>
        <w:left w:val="none" w:sz="0" w:space="0" w:color="auto"/>
        <w:bottom w:val="none" w:sz="0" w:space="0" w:color="auto"/>
        <w:right w:val="none" w:sz="0" w:space="0" w:color="auto"/>
      </w:divBdr>
    </w:div>
    <w:div w:id="1977300560">
      <w:bodyDiv w:val="1"/>
      <w:marLeft w:val="0"/>
      <w:marRight w:val="0"/>
      <w:marTop w:val="0"/>
      <w:marBottom w:val="0"/>
      <w:divBdr>
        <w:top w:val="none" w:sz="0" w:space="0" w:color="auto"/>
        <w:left w:val="none" w:sz="0" w:space="0" w:color="auto"/>
        <w:bottom w:val="none" w:sz="0" w:space="0" w:color="auto"/>
        <w:right w:val="none" w:sz="0" w:space="0" w:color="auto"/>
      </w:divBdr>
    </w:div>
    <w:div w:id="2000424682">
      <w:bodyDiv w:val="1"/>
      <w:marLeft w:val="0"/>
      <w:marRight w:val="0"/>
      <w:marTop w:val="0"/>
      <w:marBottom w:val="0"/>
      <w:divBdr>
        <w:top w:val="none" w:sz="0" w:space="0" w:color="auto"/>
        <w:left w:val="none" w:sz="0" w:space="0" w:color="auto"/>
        <w:bottom w:val="none" w:sz="0" w:space="0" w:color="auto"/>
        <w:right w:val="none" w:sz="0" w:space="0" w:color="auto"/>
      </w:divBdr>
    </w:div>
    <w:div w:id="2020158030">
      <w:bodyDiv w:val="1"/>
      <w:marLeft w:val="0"/>
      <w:marRight w:val="0"/>
      <w:marTop w:val="0"/>
      <w:marBottom w:val="0"/>
      <w:divBdr>
        <w:top w:val="none" w:sz="0" w:space="0" w:color="auto"/>
        <w:left w:val="none" w:sz="0" w:space="0" w:color="auto"/>
        <w:bottom w:val="none" w:sz="0" w:space="0" w:color="auto"/>
        <w:right w:val="none" w:sz="0" w:space="0" w:color="auto"/>
      </w:divBdr>
    </w:div>
    <w:div w:id="2021464093">
      <w:bodyDiv w:val="1"/>
      <w:marLeft w:val="0"/>
      <w:marRight w:val="0"/>
      <w:marTop w:val="0"/>
      <w:marBottom w:val="0"/>
      <w:divBdr>
        <w:top w:val="none" w:sz="0" w:space="0" w:color="auto"/>
        <w:left w:val="none" w:sz="0" w:space="0" w:color="auto"/>
        <w:bottom w:val="none" w:sz="0" w:space="0" w:color="auto"/>
        <w:right w:val="none" w:sz="0" w:space="0" w:color="auto"/>
      </w:divBdr>
    </w:div>
    <w:div w:id="2054966379">
      <w:bodyDiv w:val="1"/>
      <w:marLeft w:val="0"/>
      <w:marRight w:val="0"/>
      <w:marTop w:val="0"/>
      <w:marBottom w:val="0"/>
      <w:divBdr>
        <w:top w:val="none" w:sz="0" w:space="0" w:color="auto"/>
        <w:left w:val="none" w:sz="0" w:space="0" w:color="auto"/>
        <w:bottom w:val="none" w:sz="0" w:space="0" w:color="auto"/>
        <w:right w:val="none" w:sz="0" w:space="0" w:color="auto"/>
      </w:divBdr>
    </w:div>
    <w:div w:id="2063409307">
      <w:bodyDiv w:val="1"/>
      <w:marLeft w:val="0"/>
      <w:marRight w:val="0"/>
      <w:marTop w:val="0"/>
      <w:marBottom w:val="0"/>
      <w:divBdr>
        <w:top w:val="none" w:sz="0" w:space="0" w:color="auto"/>
        <w:left w:val="none" w:sz="0" w:space="0" w:color="auto"/>
        <w:bottom w:val="none" w:sz="0" w:space="0" w:color="auto"/>
        <w:right w:val="none" w:sz="0" w:space="0" w:color="auto"/>
      </w:divBdr>
    </w:div>
    <w:div w:id="2071541460">
      <w:bodyDiv w:val="1"/>
      <w:marLeft w:val="0"/>
      <w:marRight w:val="0"/>
      <w:marTop w:val="0"/>
      <w:marBottom w:val="0"/>
      <w:divBdr>
        <w:top w:val="none" w:sz="0" w:space="0" w:color="auto"/>
        <w:left w:val="none" w:sz="0" w:space="0" w:color="auto"/>
        <w:bottom w:val="none" w:sz="0" w:space="0" w:color="auto"/>
        <w:right w:val="none" w:sz="0" w:space="0" w:color="auto"/>
      </w:divBdr>
    </w:div>
    <w:div w:id="2104837768">
      <w:bodyDiv w:val="1"/>
      <w:marLeft w:val="0"/>
      <w:marRight w:val="0"/>
      <w:marTop w:val="0"/>
      <w:marBottom w:val="0"/>
      <w:divBdr>
        <w:top w:val="none" w:sz="0" w:space="0" w:color="auto"/>
        <w:left w:val="none" w:sz="0" w:space="0" w:color="auto"/>
        <w:bottom w:val="none" w:sz="0" w:space="0" w:color="auto"/>
        <w:right w:val="none" w:sz="0" w:space="0" w:color="auto"/>
      </w:divBdr>
    </w:div>
    <w:div w:id="2108769750">
      <w:bodyDiv w:val="1"/>
      <w:marLeft w:val="0"/>
      <w:marRight w:val="0"/>
      <w:marTop w:val="0"/>
      <w:marBottom w:val="0"/>
      <w:divBdr>
        <w:top w:val="none" w:sz="0" w:space="0" w:color="auto"/>
        <w:left w:val="none" w:sz="0" w:space="0" w:color="auto"/>
        <w:bottom w:val="none" w:sz="0" w:space="0" w:color="auto"/>
        <w:right w:val="none" w:sz="0" w:space="0" w:color="auto"/>
      </w:divBdr>
    </w:div>
    <w:div w:id="2111313585">
      <w:bodyDiv w:val="1"/>
      <w:marLeft w:val="0"/>
      <w:marRight w:val="0"/>
      <w:marTop w:val="0"/>
      <w:marBottom w:val="0"/>
      <w:divBdr>
        <w:top w:val="none" w:sz="0" w:space="0" w:color="auto"/>
        <w:left w:val="none" w:sz="0" w:space="0" w:color="auto"/>
        <w:bottom w:val="none" w:sz="0" w:space="0" w:color="auto"/>
        <w:right w:val="none" w:sz="0" w:space="0" w:color="auto"/>
      </w:divBdr>
    </w:div>
    <w:div w:id="2120907383">
      <w:bodyDiv w:val="1"/>
      <w:marLeft w:val="0"/>
      <w:marRight w:val="0"/>
      <w:marTop w:val="0"/>
      <w:marBottom w:val="0"/>
      <w:divBdr>
        <w:top w:val="none" w:sz="0" w:space="0" w:color="auto"/>
        <w:left w:val="none" w:sz="0" w:space="0" w:color="auto"/>
        <w:bottom w:val="none" w:sz="0" w:space="0" w:color="auto"/>
        <w:right w:val="none" w:sz="0" w:space="0" w:color="auto"/>
      </w:divBdr>
    </w:div>
    <w:div w:id="21414549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economicdevelopment.vic.gov.au"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elayservice.com.au"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footer" Target="footer2.xml"/><Relationship Id="rId10" Type="http://schemas.openxmlformats.org/officeDocument/2006/relationships/hyperlink" Target="mailto:customer.service@depi.vic.gov.au" TargetMode="External"/><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3.jp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608D84-BF7B-474C-A092-5DB647025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159</Pages>
  <Words>56722</Words>
  <Characters>323319</Characters>
  <Application>Microsoft Office Word</Application>
  <DocSecurity>0</DocSecurity>
  <Lines>2694</Lines>
  <Paragraphs>758</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379283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 Rivers</dc:creator>
  <cp:lastModifiedBy>Jane Rawson</cp:lastModifiedBy>
  <cp:revision>2</cp:revision>
  <cp:lastPrinted>2017-06-13T04:29:00Z</cp:lastPrinted>
  <dcterms:created xsi:type="dcterms:W3CDTF">2017-06-13T04:53:00Z</dcterms:created>
  <dcterms:modified xsi:type="dcterms:W3CDTF">2017-06-13T04:53:00Z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0dc71a21-ee49-4c15-89a5-456285eb23c9</vt:lpwstr>
  </property>
  <property fmtid="{D5CDD505-2E9C-101B-9397-08002B2CF9AE}" pid="3" name="PSPFClassification">
    <vt:lpwstr>Unclassified</vt:lpwstr>
  </property>
</Properties>
</file>