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41DBB1" w14:textId="77777777" w:rsidR="009B3CA8" w:rsidRDefault="009B3CA8" w:rsidP="0014359C">
      <w:pPr>
        <w:pStyle w:val="Title"/>
        <w:rPr>
          <w:rFonts w:cs="Arial"/>
        </w:rPr>
      </w:pPr>
      <w:r>
        <w:rPr>
          <w:rFonts w:cs="Arial"/>
        </w:rPr>
        <w:t xml:space="preserve">Code of Practice for the Operation of </w:t>
      </w:r>
    </w:p>
    <w:p w14:paraId="54BF98EB" w14:textId="6AD71117" w:rsidR="009B3CA8" w:rsidRPr="00F91522" w:rsidRDefault="009B3CA8" w:rsidP="00F91522">
      <w:pPr>
        <w:pStyle w:val="Title"/>
        <w:rPr>
          <w:rFonts w:cs="Arial"/>
        </w:rPr>
      </w:pPr>
      <w:r>
        <w:rPr>
          <w:rFonts w:cs="Arial"/>
        </w:rPr>
        <w:t>Breeding and Rearing Businesses</w:t>
      </w:r>
      <w:r w:rsidR="00DA116C">
        <w:rPr>
          <w:rFonts w:cs="Arial"/>
        </w:rPr>
        <w:t>(2014)</w:t>
      </w:r>
      <w:r>
        <w:rPr>
          <w:rFonts w:cs="Arial"/>
        </w:rPr>
        <w:t xml:space="preserve">  </w:t>
      </w:r>
      <w:bookmarkStart w:id="0" w:name="_GoBack"/>
      <w:bookmarkEnd w:id="0"/>
    </w:p>
    <w:p w14:paraId="4CD8B6E7" w14:textId="1FE2AFE0" w:rsidR="00F43052" w:rsidRPr="00C005E5" w:rsidRDefault="004000D7" w:rsidP="000E78B7">
      <w:pPr>
        <w:pStyle w:val="Subtitle"/>
        <w:rPr>
          <w:rFonts w:cs="Arial"/>
          <w:color w:val="E57100" w:themeColor="accent1"/>
          <w:sz w:val="32"/>
        </w:rPr>
      </w:pPr>
      <w:r>
        <w:rPr>
          <w:rFonts w:cs="Arial"/>
          <w:color w:val="E57100" w:themeColor="accent1"/>
          <w:sz w:val="32"/>
        </w:rPr>
        <w:t>Animal sale checklist</w:t>
      </w:r>
    </w:p>
    <w:p w14:paraId="3DFA8E12" w14:textId="555A556C" w:rsidR="009B3CA8" w:rsidRDefault="009B3CA8" w:rsidP="000E78B7">
      <w:pPr>
        <w:rPr>
          <w:rFonts w:cs="Arial"/>
        </w:rPr>
        <w:sectPr w:rsidR="009B3CA8" w:rsidSect="00A74E28">
          <w:footerReference w:type="default" r:id="rId8"/>
          <w:headerReference w:type="first" r:id="rId9"/>
          <w:footerReference w:type="first" r:id="rId10"/>
          <w:pgSz w:w="11900" w:h="16840"/>
          <w:pgMar w:top="1985" w:right="1440" w:bottom="1440" w:left="1440" w:header="709" w:footer="709" w:gutter="0"/>
          <w:cols w:space="708"/>
          <w:titlePg/>
          <w:docGrid w:linePitch="360"/>
        </w:sectPr>
      </w:pPr>
    </w:p>
    <w:p w14:paraId="34C28A32" w14:textId="34023EFD" w:rsidR="00454224" w:rsidRDefault="00454224" w:rsidP="000E78B7">
      <w:pPr>
        <w:pStyle w:val="Introcopy"/>
        <w:rPr>
          <w:rFonts w:cs="Arial"/>
        </w:rPr>
      </w:pPr>
    </w:p>
    <w:p w14:paraId="4C426B6A" w14:textId="79D8CEA0" w:rsidR="004000D7" w:rsidRPr="004000D7" w:rsidRDefault="004000D7" w:rsidP="004000D7">
      <w:pPr>
        <w:rPr>
          <w:szCs w:val="22"/>
        </w:rPr>
      </w:pPr>
      <w:r w:rsidRPr="004000D7">
        <w:rPr>
          <w:szCs w:val="22"/>
        </w:rPr>
        <w:t>The following checklist is for use by businesses to ensure purchasers of cats and dogs obtain the correct paperwork</w:t>
      </w:r>
    </w:p>
    <w:p w14:paraId="2B1FB26D" w14:textId="77777777" w:rsidR="004000D7" w:rsidRPr="004000D7" w:rsidRDefault="004000D7" w:rsidP="004000D7">
      <w:pPr>
        <w:pStyle w:val="bullets1"/>
        <w:numPr>
          <w:ilvl w:val="0"/>
          <w:numId w:val="13"/>
        </w:numPr>
        <w:spacing w:after="120" w:line="260" w:lineRule="atLeast"/>
        <w:ind w:left="425" w:right="0" w:hanging="425"/>
        <w:rPr>
          <w:sz w:val="22"/>
          <w:szCs w:val="22"/>
        </w:rPr>
      </w:pPr>
      <w:r w:rsidRPr="004000D7">
        <w:rPr>
          <w:sz w:val="22"/>
          <w:szCs w:val="22"/>
        </w:rPr>
        <w:t>Veterinarian pre-sale health check declaration (cats/kittens only)</w:t>
      </w:r>
    </w:p>
    <w:p w14:paraId="7A0CCF2B" w14:textId="77777777" w:rsidR="004000D7" w:rsidRPr="004000D7" w:rsidRDefault="004000D7" w:rsidP="004000D7">
      <w:pPr>
        <w:pStyle w:val="bullets1"/>
        <w:numPr>
          <w:ilvl w:val="0"/>
          <w:numId w:val="13"/>
        </w:numPr>
        <w:spacing w:after="120" w:line="260" w:lineRule="atLeast"/>
        <w:ind w:left="425" w:right="0" w:hanging="425"/>
        <w:rPr>
          <w:sz w:val="22"/>
          <w:szCs w:val="22"/>
        </w:rPr>
      </w:pPr>
      <w:r w:rsidRPr="004000D7">
        <w:rPr>
          <w:sz w:val="22"/>
          <w:szCs w:val="22"/>
        </w:rPr>
        <w:t>Vaccination records, including next due date (signed by veterinarian for dogs)</w:t>
      </w:r>
    </w:p>
    <w:p w14:paraId="5874A113" w14:textId="77777777" w:rsidR="004000D7" w:rsidRPr="004000D7" w:rsidRDefault="004000D7" w:rsidP="004000D7">
      <w:pPr>
        <w:pStyle w:val="bullets1"/>
        <w:numPr>
          <w:ilvl w:val="0"/>
          <w:numId w:val="13"/>
        </w:numPr>
        <w:spacing w:after="120" w:line="260" w:lineRule="atLeast"/>
        <w:ind w:left="425" w:right="0" w:hanging="425"/>
        <w:rPr>
          <w:sz w:val="22"/>
          <w:szCs w:val="22"/>
        </w:rPr>
      </w:pPr>
      <w:r w:rsidRPr="004000D7">
        <w:rPr>
          <w:sz w:val="22"/>
          <w:szCs w:val="22"/>
        </w:rPr>
        <w:t>Parasite prevention and control records, including next treatment date</w:t>
      </w:r>
    </w:p>
    <w:p w14:paraId="0D544ADE" w14:textId="77777777" w:rsidR="004000D7" w:rsidRPr="004000D7" w:rsidRDefault="004000D7" w:rsidP="004000D7">
      <w:pPr>
        <w:pStyle w:val="bullets1"/>
        <w:numPr>
          <w:ilvl w:val="0"/>
          <w:numId w:val="13"/>
        </w:numPr>
        <w:spacing w:after="120" w:line="260" w:lineRule="atLeast"/>
        <w:ind w:left="425" w:right="0" w:hanging="425"/>
        <w:rPr>
          <w:rFonts w:cstheme="minorHAnsi"/>
          <w:sz w:val="22"/>
          <w:szCs w:val="22"/>
        </w:rPr>
      </w:pPr>
      <w:r w:rsidRPr="004000D7">
        <w:rPr>
          <w:rFonts w:cstheme="minorHAnsi"/>
          <w:sz w:val="22"/>
          <w:szCs w:val="22"/>
        </w:rPr>
        <w:t>Signed microchip transfer paper (for purchaser to sign but seller to lodge)</w:t>
      </w:r>
    </w:p>
    <w:p w14:paraId="75C8EEE0" w14:textId="77777777" w:rsidR="004000D7" w:rsidRPr="004000D7" w:rsidRDefault="004000D7" w:rsidP="004000D7">
      <w:pPr>
        <w:pStyle w:val="bullets1"/>
        <w:numPr>
          <w:ilvl w:val="0"/>
          <w:numId w:val="13"/>
        </w:numPr>
        <w:spacing w:after="120" w:line="260" w:lineRule="atLeast"/>
        <w:ind w:left="425" w:right="0" w:hanging="425"/>
        <w:rPr>
          <w:sz w:val="22"/>
          <w:szCs w:val="22"/>
        </w:rPr>
      </w:pPr>
      <w:r w:rsidRPr="004000D7">
        <w:rPr>
          <w:sz w:val="22"/>
          <w:szCs w:val="22"/>
        </w:rPr>
        <w:t xml:space="preserve">A signed copy of the breeder health declaration, containing signatures from both the seller </w:t>
      </w:r>
      <w:r w:rsidRPr="004000D7">
        <w:rPr>
          <w:sz w:val="22"/>
          <w:szCs w:val="22"/>
        </w:rPr>
        <w:br/>
        <w:t>and purchaser</w:t>
      </w:r>
    </w:p>
    <w:p w14:paraId="38810B79" w14:textId="77777777" w:rsidR="004000D7" w:rsidRPr="004000D7" w:rsidRDefault="004000D7" w:rsidP="004000D7">
      <w:pPr>
        <w:pStyle w:val="bullets1"/>
        <w:numPr>
          <w:ilvl w:val="0"/>
          <w:numId w:val="13"/>
        </w:numPr>
        <w:spacing w:after="120" w:line="260" w:lineRule="atLeast"/>
        <w:ind w:left="425" w:right="0" w:hanging="425"/>
        <w:rPr>
          <w:sz w:val="22"/>
          <w:szCs w:val="22"/>
        </w:rPr>
      </w:pPr>
      <w:r w:rsidRPr="004000D7">
        <w:rPr>
          <w:sz w:val="22"/>
          <w:szCs w:val="22"/>
        </w:rPr>
        <w:t>A copy of the sale guarantee</w:t>
      </w:r>
    </w:p>
    <w:p w14:paraId="49A203CA" w14:textId="77777777" w:rsidR="004000D7" w:rsidRPr="004000D7" w:rsidRDefault="004000D7" w:rsidP="004000D7">
      <w:pPr>
        <w:pStyle w:val="bullets1"/>
        <w:numPr>
          <w:ilvl w:val="0"/>
          <w:numId w:val="13"/>
        </w:numPr>
        <w:spacing w:after="120" w:line="260" w:lineRule="atLeast"/>
        <w:ind w:left="425" w:right="0" w:hanging="425"/>
        <w:rPr>
          <w:rFonts w:cstheme="minorHAnsi"/>
          <w:sz w:val="22"/>
          <w:szCs w:val="22"/>
        </w:rPr>
      </w:pPr>
      <w:r w:rsidRPr="004000D7">
        <w:rPr>
          <w:rFonts w:cstheme="minorHAnsi"/>
          <w:sz w:val="22"/>
          <w:szCs w:val="22"/>
        </w:rPr>
        <w:t>Literature including but not limited to the following topics:</w:t>
      </w:r>
    </w:p>
    <w:p w14:paraId="67782643" w14:textId="77777777" w:rsidR="004000D7" w:rsidRPr="004000D7" w:rsidRDefault="004000D7" w:rsidP="004000D7">
      <w:pPr>
        <w:pStyle w:val="bullets2"/>
        <w:numPr>
          <w:ilvl w:val="1"/>
          <w:numId w:val="13"/>
        </w:numPr>
        <w:ind w:left="709" w:hanging="284"/>
        <w:rPr>
          <w:sz w:val="22"/>
          <w:szCs w:val="22"/>
        </w:rPr>
      </w:pPr>
      <w:r w:rsidRPr="004000D7">
        <w:rPr>
          <w:sz w:val="22"/>
          <w:szCs w:val="22"/>
        </w:rPr>
        <w:t>appropriate feeding</w:t>
      </w:r>
    </w:p>
    <w:p w14:paraId="0760B5EE" w14:textId="77777777" w:rsidR="004000D7" w:rsidRPr="004000D7" w:rsidRDefault="004000D7" w:rsidP="004000D7">
      <w:pPr>
        <w:pStyle w:val="bullets2"/>
        <w:numPr>
          <w:ilvl w:val="1"/>
          <w:numId w:val="13"/>
        </w:numPr>
        <w:ind w:left="709" w:hanging="284"/>
        <w:rPr>
          <w:sz w:val="22"/>
          <w:szCs w:val="22"/>
        </w:rPr>
      </w:pPr>
      <w:proofErr w:type="spellStart"/>
      <w:r w:rsidRPr="004000D7">
        <w:rPr>
          <w:sz w:val="22"/>
          <w:szCs w:val="22"/>
        </w:rPr>
        <w:t>desexing</w:t>
      </w:r>
      <w:proofErr w:type="spellEnd"/>
    </w:p>
    <w:p w14:paraId="243019EB" w14:textId="77777777" w:rsidR="004000D7" w:rsidRPr="004000D7" w:rsidRDefault="004000D7" w:rsidP="004000D7">
      <w:pPr>
        <w:pStyle w:val="bullets2"/>
        <w:numPr>
          <w:ilvl w:val="1"/>
          <w:numId w:val="13"/>
        </w:numPr>
        <w:ind w:left="709" w:hanging="284"/>
        <w:rPr>
          <w:sz w:val="22"/>
          <w:szCs w:val="22"/>
        </w:rPr>
      </w:pPr>
      <w:r w:rsidRPr="004000D7">
        <w:rPr>
          <w:sz w:val="22"/>
          <w:szCs w:val="22"/>
        </w:rPr>
        <w:t>parasite control</w:t>
      </w:r>
    </w:p>
    <w:p w14:paraId="645F1786" w14:textId="77777777" w:rsidR="004000D7" w:rsidRPr="004000D7" w:rsidRDefault="004000D7" w:rsidP="004000D7">
      <w:pPr>
        <w:pStyle w:val="bullets2"/>
        <w:numPr>
          <w:ilvl w:val="1"/>
          <w:numId w:val="13"/>
        </w:numPr>
        <w:ind w:left="709" w:hanging="284"/>
        <w:rPr>
          <w:sz w:val="22"/>
          <w:szCs w:val="22"/>
        </w:rPr>
      </w:pPr>
      <w:r w:rsidRPr="004000D7">
        <w:rPr>
          <w:sz w:val="22"/>
          <w:szCs w:val="22"/>
        </w:rPr>
        <w:t>health — including procedures for emergency treatment during the guarantee period</w:t>
      </w:r>
    </w:p>
    <w:p w14:paraId="2F1650A3" w14:textId="77777777" w:rsidR="004000D7" w:rsidRPr="004000D7" w:rsidRDefault="004000D7" w:rsidP="004000D7">
      <w:pPr>
        <w:pStyle w:val="bullets2"/>
        <w:numPr>
          <w:ilvl w:val="1"/>
          <w:numId w:val="13"/>
        </w:numPr>
        <w:ind w:left="709" w:hanging="284"/>
        <w:rPr>
          <w:sz w:val="22"/>
          <w:szCs w:val="22"/>
        </w:rPr>
      </w:pPr>
      <w:r w:rsidRPr="004000D7">
        <w:rPr>
          <w:sz w:val="22"/>
          <w:szCs w:val="22"/>
        </w:rPr>
        <w:t xml:space="preserve">housing </w:t>
      </w:r>
    </w:p>
    <w:p w14:paraId="062058B5" w14:textId="77777777" w:rsidR="004000D7" w:rsidRPr="004000D7" w:rsidRDefault="004000D7" w:rsidP="004000D7">
      <w:pPr>
        <w:pStyle w:val="bullets2"/>
        <w:numPr>
          <w:ilvl w:val="1"/>
          <w:numId w:val="13"/>
        </w:numPr>
        <w:ind w:left="709" w:hanging="284"/>
        <w:rPr>
          <w:sz w:val="22"/>
          <w:szCs w:val="22"/>
        </w:rPr>
      </w:pPr>
      <w:r w:rsidRPr="004000D7">
        <w:rPr>
          <w:sz w:val="22"/>
          <w:szCs w:val="22"/>
        </w:rPr>
        <w:t>responsible pet ownership, including current legislation covering the registration of pet animals and training opportunities available</w:t>
      </w:r>
    </w:p>
    <w:p w14:paraId="21F7C2EA" w14:textId="77777777" w:rsidR="004000D7" w:rsidRPr="004000D7" w:rsidRDefault="004000D7" w:rsidP="004000D7">
      <w:pPr>
        <w:pStyle w:val="bullets2"/>
        <w:numPr>
          <w:ilvl w:val="1"/>
          <w:numId w:val="13"/>
        </w:numPr>
        <w:ind w:left="709" w:hanging="284"/>
        <w:rPr>
          <w:sz w:val="22"/>
          <w:szCs w:val="22"/>
        </w:rPr>
      </w:pPr>
      <w:r w:rsidRPr="004000D7">
        <w:rPr>
          <w:sz w:val="22"/>
          <w:szCs w:val="22"/>
        </w:rPr>
        <w:t>importance of training dogs and socialisation for cats and dogs</w:t>
      </w:r>
    </w:p>
    <w:p w14:paraId="38FD5676" w14:textId="528F7653" w:rsidR="004000D7" w:rsidRPr="004000D7" w:rsidRDefault="004000D7" w:rsidP="004000D7">
      <w:pPr>
        <w:pStyle w:val="bullets2"/>
        <w:numPr>
          <w:ilvl w:val="1"/>
          <w:numId w:val="13"/>
        </w:numPr>
        <w:ind w:left="709" w:hanging="284"/>
        <w:rPr>
          <w:sz w:val="22"/>
          <w:szCs w:val="22"/>
        </w:rPr>
      </w:pPr>
      <w:r w:rsidRPr="004000D7">
        <w:rPr>
          <w:sz w:val="22"/>
          <w:szCs w:val="22"/>
        </w:rPr>
        <w:t>vaccination against Feline Immunodeficiency Virus (FIV) or Feline AIDS.</w:t>
      </w:r>
      <w:r w:rsidRPr="004000D7">
        <w:rPr>
          <w:sz w:val="22"/>
          <w:szCs w:val="22"/>
        </w:rPr>
        <w:br/>
      </w:r>
      <w:r w:rsidRPr="004000D7">
        <w:rPr>
          <w:sz w:val="22"/>
          <w:szCs w:val="22"/>
        </w:rPr>
        <w:br/>
        <w:t>Note: Literature is avail</w:t>
      </w:r>
      <w:r w:rsidR="00E616EA">
        <w:rPr>
          <w:sz w:val="22"/>
          <w:szCs w:val="22"/>
        </w:rPr>
        <w:t xml:space="preserve">able free of charge at </w:t>
      </w:r>
      <w:hyperlink r:id="rId11" w:history="1">
        <w:r w:rsidR="005B3A80" w:rsidRPr="003814DC">
          <w:rPr>
            <w:rStyle w:val="Hyperlink"/>
            <w:sz w:val="22"/>
            <w:szCs w:val="22"/>
          </w:rPr>
          <w:t>agriculture.vic.gov.au/pets</w:t>
        </w:r>
      </w:hyperlink>
      <w:r w:rsidR="005B3A80">
        <w:rPr>
          <w:sz w:val="22"/>
          <w:szCs w:val="22"/>
        </w:rPr>
        <w:t xml:space="preserve"> </w:t>
      </w:r>
      <w:r w:rsidRPr="004000D7">
        <w:rPr>
          <w:sz w:val="22"/>
          <w:szCs w:val="22"/>
        </w:rPr>
        <w:t>or breeders may wish to develop their own</w:t>
      </w:r>
    </w:p>
    <w:p w14:paraId="69EAC355" w14:textId="77777777" w:rsidR="004000D7" w:rsidRPr="004000D7" w:rsidRDefault="004000D7" w:rsidP="004000D7">
      <w:pPr>
        <w:pStyle w:val="bullets1"/>
        <w:numPr>
          <w:ilvl w:val="0"/>
          <w:numId w:val="13"/>
        </w:numPr>
        <w:spacing w:after="120" w:line="260" w:lineRule="atLeast"/>
        <w:ind w:left="425" w:right="0" w:hanging="425"/>
        <w:rPr>
          <w:sz w:val="22"/>
          <w:szCs w:val="22"/>
        </w:rPr>
      </w:pPr>
      <w:r w:rsidRPr="004000D7">
        <w:rPr>
          <w:sz w:val="22"/>
          <w:szCs w:val="22"/>
        </w:rPr>
        <w:t>Proprietor business card and contact details</w:t>
      </w:r>
    </w:p>
    <w:p w14:paraId="6E54853E" w14:textId="77777777" w:rsidR="004000D7" w:rsidRPr="004000D7" w:rsidRDefault="004000D7" w:rsidP="004000D7">
      <w:pPr>
        <w:pStyle w:val="bullets1"/>
        <w:numPr>
          <w:ilvl w:val="0"/>
          <w:numId w:val="13"/>
        </w:numPr>
        <w:spacing w:after="120" w:line="260" w:lineRule="atLeast"/>
        <w:ind w:left="425" w:right="0" w:hanging="425"/>
        <w:rPr>
          <w:sz w:val="22"/>
          <w:szCs w:val="22"/>
        </w:rPr>
      </w:pPr>
      <w:r w:rsidRPr="004000D7">
        <w:rPr>
          <w:sz w:val="22"/>
          <w:szCs w:val="22"/>
        </w:rPr>
        <w:t>Business veterinary practitioner contact details</w:t>
      </w:r>
    </w:p>
    <w:p w14:paraId="3B8894E8" w14:textId="77777777" w:rsidR="004000D7" w:rsidRDefault="004000D7" w:rsidP="004000D7"/>
    <w:p w14:paraId="7D54A9C7" w14:textId="13C14DF8" w:rsidR="00CF4EDC" w:rsidRPr="009B3CA8" w:rsidRDefault="00CF4EDC" w:rsidP="009B3CA8"/>
    <w:sectPr w:rsidR="00CF4EDC" w:rsidRPr="009B3CA8" w:rsidSect="00CF4EDC">
      <w:type w:val="continuous"/>
      <w:pgSz w:w="11900" w:h="16840"/>
      <w:pgMar w:top="1276" w:right="1440" w:bottom="158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390CD" w14:textId="77777777" w:rsidR="00F772B2" w:rsidRDefault="00F772B2" w:rsidP="000E78B7">
      <w:r>
        <w:separator/>
      </w:r>
    </w:p>
  </w:endnote>
  <w:endnote w:type="continuationSeparator" w:id="0">
    <w:p w14:paraId="702C59AC" w14:textId="77777777" w:rsidR="00F772B2" w:rsidRDefault="00F772B2" w:rsidP="000E7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8135F" w14:textId="18EE233F" w:rsidR="00DC5805" w:rsidRPr="00DC64F5" w:rsidRDefault="00DC64F5" w:rsidP="00DC64F5">
    <w:pPr>
      <w:pStyle w:val="Footer"/>
      <w:jc w:val="right"/>
      <w:rPr>
        <w:rStyle w:val="IntenseEmphasis"/>
      </w:rPr>
    </w:pPr>
    <w:r w:rsidRPr="00DC64F5">
      <w:rPr>
        <w:rStyle w:val="IntenseEmphasis"/>
      </w:rPr>
      <w:t xml:space="preserve">animalwelfare.vic.gov.au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C551B" w14:textId="152219AA" w:rsidR="00853827" w:rsidRPr="00DC64F5" w:rsidRDefault="00853827" w:rsidP="00853827">
    <w:pPr>
      <w:pStyle w:val="Footer"/>
      <w:rPr>
        <w:rStyle w:val="IntenseEmphasis"/>
      </w:rPr>
    </w:pPr>
    <w:r>
      <w:tab/>
    </w:r>
    <w:r w:rsidRPr="00DC64F5">
      <w:rPr>
        <w:rStyle w:val="IntenseEmphasis"/>
      </w:rPr>
      <w:t xml:space="preserve"> </w:t>
    </w:r>
  </w:p>
  <w:p w14:paraId="1C6ECC15" w14:textId="012D41E4" w:rsidR="00853827" w:rsidRDefault="00853827" w:rsidP="00853827">
    <w:pPr>
      <w:pStyle w:val="Footer"/>
      <w:tabs>
        <w:tab w:val="clear" w:pos="4513"/>
        <w:tab w:val="clear" w:pos="9026"/>
        <w:tab w:val="left" w:pos="31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25499A" w14:textId="77777777" w:rsidR="00F772B2" w:rsidRDefault="00F772B2" w:rsidP="000E78B7">
      <w:r>
        <w:separator/>
      </w:r>
    </w:p>
  </w:footnote>
  <w:footnote w:type="continuationSeparator" w:id="0">
    <w:p w14:paraId="4B2E9A1A" w14:textId="77777777" w:rsidR="00F772B2" w:rsidRDefault="00F772B2" w:rsidP="000E7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C8A79" w14:textId="01B82868" w:rsidR="00A74E28" w:rsidRDefault="00A74E28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3B87CDDF" wp14:editId="44D07551">
          <wp:simplePos x="0" y="0"/>
          <wp:positionH relativeFrom="column">
            <wp:posOffset>-923925</wp:posOffset>
          </wp:positionH>
          <wp:positionV relativeFrom="paragraph">
            <wp:posOffset>-453390</wp:posOffset>
          </wp:positionV>
          <wp:extent cx="7543800" cy="10663354"/>
          <wp:effectExtent l="0" t="0" r="0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1274 Ag Animal Welfare Factsheet 2 Pag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633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1C0F0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D7ED9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2B205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F60CD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60208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6903A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1ACD7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8F88B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E58AC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66E7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74C29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7D645F"/>
    <w:multiLevelType w:val="hybridMultilevel"/>
    <w:tmpl w:val="59E4070A"/>
    <w:lvl w:ilvl="0" w:tplc="612C690A">
      <w:start w:val="1"/>
      <w:numFmt w:val="bullet"/>
      <w:pStyle w:val="bullets1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50E8B"/>
    <w:multiLevelType w:val="hybridMultilevel"/>
    <w:tmpl w:val="0E401EC6"/>
    <w:lvl w:ilvl="0" w:tplc="FC88AAA2">
      <w:start w:val="1"/>
      <w:numFmt w:val="bullet"/>
      <w:lvlText w:val=""/>
      <w:lvlJc w:val="left"/>
      <w:pPr>
        <w:ind w:left="502" w:hanging="360"/>
      </w:pPr>
      <w:rPr>
        <w:rFonts w:ascii="Wingdings" w:hAnsi="Wingdings" w:hint="default"/>
        <w:sz w:val="24"/>
        <w:szCs w:val="24"/>
      </w:rPr>
    </w:lvl>
    <w:lvl w:ilvl="1" w:tplc="131ED6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9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052"/>
    <w:rsid w:val="00043715"/>
    <w:rsid w:val="00065E50"/>
    <w:rsid w:val="00094D9C"/>
    <w:rsid w:val="000A2014"/>
    <w:rsid w:val="000E78B7"/>
    <w:rsid w:val="000F4DDE"/>
    <w:rsid w:val="00107E20"/>
    <w:rsid w:val="0011484D"/>
    <w:rsid w:val="0014359C"/>
    <w:rsid w:val="00175EC2"/>
    <w:rsid w:val="00183C76"/>
    <w:rsid w:val="001D7731"/>
    <w:rsid w:val="001E3C94"/>
    <w:rsid w:val="001F3ABA"/>
    <w:rsid w:val="001F3B08"/>
    <w:rsid w:val="00224F25"/>
    <w:rsid w:val="00242EAC"/>
    <w:rsid w:val="00260DAE"/>
    <w:rsid w:val="002B0548"/>
    <w:rsid w:val="002F7DAF"/>
    <w:rsid w:val="00330777"/>
    <w:rsid w:val="003B2FFD"/>
    <w:rsid w:val="003D2D7C"/>
    <w:rsid w:val="004000D7"/>
    <w:rsid w:val="004142DE"/>
    <w:rsid w:val="00434C2C"/>
    <w:rsid w:val="00454224"/>
    <w:rsid w:val="004A3BB8"/>
    <w:rsid w:val="00554655"/>
    <w:rsid w:val="00560B5A"/>
    <w:rsid w:val="005B3A80"/>
    <w:rsid w:val="006036A6"/>
    <w:rsid w:val="0062436E"/>
    <w:rsid w:val="0065406A"/>
    <w:rsid w:val="006A31AC"/>
    <w:rsid w:val="006B69DD"/>
    <w:rsid w:val="006C3859"/>
    <w:rsid w:val="007B3B74"/>
    <w:rsid w:val="00800018"/>
    <w:rsid w:val="00853827"/>
    <w:rsid w:val="00854F7B"/>
    <w:rsid w:val="00894A53"/>
    <w:rsid w:val="008D3E98"/>
    <w:rsid w:val="00955C50"/>
    <w:rsid w:val="009B3CA8"/>
    <w:rsid w:val="00A010F9"/>
    <w:rsid w:val="00A142AF"/>
    <w:rsid w:val="00A4417B"/>
    <w:rsid w:val="00A64CE2"/>
    <w:rsid w:val="00A67254"/>
    <w:rsid w:val="00A74E28"/>
    <w:rsid w:val="00AE2D59"/>
    <w:rsid w:val="00B35037"/>
    <w:rsid w:val="00B85346"/>
    <w:rsid w:val="00BD45B5"/>
    <w:rsid w:val="00BF4070"/>
    <w:rsid w:val="00BF6EFB"/>
    <w:rsid w:val="00C005E5"/>
    <w:rsid w:val="00C15404"/>
    <w:rsid w:val="00C24438"/>
    <w:rsid w:val="00C717FE"/>
    <w:rsid w:val="00C86947"/>
    <w:rsid w:val="00CE2205"/>
    <w:rsid w:val="00CF4EDC"/>
    <w:rsid w:val="00D452AF"/>
    <w:rsid w:val="00D57468"/>
    <w:rsid w:val="00DA116C"/>
    <w:rsid w:val="00DC2D09"/>
    <w:rsid w:val="00DC5805"/>
    <w:rsid w:val="00DC64F5"/>
    <w:rsid w:val="00E52F0A"/>
    <w:rsid w:val="00E616EA"/>
    <w:rsid w:val="00E75DC4"/>
    <w:rsid w:val="00E81881"/>
    <w:rsid w:val="00F43052"/>
    <w:rsid w:val="00F749DC"/>
    <w:rsid w:val="00F772B2"/>
    <w:rsid w:val="00F91522"/>
    <w:rsid w:val="00FA5C12"/>
    <w:rsid w:val="00FB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0198B27"/>
  <w15:chartTrackingRefBased/>
  <w15:docId w15:val="{34397029-75B6-6D41-8375-DE7E7D9BC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C64F5"/>
    <w:pPr>
      <w:snapToGrid w:val="0"/>
      <w:spacing w:after="240"/>
    </w:pPr>
    <w:rPr>
      <w:rFonts w:ascii="Arial" w:hAnsi="Arial"/>
      <w:color w:val="000000"/>
      <w:sz w:val="22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5346"/>
    <w:pPr>
      <w:spacing w:after="120"/>
      <w:outlineLvl w:val="0"/>
    </w:pPr>
    <w:rPr>
      <w:b/>
      <w:color w:val="00B7BD" w:themeColor="accent3"/>
      <w:sz w:val="24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4F7B"/>
    <w:pPr>
      <w:spacing w:after="120"/>
      <w:outlineLvl w:val="1"/>
    </w:pPr>
    <w:rPr>
      <w:color w:val="00B7BD" w:themeColor="accent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3B74"/>
    <w:pPr>
      <w:spacing w:after="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30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3052"/>
  </w:style>
  <w:style w:type="paragraph" w:styleId="Footer">
    <w:name w:val="footer"/>
    <w:basedOn w:val="Normal"/>
    <w:link w:val="FooterChar"/>
    <w:uiPriority w:val="99"/>
    <w:unhideWhenUsed/>
    <w:rsid w:val="00F430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3052"/>
  </w:style>
  <w:style w:type="character" w:customStyle="1" w:styleId="Heading1Char">
    <w:name w:val="Heading 1 Char"/>
    <w:basedOn w:val="DefaultParagraphFont"/>
    <w:link w:val="Heading1"/>
    <w:uiPriority w:val="9"/>
    <w:rsid w:val="00B85346"/>
    <w:rPr>
      <w:b/>
      <w:color w:val="00B7BD" w:themeColor="accent3"/>
      <w:szCs w:val="2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5404"/>
    <w:rPr>
      <w:color w:val="535659" w:themeColor="text1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5404"/>
    <w:rPr>
      <w:color w:val="535659" w:themeColor="text1"/>
      <w:sz w:val="28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14359C"/>
    <w:pPr>
      <w:spacing w:after="0"/>
    </w:pPr>
    <w:rPr>
      <w:color w:val="E57100" w:themeColor="accent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14359C"/>
    <w:rPr>
      <w:color w:val="E57100" w:themeColor="accent1"/>
      <w:sz w:val="40"/>
      <w:szCs w:val="40"/>
      <w:lang w:val="en-US"/>
    </w:rPr>
  </w:style>
  <w:style w:type="paragraph" w:styleId="ListBullet">
    <w:name w:val="List Bullet"/>
    <w:basedOn w:val="Normal"/>
    <w:uiPriority w:val="99"/>
    <w:unhideWhenUsed/>
    <w:rsid w:val="00BF6EFB"/>
    <w:pPr>
      <w:numPr>
        <w:numId w:val="10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B69DD"/>
    <w:rPr>
      <w:b/>
      <w:color w:val="E57100" w:themeColor="accent1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6B69DD"/>
    <w:rPr>
      <w:b/>
      <w:color w:val="E57100" w:themeColor="accent1"/>
      <w:szCs w:val="20"/>
      <w:lang w:val="en-US"/>
    </w:rPr>
  </w:style>
  <w:style w:type="table" w:styleId="TableGrid">
    <w:name w:val="Table Grid"/>
    <w:basedOn w:val="TableNormal"/>
    <w:uiPriority w:val="59"/>
    <w:rsid w:val="00183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rocopy">
    <w:name w:val="Intro copy"/>
    <w:basedOn w:val="Normal"/>
    <w:qFormat/>
    <w:rsid w:val="00955C50"/>
    <w:rPr>
      <w:color w:val="535659" w:themeColor="text1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54F7B"/>
    <w:rPr>
      <w:color w:val="00B7BD" w:themeColor="accent3"/>
      <w:sz w:val="22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B3B74"/>
    <w:rPr>
      <w:b/>
      <w:sz w:val="20"/>
      <w:szCs w:val="20"/>
      <w:lang w:val="en-US"/>
    </w:rPr>
  </w:style>
  <w:style w:type="character" w:styleId="Strong">
    <w:name w:val="Strong"/>
    <w:uiPriority w:val="22"/>
    <w:qFormat/>
    <w:rsid w:val="00DC64F5"/>
    <w:rPr>
      <w:b/>
      <w:color w:val="E57100" w:themeColor="accent1"/>
      <w:sz w:val="20"/>
    </w:rPr>
  </w:style>
  <w:style w:type="character" w:styleId="Hyperlink">
    <w:name w:val="Hyperlink"/>
    <w:basedOn w:val="DefaultParagraphFont"/>
    <w:uiPriority w:val="99"/>
    <w:unhideWhenUsed/>
    <w:qFormat/>
    <w:rsid w:val="00CE2205"/>
    <w:rPr>
      <w:color w:val="E57100" w:themeColor="accent1"/>
      <w:u w:val="single"/>
    </w:rPr>
  </w:style>
  <w:style w:type="character" w:styleId="UnresolvedMention">
    <w:name w:val="Unresolved Mention"/>
    <w:basedOn w:val="DefaultParagraphFont"/>
    <w:uiPriority w:val="99"/>
    <w:rsid w:val="001F3ABA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1F3ABA"/>
    <w:rPr>
      <w:color w:val="E57100" w:themeColor="followed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DC64F5"/>
    <w:rPr>
      <w:i/>
      <w:iCs/>
      <w:color w:val="E57100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4CE2"/>
    <w:pPr>
      <w:pBdr>
        <w:top w:val="single" w:sz="4" w:space="10" w:color="E57100" w:themeColor="accent1"/>
        <w:bottom w:val="single" w:sz="4" w:space="10" w:color="E57100" w:themeColor="accent1"/>
      </w:pBdr>
      <w:spacing w:before="360" w:after="360"/>
      <w:ind w:left="864" w:right="864"/>
      <w:jc w:val="center"/>
    </w:pPr>
    <w:rPr>
      <w:i/>
      <w:iCs/>
      <w:color w:val="E571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4CE2"/>
    <w:rPr>
      <w:rFonts w:ascii="Arial" w:hAnsi="Arial"/>
      <w:i/>
      <w:iCs/>
      <w:color w:val="E57100" w:themeColor="accent1"/>
      <w:sz w:val="22"/>
      <w:szCs w:val="20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9B3CA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9B3CA8"/>
    <w:tblPr>
      <w:tblStyleRowBandSize w:val="1"/>
      <w:tblStyleColBandSize w:val="1"/>
      <w:tblBorders>
        <w:top w:val="single" w:sz="4" w:space="0" w:color="FFC58E" w:themeColor="accent1" w:themeTint="66"/>
        <w:left w:val="single" w:sz="4" w:space="0" w:color="FFC58E" w:themeColor="accent1" w:themeTint="66"/>
        <w:bottom w:val="single" w:sz="4" w:space="0" w:color="FFC58E" w:themeColor="accent1" w:themeTint="66"/>
        <w:right w:val="single" w:sz="4" w:space="0" w:color="FFC58E" w:themeColor="accent1" w:themeTint="66"/>
        <w:insideH w:val="single" w:sz="4" w:space="0" w:color="FFC58E" w:themeColor="accent1" w:themeTint="66"/>
        <w:insideV w:val="single" w:sz="4" w:space="0" w:color="FFC58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A95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95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1">
    <w:name w:val="Grid Table 6 Colorful Accent 1"/>
    <w:basedOn w:val="TableNormal"/>
    <w:uiPriority w:val="51"/>
    <w:rsid w:val="009B3CA8"/>
    <w:rPr>
      <w:color w:val="AB5300" w:themeColor="accent1" w:themeShade="BF"/>
    </w:rPr>
    <w:tblPr>
      <w:tblStyleRowBandSize w:val="1"/>
      <w:tblStyleColBandSize w:val="1"/>
      <w:tblBorders>
        <w:top w:val="single" w:sz="4" w:space="0" w:color="FFA956" w:themeColor="accent1" w:themeTint="99"/>
        <w:left w:val="single" w:sz="4" w:space="0" w:color="FFA956" w:themeColor="accent1" w:themeTint="99"/>
        <w:bottom w:val="single" w:sz="4" w:space="0" w:color="FFA956" w:themeColor="accent1" w:themeTint="99"/>
        <w:right w:val="single" w:sz="4" w:space="0" w:color="FFA956" w:themeColor="accent1" w:themeTint="99"/>
        <w:insideH w:val="single" w:sz="4" w:space="0" w:color="FFA956" w:themeColor="accent1" w:themeTint="99"/>
        <w:insideV w:val="single" w:sz="4" w:space="0" w:color="FFA95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A95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95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6" w:themeFill="accent1" w:themeFillTint="33"/>
      </w:tcPr>
    </w:tblStylePr>
    <w:tblStylePr w:type="band1Horz">
      <w:tblPr/>
      <w:tcPr>
        <w:shd w:val="clear" w:color="auto" w:fill="FFE2C6" w:themeFill="accent1" w:themeFillTint="33"/>
      </w:tcPr>
    </w:tblStylePr>
  </w:style>
  <w:style w:type="paragraph" w:customStyle="1" w:styleId="Tabletext">
    <w:name w:val="Table text"/>
    <w:basedOn w:val="Normal"/>
    <w:qFormat/>
    <w:rsid w:val="009B3CA8"/>
    <w:pPr>
      <w:snapToGrid/>
      <w:spacing w:before="80" w:after="0"/>
    </w:pPr>
    <w:rPr>
      <w:rFonts w:cs="Arial"/>
      <w:color w:val="auto"/>
      <w:sz w:val="20"/>
      <w:lang w:val="en-AU"/>
    </w:rPr>
  </w:style>
  <w:style w:type="paragraph" w:customStyle="1" w:styleId="bullets1">
    <w:name w:val="bullets 1"/>
    <w:basedOn w:val="ListParagraph"/>
    <w:qFormat/>
    <w:rsid w:val="00CF4EDC"/>
    <w:pPr>
      <w:numPr>
        <w:numId w:val="12"/>
      </w:numPr>
      <w:tabs>
        <w:tab w:val="num" w:pos="643"/>
      </w:tabs>
      <w:snapToGrid/>
      <w:spacing w:after="100" w:line="240" w:lineRule="atLeast"/>
      <w:ind w:left="426" w:right="-51" w:hanging="426"/>
      <w:contextualSpacing w:val="0"/>
    </w:pPr>
    <w:rPr>
      <w:rFonts w:cs="Arial"/>
      <w:color w:val="auto"/>
      <w:sz w:val="20"/>
      <w:lang w:val="en-AU"/>
    </w:rPr>
  </w:style>
  <w:style w:type="paragraph" w:styleId="ListParagraph">
    <w:name w:val="List Paragraph"/>
    <w:basedOn w:val="Normal"/>
    <w:uiPriority w:val="34"/>
    <w:qFormat/>
    <w:rsid w:val="00CF4EDC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CF4ED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CF4ED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ullets2">
    <w:name w:val="bullets 2"/>
    <w:basedOn w:val="ListParagraph"/>
    <w:qFormat/>
    <w:rsid w:val="004000D7"/>
    <w:pPr>
      <w:snapToGrid/>
      <w:spacing w:after="100" w:line="276" w:lineRule="auto"/>
      <w:ind w:left="709" w:hanging="284"/>
      <w:contextualSpacing w:val="0"/>
    </w:pPr>
    <w:rPr>
      <w:rFonts w:cs="Arial"/>
      <w:color w:val="auto"/>
      <w:sz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griculture.vic.gov.au/pets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Custom">
      <a:dk1>
        <a:srgbClr val="535659"/>
      </a:dk1>
      <a:lt1>
        <a:srgbClr val="FFFFFF"/>
      </a:lt1>
      <a:dk2>
        <a:srgbClr val="535659"/>
      </a:dk2>
      <a:lt2>
        <a:srgbClr val="D9D9D6"/>
      </a:lt2>
      <a:accent1>
        <a:srgbClr val="E57100"/>
      </a:accent1>
      <a:accent2>
        <a:srgbClr val="F6BE00"/>
      </a:accent2>
      <a:accent3>
        <a:srgbClr val="00B7BD"/>
      </a:accent3>
      <a:accent4>
        <a:srgbClr val="88DBDF"/>
      </a:accent4>
      <a:accent5>
        <a:srgbClr val="33B990"/>
      </a:accent5>
      <a:accent6>
        <a:srgbClr val="4EBFA8"/>
      </a:accent6>
      <a:hlink>
        <a:srgbClr val="E57100"/>
      </a:hlink>
      <a:folHlink>
        <a:srgbClr val="E571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BCB2B2-BBCF-4E75-8D6F-369283ACC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Emily E Perri (DEDJTR)</cp:lastModifiedBy>
  <cp:revision>5</cp:revision>
  <dcterms:created xsi:type="dcterms:W3CDTF">2018-08-13T04:46:00Z</dcterms:created>
  <dcterms:modified xsi:type="dcterms:W3CDTF">2018-08-14T04:26:00Z</dcterms:modified>
</cp:coreProperties>
</file>