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6A83B" w14:textId="5B9141CC" w:rsidR="00AF0601" w:rsidRDefault="00060AE6" w:rsidP="00060AE6">
      <w:pPr>
        <w:rPr>
          <w:rFonts w:ascii="Arial" w:hAnsi="Arial" w:cs="Arial"/>
          <w:b/>
          <w:sz w:val="28"/>
        </w:rPr>
      </w:pPr>
      <w:r>
        <w:rPr>
          <w:rFonts w:ascii="Arial" w:hAnsi="Arial" w:cs="Arial"/>
          <w:b/>
          <w:sz w:val="28"/>
        </w:rPr>
        <w:t>Not All Bugs Need Drugs</w:t>
      </w:r>
    </w:p>
    <w:p w14:paraId="71E1091C" w14:textId="77777777" w:rsidR="009C1A9A" w:rsidRPr="009C1A9A" w:rsidRDefault="009C1A9A" w:rsidP="009C1A9A">
      <w:pPr>
        <w:rPr>
          <w:rFonts w:ascii="Arial" w:hAnsi="Arial" w:cs="Arial"/>
          <w:b/>
          <w:sz w:val="28"/>
        </w:rPr>
      </w:pPr>
      <w:r w:rsidRPr="009C1A9A">
        <w:rPr>
          <w:rFonts w:ascii="Arial" w:hAnsi="Arial" w:cs="Arial"/>
          <w:b/>
          <w:sz w:val="28"/>
        </w:rPr>
        <w:t>Antibiotic Use in Dogs and Cats</w:t>
      </w:r>
    </w:p>
    <w:p w14:paraId="61275FFF" w14:textId="77777777" w:rsidR="009C1A9A" w:rsidRDefault="009C1A9A">
      <w:pPr>
        <w:rPr>
          <w:rFonts w:ascii="Arial" w:hAnsi="Arial" w:cs="Arial"/>
        </w:rPr>
      </w:pPr>
      <w:r>
        <w:rPr>
          <w:rFonts w:ascii="Arial" w:hAnsi="Arial" w:cs="Arial"/>
        </w:rPr>
        <w:t>Stop, Think, Choose wisely</w:t>
      </w:r>
    </w:p>
    <w:p w14:paraId="3E9A97F9" w14:textId="77777777" w:rsidR="009C1A9A" w:rsidRDefault="009C1A9A">
      <w:pPr>
        <w:rPr>
          <w:rFonts w:ascii="Arial" w:hAnsi="Arial" w:cs="Arial"/>
        </w:rPr>
      </w:pPr>
      <w:r>
        <w:rPr>
          <w:rFonts w:ascii="Arial" w:hAnsi="Arial" w:cs="Arial"/>
        </w:rPr>
        <w:t>The information provided sets out the prioritisation of antibiotics for use by veterinarians as per Antibacterial Importance Ratings developed by the Australian Government with expert advice from the Australian Strategic and Technical Advisory Group (ASTAG).</w:t>
      </w:r>
    </w:p>
    <w:p w14:paraId="4BC4F93B" w14:textId="77777777" w:rsidR="00842F3A" w:rsidRPr="009C1A9A" w:rsidRDefault="00842F3A">
      <w:pPr>
        <w:rPr>
          <w:rFonts w:ascii="Arial" w:hAnsi="Arial" w:cs="Arial"/>
          <w:b/>
          <w:sz w:val="24"/>
        </w:rPr>
      </w:pPr>
      <w:r w:rsidRPr="009C1A9A">
        <w:rPr>
          <w:rFonts w:ascii="Arial" w:hAnsi="Arial" w:cs="Arial"/>
          <w:b/>
          <w:sz w:val="24"/>
        </w:rPr>
        <w:t>First line antibiotics</w:t>
      </w:r>
    </w:p>
    <w:p w14:paraId="5E9A3B1A" w14:textId="77777777" w:rsidR="00842F3A" w:rsidRDefault="00842F3A">
      <w:pPr>
        <w:rPr>
          <w:rFonts w:ascii="Arial" w:hAnsi="Arial" w:cs="Arial"/>
        </w:rPr>
      </w:pPr>
      <w:r w:rsidRPr="00842F3A">
        <w:rPr>
          <w:rFonts w:ascii="Arial" w:hAnsi="Arial" w:cs="Arial"/>
        </w:rPr>
        <w:t xml:space="preserve">Amoxycillin </w:t>
      </w:r>
    </w:p>
    <w:p w14:paraId="5DDA3926" w14:textId="77777777" w:rsidR="00842F3A" w:rsidRDefault="00842F3A">
      <w:pPr>
        <w:rPr>
          <w:rFonts w:ascii="Arial" w:hAnsi="Arial" w:cs="Arial"/>
        </w:rPr>
      </w:pPr>
      <w:r w:rsidRPr="00842F3A">
        <w:rPr>
          <w:rFonts w:ascii="Arial" w:hAnsi="Arial" w:cs="Arial"/>
        </w:rPr>
        <w:t xml:space="preserve">Ampicillin </w:t>
      </w:r>
      <w:r>
        <w:rPr>
          <w:rFonts w:ascii="Arial" w:hAnsi="Arial" w:cs="Arial"/>
        </w:rPr>
        <w:t>(</w:t>
      </w:r>
      <w:r w:rsidRPr="00842F3A">
        <w:rPr>
          <w:rFonts w:ascii="Arial" w:hAnsi="Arial" w:cs="Arial"/>
        </w:rPr>
        <w:t>An antibiotic product is not registered for use in this species, check your legal obligations before using.</w:t>
      </w:r>
      <w:r>
        <w:rPr>
          <w:rFonts w:ascii="Arial" w:hAnsi="Arial" w:cs="Arial"/>
        </w:rPr>
        <w:t>)</w:t>
      </w:r>
      <w:r w:rsidRPr="00842F3A">
        <w:rPr>
          <w:rFonts w:ascii="Arial" w:hAnsi="Arial" w:cs="Arial"/>
        </w:rPr>
        <w:t xml:space="preserve"> </w:t>
      </w:r>
    </w:p>
    <w:p w14:paraId="17CF4571" w14:textId="77777777" w:rsidR="00842F3A" w:rsidRDefault="00842F3A">
      <w:pPr>
        <w:rPr>
          <w:rFonts w:ascii="Arial" w:hAnsi="Arial" w:cs="Arial"/>
        </w:rPr>
      </w:pPr>
      <w:r w:rsidRPr="00842F3A">
        <w:rPr>
          <w:rFonts w:ascii="Arial" w:hAnsi="Arial" w:cs="Arial"/>
        </w:rPr>
        <w:t xml:space="preserve">Chloramphenicol </w:t>
      </w:r>
      <w:r>
        <w:rPr>
          <w:rFonts w:ascii="Arial" w:hAnsi="Arial" w:cs="Arial"/>
        </w:rPr>
        <w:t>(</w:t>
      </w:r>
      <w:r w:rsidRPr="00842F3A">
        <w:rPr>
          <w:rFonts w:ascii="Arial" w:hAnsi="Arial" w:cs="Arial"/>
        </w:rPr>
        <w:t>An antibiotic product is not registered for use in this species, check your legal obligations before using.</w:t>
      </w:r>
      <w:r>
        <w:rPr>
          <w:rFonts w:ascii="Arial" w:hAnsi="Arial" w:cs="Arial"/>
        </w:rPr>
        <w:t>)</w:t>
      </w:r>
    </w:p>
    <w:p w14:paraId="05A7C357" w14:textId="77777777" w:rsidR="00842F3A" w:rsidRDefault="00842F3A">
      <w:pPr>
        <w:rPr>
          <w:rFonts w:ascii="Arial" w:hAnsi="Arial" w:cs="Arial"/>
        </w:rPr>
      </w:pPr>
      <w:r w:rsidRPr="00842F3A">
        <w:rPr>
          <w:rFonts w:ascii="Arial" w:hAnsi="Arial" w:cs="Arial"/>
        </w:rPr>
        <w:t xml:space="preserve">Doxycycline </w:t>
      </w:r>
    </w:p>
    <w:p w14:paraId="0FFD986E" w14:textId="77777777" w:rsidR="00842F3A" w:rsidRDefault="00842F3A">
      <w:pPr>
        <w:rPr>
          <w:rFonts w:ascii="Arial" w:hAnsi="Arial" w:cs="Arial"/>
        </w:rPr>
      </w:pPr>
      <w:r w:rsidRPr="00842F3A">
        <w:rPr>
          <w:rFonts w:ascii="Arial" w:hAnsi="Arial" w:cs="Arial"/>
        </w:rPr>
        <w:t xml:space="preserve">Neomycin </w:t>
      </w:r>
    </w:p>
    <w:p w14:paraId="0ECD73CE" w14:textId="77777777" w:rsidR="00842F3A" w:rsidRDefault="00842F3A">
      <w:pPr>
        <w:rPr>
          <w:rFonts w:ascii="Arial" w:hAnsi="Arial" w:cs="Arial"/>
        </w:rPr>
      </w:pPr>
      <w:r w:rsidRPr="00842F3A">
        <w:rPr>
          <w:rFonts w:ascii="Arial" w:hAnsi="Arial" w:cs="Arial"/>
        </w:rPr>
        <w:t xml:space="preserve">Oxytetracycline </w:t>
      </w:r>
    </w:p>
    <w:p w14:paraId="7AE05004" w14:textId="77777777" w:rsidR="00842F3A" w:rsidRDefault="00842F3A">
      <w:pPr>
        <w:rPr>
          <w:rFonts w:ascii="Arial" w:hAnsi="Arial" w:cs="Arial"/>
        </w:rPr>
      </w:pPr>
      <w:r w:rsidRPr="00842F3A">
        <w:rPr>
          <w:rFonts w:ascii="Arial" w:hAnsi="Arial" w:cs="Arial"/>
        </w:rPr>
        <w:t xml:space="preserve">Penicillin </w:t>
      </w:r>
    </w:p>
    <w:p w14:paraId="0A6AB3C6" w14:textId="77777777" w:rsidR="00842F3A" w:rsidRDefault="00842F3A">
      <w:pPr>
        <w:rPr>
          <w:rFonts w:ascii="Arial" w:hAnsi="Arial" w:cs="Arial"/>
        </w:rPr>
      </w:pPr>
      <w:proofErr w:type="spellStart"/>
      <w:r w:rsidRPr="00842F3A">
        <w:rPr>
          <w:rFonts w:ascii="Arial" w:hAnsi="Arial" w:cs="Arial"/>
        </w:rPr>
        <w:t>Spiramycin</w:t>
      </w:r>
      <w:proofErr w:type="spellEnd"/>
      <w:r w:rsidRPr="00842F3A">
        <w:rPr>
          <w:rFonts w:ascii="Arial" w:hAnsi="Arial" w:cs="Arial"/>
        </w:rPr>
        <w:t xml:space="preserve"> </w:t>
      </w:r>
    </w:p>
    <w:p w14:paraId="3A7F7265" w14:textId="77777777" w:rsidR="00842F3A" w:rsidRDefault="00842F3A">
      <w:pPr>
        <w:rPr>
          <w:rFonts w:ascii="Arial" w:hAnsi="Arial" w:cs="Arial"/>
        </w:rPr>
      </w:pPr>
      <w:r w:rsidRPr="00842F3A">
        <w:rPr>
          <w:rFonts w:ascii="Arial" w:hAnsi="Arial" w:cs="Arial"/>
        </w:rPr>
        <w:t>Trimethoprim sulphonamides</w:t>
      </w:r>
    </w:p>
    <w:p w14:paraId="465460C3" w14:textId="77777777" w:rsidR="00842F3A" w:rsidRPr="009C1A9A" w:rsidRDefault="00842F3A">
      <w:pPr>
        <w:rPr>
          <w:rFonts w:ascii="Arial" w:hAnsi="Arial" w:cs="Arial"/>
          <w:b/>
          <w:sz w:val="24"/>
        </w:rPr>
      </w:pPr>
      <w:r w:rsidRPr="009C1A9A">
        <w:rPr>
          <w:rFonts w:ascii="Arial" w:hAnsi="Arial" w:cs="Arial"/>
          <w:b/>
          <w:sz w:val="24"/>
        </w:rPr>
        <w:t>Second line antibiotics</w:t>
      </w:r>
    </w:p>
    <w:p w14:paraId="2E10EB0A" w14:textId="77777777" w:rsidR="00842F3A" w:rsidRDefault="00842F3A" w:rsidP="00842F3A">
      <w:pPr>
        <w:rPr>
          <w:rFonts w:ascii="Arial" w:hAnsi="Arial" w:cs="Arial"/>
        </w:rPr>
      </w:pPr>
      <w:r w:rsidRPr="00842F3A">
        <w:rPr>
          <w:rFonts w:ascii="Arial" w:hAnsi="Arial" w:cs="Arial"/>
        </w:rPr>
        <w:t xml:space="preserve">Amoxycillin/clavulanate </w:t>
      </w:r>
    </w:p>
    <w:p w14:paraId="5A159C13" w14:textId="77777777" w:rsidR="00842F3A" w:rsidRDefault="00842F3A" w:rsidP="00842F3A">
      <w:pPr>
        <w:rPr>
          <w:rFonts w:ascii="Arial" w:hAnsi="Arial" w:cs="Arial"/>
        </w:rPr>
      </w:pPr>
      <w:r w:rsidRPr="00842F3A">
        <w:rPr>
          <w:rFonts w:ascii="Arial" w:hAnsi="Arial" w:cs="Arial"/>
        </w:rPr>
        <w:t xml:space="preserve">Cephalexin </w:t>
      </w:r>
    </w:p>
    <w:p w14:paraId="0A115CA6" w14:textId="77777777" w:rsidR="00842F3A" w:rsidRDefault="00842F3A" w:rsidP="00842F3A">
      <w:pPr>
        <w:rPr>
          <w:rFonts w:ascii="Arial" w:hAnsi="Arial" w:cs="Arial"/>
        </w:rPr>
      </w:pPr>
      <w:r w:rsidRPr="00842F3A">
        <w:rPr>
          <w:rFonts w:ascii="Arial" w:hAnsi="Arial" w:cs="Arial"/>
        </w:rPr>
        <w:t xml:space="preserve">Cephazolin/Cephalothin </w:t>
      </w:r>
      <w:r>
        <w:rPr>
          <w:rFonts w:ascii="Arial" w:hAnsi="Arial" w:cs="Arial"/>
        </w:rPr>
        <w:t>(</w:t>
      </w:r>
      <w:r w:rsidRPr="00842F3A">
        <w:rPr>
          <w:rFonts w:ascii="Arial" w:hAnsi="Arial" w:cs="Arial"/>
        </w:rPr>
        <w:t>An antibiotic product is not registered for use in this species, check your legal obligations before using.</w:t>
      </w:r>
      <w:r>
        <w:rPr>
          <w:rFonts w:ascii="Arial" w:hAnsi="Arial" w:cs="Arial"/>
        </w:rPr>
        <w:t>)</w:t>
      </w:r>
      <w:r w:rsidRPr="00842F3A">
        <w:rPr>
          <w:rFonts w:ascii="Arial" w:hAnsi="Arial" w:cs="Arial"/>
        </w:rPr>
        <w:t xml:space="preserve"> </w:t>
      </w:r>
    </w:p>
    <w:p w14:paraId="571BF451" w14:textId="77777777" w:rsidR="00842F3A" w:rsidRPr="00842F3A" w:rsidRDefault="00842F3A" w:rsidP="00842F3A">
      <w:pPr>
        <w:rPr>
          <w:rFonts w:ascii="Arial" w:hAnsi="Arial" w:cs="Arial"/>
        </w:rPr>
      </w:pPr>
      <w:r w:rsidRPr="00842F3A">
        <w:rPr>
          <w:rFonts w:ascii="Arial" w:hAnsi="Arial" w:cs="Arial"/>
        </w:rPr>
        <w:t>Clindamycin</w:t>
      </w:r>
    </w:p>
    <w:p w14:paraId="6678A11D" w14:textId="77777777" w:rsidR="00842F3A" w:rsidRDefault="00842F3A" w:rsidP="00842F3A">
      <w:pPr>
        <w:rPr>
          <w:rFonts w:ascii="Arial" w:hAnsi="Arial" w:cs="Arial"/>
        </w:rPr>
      </w:pPr>
      <w:r w:rsidRPr="00842F3A">
        <w:rPr>
          <w:rFonts w:ascii="Arial" w:hAnsi="Arial" w:cs="Arial"/>
        </w:rPr>
        <w:t xml:space="preserve">Gentamicin </w:t>
      </w:r>
    </w:p>
    <w:p w14:paraId="3CC9BFA2" w14:textId="77777777" w:rsidR="00842F3A" w:rsidRDefault="00842F3A" w:rsidP="00842F3A">
      <w:pPr>
        <w:rPr>
          <w:rFonts w:ascii="Arial" w:hAnsi="Arial" w:cs="Arial"/>
        </w:rPr>
      </w:pPr>
      <w:r w:rsidRPr="00842F3A">
        <w:rPr>
          <w:rFonts w:ascii="Arial" w:hAnsi="Arial" w:cs="Arial"/>
        </w:rPr>
        <w:t xml:space="preserve">Lincomycin </w:t>
      </w:r>
    </w:p>
    <w:p w14:paraId="22C98B7C" w14:textId="77777777" w:rsidR="00842F3A" w:rsidRDefault="00842F3A" w:rsidP="00842F3A">
      <w:pPr>
        <w:rPr>
          <w:rFonts w:ascii="Arial" w:hAnsi="Arial" w:cs="Arial"/>
        </w:rPr>
      </w:pPr>
      <w:r w:rsidRPr="00842F3A">
        <w:rPr>
          <w:rFonts w:ascii="Arial" w:hAnsi="Arial" w:cs="Arial"/>
        </w:rPr>
        <w:t>Metronidazole</w:t>
      </w:r>
    </w:p>
    <w:p w14:paraId="28F8E186" w14:textId="77777777" w:rsidR="00145892" w:rsidRDefault="00842F3A" w:rsidP="00842F3A">
      <w:pPr>
        <w:rPr>
          <w:rFonts w:ascii="Arial" w:hAnsi="Arial" w:cs="Arial"/>
        </w:rPr>
      </w:pPr>
      <w:r w:rsidRPr="009C1A9A">
        <w:rPr>
          <w:rFonts w:ascii="Arial" w:hAnsi="Arial" w:cs="Arial"/>
          <w:b/>
          <w:sz w:val="24"/>
        </w:rPr>
        <w:t>Third line antibiotics</w:t>
      </w:r>
      <w:r>
        <w:rPr>
          <w:rFonts w:ascii="Arial" w:hAnsi="Arial" w:cs="Arial"/>
        </w:rPr>
        <w:t xml:space="preserve"> </w:t>
      </w:r>
    </w:p>
    <w:p w14:paraId="6EF0A479" w14:textId="77777777" w:rsidR="00842F3A" w:rsidRDefault="00842F3A" w:rsidP="00842F3A">
      <w:pPr>
        <w:rPr>
          <w:rFonts w:ascii="Arial" w:hAnsi="Arial" w:cs="Arial"/>
        </w:rPr>
      </w:pPr>
      <w:r>
        <w:rPr>
          <w:rFonts w:ascii="Arial" w:hAnsi="Arial" w:cs="Arial"/>
        </w:rPr>
        <w:t>(Use only in an individual animal in exceptional circumstances, after culture and sensitivity testing, if there is no alternative)</w:t>
      </w:r>
    </w:p>
    <w:p w14:paraId="20E2AB26" w14:textId="77777777" w:rsidR="00842F3A" w:rsidRDefault="00842F3A" w:rsidP="00842F3A">
      <w:pPr>
        <w:rPr>
          <w:rFonts w:ascii="Arial" w:hAnsi="Arial" w:cs="Arial"/>
        </w:rPr>
      </w:pPr>
      <w:r>
        <w:rPr>
          <w:rFonts w:ascii="Arial" w:hAnsi="Arial" w:cs="Arial"/>
        </w:rPr>
        <w:t>A</w:t>
      </w:r>
      <w:r w:rsidRPr="00842F3A">
        <w:rPr>
          <w:rFonts w:ascii="Arial" w:hAnsi="Arial" w:cs="Arial"/>
        </w:rPr>
        <w:t xml:space="preserve">zithromycin </w:t>
      </w:r>
      <w:r>
        <w:rPr>
          <w:rFonts w:ascii="Arial" w:hAnsi="Arial" w:cs="Arial"/>
        </w:rPr>
        <w:t>(</w:t>
      </w:r>
      <w:r w:rsidRPr="00842F3A">
        <w:rPr>
          <w:rFonts w:ascii="Arial" w:hAnsi="Arial" w:cs="Arial"/>
        </w:rPr>
        <w:t>An antibiotic product is not registered for use in this species, check your legal obligations before using.</w:t>
      </w:r>
      <w:r>
        <w:rPr>
          <w:rFonts w:ascii="Arial" w:hAnsi="Arial" w:cs="Arial"/>
        </w:rPr>
        <w:t>)</w:t>
      </w:r>
    </w:p>
    <w:p w14:paraId="32CC8794" w14:textId="77777777" w:rsidR="00842F3A" w:rsidRDefault="00842F3A" w:rsidP="00842F3A">
      <w:pPr>
        <w:rPr>
          <w:rFonts w:ascii="Arial" w:hAnsi="Arial" w:cs="Arial"/>
        </w:rPr>
      </w:pPr>
      <w:r w:rsidRPr="00842F3A">
        <w:rPr>
          <w:rFonts w:ascii="Arial" w:hAnsi="Arial" w:cs="Arial"/>
        </w:rPr>
        <w:t xml:space="preserve">Ceftiofur </w:t>
      </w:r>
    </w:p>
    <w:p w14:paraId="6B7A0A23" w14:textId="77777777" w:rsidR="00842F3A" w:rsidRDefault="00842F3A" w:rsidP="00842F3A">
      <w:pPr>
        <w:rPr>
          <w:rFonts w:ascii="Arial" w:hAnsi="Arial" w:cs="Arial"/>
        </w:rPr>
      </w:pPr>
      <w:r w:rsidRPr="00842F3A">
        <w:rPr>
          <w:rFonts w:ascii="Arial" w:hAnsi="Arial" w:cs="Arial"/>
        </w:rPr>
        <w:t xml:space="preserve">Cefovecin </w:t>
      </w:r>
    </w:p>
    <w:p w14:paraId="43E3C498" w14:textId="77777777" w:rsidR="00842F3A" w:rsidRDefault="00842F3A" w:rsidP="00842F3A">
      <w:pPr>
        <w:rPr>
          <w:rFonts w:ascii="Arial" w:hAnsi="Arial" w:cs="Arial"/>
        </w:rPr>
      </w:pPr>
      <w:r w:rsidRPr="00842F3A">
        <w:rPr>
          <w:rFonts w:ascii="Arial" w:hAnsi="Arial" w:cs="Arial"/>
        </w:rPr>
        <w:lastRenderedPageBreak/>
        <w:t>Fluoroquinolones (Enrofloxacin</w:t>
      </w:r>
      <w:r>
        <w:rPr>
          <w:rFonts w:ascii="Arial" w:hAnsi="Arial" w:cs="Arial"/>
        </w:rPr>
        <w:t>,</w:t>
      </w:r>
      <w:r w:rsidRPr="00842F3A">
        <w:rPr>
          <w:rFonts w:ascii="Arial" w:hAnsi="Arial" w:cs="Arial"/>
        </w:rPr>
        <w:t xml:space="preserve"> Marbofloxacin</w:t>
      </w:r>
      <w:r>
        <w:rPr>
          <w:rFonts w:ascii="Arial" w:hAnsi="Arial" w:cs="Arial"/>
        </w:rPr>
        <w:t>,</w:t>
      </w:r>
      <w:r w:rsidRPr="00842F3A">
        <w:rPr>
          <w:rFonts w:ascii="Arial" w:hAnsi="Arial" w:cs="Arial"/>
        </w:rPr>
        <w:t xml:space="preserve"> </w:t>
      </w:r>
      <w:proofErr w:type="spellStart"/>
      <w:r w:rsidRPr="00842F3A">
        <w:rPr>
          <w:rFonts w:ascii="Arial" w:hAnsi="Arial" w:cs="Arial"/>
        </w:rPr>
        <w:t>Orbifloxacin</w:t>
      </w:r>
      <w:proofErr w:type="spellEnd"/>
      <w:r>
        <w:rPr>
          <w:rFonts w:ascii="Arial" w:hAnsi="Arial" w:cs="Arial"/>
        </w:rPr>
        <w:t>,</w:t>
      </w:r>
      <w:r w:rsidRPr="00842F3A">
        <w:rPr>
          <w:rFonts w:ascii="Arial" w:hAnsi="Arial" w:cs="Arial"/>
        </w:rPr>
        <w:t xml:space="preserve"> </w:t>
      </w:r>
      <w:proofErr w:type="spellStart"/>
      <w:r w:rsidRPr="00842F3A">
        <w:rPr>
          <w:rFonts w:ascii="Arial" w:hAnsi="Arial" w:cs="Arial"/>
        </w:rPr>
        <w:t>lbafloxacin</w:t>
      </w:r>
      <w:proofErr w:type="spellEnd"/>
      <w:r>
        <w:rPr>
          <w:rFonts w:ascii="Arial" w:hAnsi="Arial" w:cs="Arial"/>
        </w:rPr>
        <w:t>,</w:t>
      </w:r>
      <w:r w:rsidRPr="00842F3A">
        <w:rPr>
          <w:rFonts w:ascii="Arial" w:hAnsi="Arial" w:cs="Arial"/>
        </w:rPr>
        <w:t xml:space="preserve"> Pradofloxacin)</w:t>
      </w:r>
    </w:p>
    <w:p w14:paraId="13F9DA02" w14:textId="5F5150E7" w:rsidR="00842F3A" w:rsidRPr="00FB23E3" w:rsidRDefault="00842F3A" w:rsidP="00842F3A">
      <w:pPr>
        <w:rPr>
          <w:rFonts w:ascii="Arial" w:hAnsi="Arial" w:cs="Arial"/>
          <w:b/>
          <w:sz w:val="24"/>
          <w:szCs w:val="24"/>
        </w:rPr>
      </w:pPr>
      <w:r w:rsidRPr="00FB23E3">
        <w:rPr>
          <w:rFonts w:ascii="Arial" w:hAnsi="Arial" w:cs="Arial"/>
          <w:b/>
          <w:sz w:val="24"/>
          <w:szCs w:val="24"/>
        </w:rPr>
        <w:t xml:space="preserve">Highly Important Antimicrobials </w:t>
      </w:r>
      <w:r w:rsidR="00FB23E3">
        <w:rPr>
          <w:rFonts w:ascii="Arial" w:hAnsi="Arial" w:cs="Arial"/>
          <w:b/>
          <w:sz w:val="24"/>
          <w:szCs w:val="24"/>
        </w:rPr>
        <w:t>–</w:t>
      </w:r>
      <w:r w:rsidRPr="00FB23E3">
        <w:rPr>
          <w:rFonts w:ascii="Arial" w:hAnsi="Arial" w:cs="Arial"/>
          <w:b/>
          <w:sz w:val="24"/>
          <w:szCs w:val="24"/>
        </w:rPr>
        <w:t xml:space="preserve"> Avoid</w:t>
      </w:r>
      <w:r w:rsidR="00FB23E3">
        <w:rPr>
          <w:rFonts w:ascii="Arial" w:hAnsi="Arial" w:cs="Arial"/>
          <w:b/>
          <w:sz w:val="24"/>
          <w:szCs w:val="24"/>
        </w:rPr>
        <w:t>:</w:t>
      </w:r>
    </w:p>
    <w:p w14:paraId="732D2995" w14:textId="77777777" w:rsidR="00842F3A" w:rsidRDefault="00842F3A" w:rsidP="00842F3A">
      <w:pPr>
        <w:rPr>
          <w:rFonts w:ascii="Arial" w:hAnsi="Arial" w:cs="Arial"/>
        </w:rPr>
      </w:pPr>
      <w:r w:rsidRPr="00842F3A">
        <w:rPr>
          <w:rFonts w:ascii="Arial" w:hAnsi="Arial" w:cs="Arial"/>
        </w:rPr>
        <w:t>Amikacin</w:t>
      </w:r>
    </w:p>
    <w:p w14:paraId="26A13570" w14:textId="77777777" w:rsidR="00842F3A" w:rsidRDefault="00842F3A" w:rsidP="00842F3A">
      <w:pPr>
        <w:rPr>
          <w:rFonts w:ascii="Arial" w:hAnsi="Arial" w:cs="Arial"/>
        </w:rPr>
      </w:pPr>
      <w:r w:rsidRPr="00842F3A">
        <w:rPr>
          <w:rFonts w:ascii="Arial" w:hAnsi="Arial" w:cs="Arial"/>
        </w:rPr>
        <w:t>Aztreonam</w:t>
      </w:r>
    </w:p>
    <w:p w14:paraId="118BCA5B" w14:textId="77777777" w:rsidR="00842F3A" w:rsidRDefault="00842F3A" w:rsidP="00842F3A">
      <w:pPr>
        <w:rPr>
          <w:rFonts w:ascii="Arial" w:hAnsi="Arial" w:cs="Arial"/>
        </w:rPr>
      </w:pPr>
      <w:r w:rsidRPr="00842F3A">
        <w:rPr>
          <w:rFonts w:ascii="Arial" w:hAnsi="Arial" w:cs="Arial"/>
        </w:rPr>
        <w:t>Ceftriaxone</w:t>
      </w:r>
    </w:p>
    <w:p w14:paraId="3ADEAF2B" w14:textId="77777777" w:rsidR="00842F3A" w:rsidRDefault="00842F3A" w:rsidP="00842F3A">
      <w:pPr>
        <w:rPr>
          <w:rFonts w:ascii="Arial" w:hAnsi="Arial" w:cs="Arial"/>
        </w:rPr>
      </w:pPr>
      <w:r w:rsidRPr="00842F3A">
        <w:rPr>
          <w:rFonts w:ascii="Arial" w:hAnsi="Arial" w:cs="Arial"/>
        </w:rPr>
        <w:t>Cefotaxime</w:t>
      </w:r>
    </w:p>
    <w:p w14:paraId="0BF2E19C" w14:textId="77777777" w:rsidR="00842F3A" w:rsidRDefault="00842F3A" w:rsidP="00842F3A">
      <w:pPr>
        <w:rPr>
          <w:rFonts w:ascii="Arial" w:hAnsi="Arial" w:cs="Arial"/>
        </w:rPr>
      </w:pPr>
      <w:r w:rsidRPr="00842F3A">
        <w:rPr>
          <w:rFonts w:ascii="Arial" w:hAnsi="Arial" w:cs="Arial"/>
        </w:rPr>
        <w:t>Linezolid</w:t>
      </w:r>
    </w:p>
    <w:p w14:paraId="7FC5E11B" w14:textId="77777777" w:rsidR="00842F3A" w:rsidRPr="00842F3A" w:rsidRDefault="00842F3A" w:rsidP="00842F3A">
      <w:pPr>
        <w:rPr>
          <w:rFonts w:ascii="Arial" w:hAnsi="Arial" w:cs="Arial"/>
        </w:rPr>
      </w:pPr>
      <w:r w:rsidRPr="00842F3A">
        <w:rPr>
          <w:rFonts w:ascii="Arial" w:hAnsi="Arial" w:cs="Arial"/>
        </w:rPr>
        <w:t>Meropenem</w:t>
      </w:r>
    </w:p>
    <w:p w14:paraId="6559B4EE" w14:textId="77777777" w:rsidR="00842F3A" w:rsidRDefault="00842F3A" w:rsidP="00842F3A">
      <w:pPr>
        <w:rPr>
          <w:rFonts w:ascii="Arial" w:hAnsi="Arial" w:cs="Arial"/>
        </w:rPr>
      </w:pPr>
      <w:r w:rsidRPr="00842F3A">
        <w:rPr>
          <w:rFonts w:ascii="Arial" w:hAnsi="Arial" w:cs="Arial"/>
        </w:rPr>
        <w:t xml:space="preserve">Piperacillin/tazobactam </w:t>
      </w:r>
    </w:p>
    <w:p w14:paraId="3D7EEC7F" w14:textId="77777777" w:rsidR="00842F3A" w:rsidRPr="00842F3A" w:rsidRDefault="00842F3A" w:rsidP="00842F3A">
      <w:pPr>
        <w:rPr>
          <w:rFonts w:ascii="Arial" w:hAnsi="Arial" w:cs="Arial"/>
        </w:rPr>
      </w:pPr>
      <w:r w:rsidRPr="00842F3A">
        <w:rPr>
          <w:rFonts w:ascii="Arial" w:hAnsi="Arial" w:cs="Arial"/>
        </w:rPr>
        <w:t>Rifampicin</w:t>
      </w:r>
    </w:p>
    <w:p w14:paraId="49439C67" w14:textId="77777777" w:rsidR="00842F3A" w:rsidRPr="00842F3A" w:rsidRDefault="00842F3A" w:rsidP="00842F3A">
      <w:pPr>
        <w:rPr>
          <w:rFonts w:ascii="Arial" w:hAnsi="Arial" w:cs="Arial"/>
        </w:rPr>
      </w:pPr>
      <w:r w:rsidRPr="00842F3A">
        <w:rPr>
          <w:rFonts w:ascii="Arial" w:hAnsi="Arial" w:cs="Arial"/>
        </w:rPr>
        <w:t>Teicoplanin</w:t>
      </w:r>
    </w:p>
    <w:p w14:paraId="41D3F435" w14:textId="77777777" w:rsidR="00842F3A" w:rsidRDefault="00842F3A" w:rsidP="00842F3A">
      <w:pPr>
        <w:rPr>
          <w:rFonts w:ascii="Arial" w:hAnsi="Arial" w:cs="Arial"/>
        </w:rPr>
      </w:pPr>
      <w:r w:rsidRPr="00842F3A">
        <w:rPr>
          <w:rFonts w:ascii="Arial" w:hAnsi="Arial" w:cs="Arial"/>
        </w:rPr>
        <w:t xml:space="preserve">Ticarcillin-clavulanate </w:t>
      </w:r>
    </w:p>
    <w:p w14:paraId="7B4C7875" w14:textId="77777777" w:rsidR="00842F3A" w:rsidRDefault="00842F3A" w:rsidP="00842F3A">
      <w:pPr>
        <w:rPr>
          <w:rFonts w:ascii="Arial" w:hAnsi="Arial" w:cs="Arial"/>
        </w:rPr>
      </w:pPr>
      <w:r w:rsidRPr="00842F3A">
        <w:rPr>
          <w:rFonts w:ascii="Arial" w:hAnsi="Arial" w:cs="Arial"/>
        </w:rPr>
        <w:t>Tigecycline</w:t>
      </w:r>
    </w:p>
    <w:p w14:paraId="3FB60D3A" w14:textId="77777777" w:rsidR="00842F3A" w:rsidRPr="00145892" w:rsidRDefault="00842F3A" w:rsidP="00842F3A">
      <w:pPr>
        <w:rPr>
          <w:rFonts w:ascii="Arial" w:hAnsi="Arial" w:cs="Arial"/>
          <w:b/>
          <w:sz w:val="24"/>
        </w:rPr>
      </w:pPr>
      <w:r w:rsidRPr="00145892">
        <w:rPr>
          <w:rFonts w:ascii="Arial" w:hAnsi="Arial" w:cs="Arial"/>
          <w:b/>
          <w:sz w:val="24"/>
        </w:rPr>
        <w:t>Play your part in preventing antibiotic resistant infections</w:t>
      </w:r>
    </w:p>
    <w:p w14:paraId="46263320" w14:textId="3FAF5D13" w:rsidR="00842F3A" w:rsidRDefault="00842F3A" w:rsidP="00842F3A">
      <w:pPr>
        <w:rPr>
          <w:rFonts w:ascii="Arial" w:hAnsi="Arial" w:cs="Arial"/>
        </w:rPr>
      </w:pPr>
      <w:r>
        <w:rPr>
          <w:rFonts w:ascii="Arial" w:hAnsi="Arial" w:cs="Arial"/>
        </w:rPr>
        <w:t>For more information visit</w:t>
      </w:r>
      <w:r w:rsidR="002630A2">
        <w:rPr>
          <w:rFonts w:ascii="Arial" w:hAnsi="Arial" w:cs="Arial"/>
        </w:rPr>
        <w:t xml:space="preserve"> – agriculture.vic.gov.au/</w:t>
      </w:r>
      <w:proofErr w:type="spellStart"/>
      <w:r w:rsidR="002630A2">
        <w:rPr>
          <w:rFonts w:ascii="Arial" w:hAnsi="Arial" w:cs="Arial"/>
        </w:rPr>
        <w:t>amr</w:t>
      </w:r>
      <w:proofErr w:type="spellEnd"/>
    </w:p>
    <w:p w14:paraId="45926D0E" w14:textId="32768A93" w:rsidR="000F7AE7" w:rsidRDefault="000F7AE7" w:rsidP="00842F3A">
      <w:pPr>
        <w:rPr>
          <w:rFonts w:ascii="Arial" w:hAnsi="Arial" w:cs="Arial"/>
        </w:rPr>
      </w:pPr>
      <w:bookmarkStart w:id="0" w:name="_GoBack"/>
      <w:r>
        <w:rPr>
          <w:rFonts w:ascii="Arial" w:hAnsi="Arial" w:cs="Arial"/>
          <w:b/>
        </w:rPr>
        <w:t xml:space="preserve">Agriculture Victoria </w:t>
      </w:r>
      <w:r>
        <w:rPr>
          <w:rFonts w:ascii="Arial" w:hAnsi="Arial" w:cs="Arial"/>
          <w:b/>
        </w:rPr>
        <w:t>logo</w:t>
      </w:r>
    </w:p>
    <w:bookmarkEnd w:id="0"/>
    <w:p w14:paraId="42843049" w14:textId="77777777" w:rsidR="002630A2" w:rsidRDefault="00C414CA" w:rsidP="00842F3A">
      <w:pPr>
        <w:rPr>
          <w:rFonts w:ascii="Arial" w:hAnsi="Arial" w:cs="Arial"/>
        </w:rPr>
      </w:pPr>
      <w:r>
        <w:rPr>
          <w:rFonts w:ascii="Arial" w:hAnsi="Arial" w:cs="Arial"/>
        </w:rPr>
        <w:t xml:space="preserve">Developed and designed by </w:t>
      </w:r>
      <w:r w:rsidR="002630A2">
        <w:rPr>
          <w:rFonts w:ascii="Arial" w:hAnsi="Arial" w:cs="Arial"/>
        </w:rPr>
        <w:t>Agriculture Victoria</w:t>
      </w:r>
      <w:r>
        <w:rPr>
          <w:rFonts w:ascii="Arial" w:hAnsi="Arial" w:cs="Arial"/>
        </w:rPr>
        <w:t>, the University of Melbourne</w:t>
      </w:r>
      <w:r w:rsidR="009C1A9A">
        <w:rPr>
          <w:rFonts w:ascii="Arial" w:hAnsi="Arial" w:cs="Arial"/>
        </w:rPr>
        <w:t>, the Asia-Pacific Centre for Animal Health and the National Centre for Antimicrobial Stewardship.</w:t>
      </w:r>
    </w:p>
    <w:p w14:paraId="643D3C4E" w14:textId="77777777" w:rsidR="009C1A9A" w:rsidRPr="00842F3A" w:rsidRDefault="009C1A9A" w:rsidP="00842F3A">
      <w:pPr>
        <w:rPr>
          <w:rFonts w:ascii="Arial" w:hAnsi="Arial" w:cs="Arial"/>
        </w:rPr>
      </w:pPr>
      <w:r>
        <w:rPr>
          <w:rFonts w:ascii="Arial" w:hAnsi="Arial" w:cs="Arial"/>
          <w:noProof/>
        </w:rPr>
        <w:drawing>
          <wp:inline distT="0" distB="0" distL="0" distR="0" wp14:anchorId="1C3F69BC" wp14:editId="1068D9FD">
            <wp:extent cx="4676775" cy="33105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8127" cy="3311512"/>
                    </a:xfrm>
                    <a:prstGeom prst="rect">
                      <a:avLst/>
                    </a:prstGeom>
                    <a:noFill/>
                    <a:ln>
                      <a:noFill/>
                    </a:ln>
                  </pic:spPr>
                </pic:pic>
              </a:graphicData>
            </a:graphic>
          </wp:inline>
        </w:drawing>
      </w:r>
    </w:p>
    <w:sectPr w:rsidR="009C1A9A" w:rsidRPr="00842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3A"/>
    <w:rsid w:val="00060AE6"/>
    <w:rsid w:val="000F7AE7"/>
    <w:rsid w:val="00145892"/>
    <w:rsid w:val="002630A2"/>
    <w:rsid w:val="00357E89"/>
    <w:rsid w:val="00842F3A"/>
    <w:rsid w:val="009C1A9A"/>
    <w:rsid w:val="00AF0601"/>
    <w:rsid w:val="00C414CA"/>
    <w:rsid w:val="00D57530"/>
    <w:rsid w:val="00FB23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6095"/>
  <w15:chartTrackingRefBased/>
  <w15:docId w15:val="{7C1F6995-7E9E-4E3B-A394-CA9ED62A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23" ma:contentTypeDescription="DEDJTR Document" ma:contentTypeScope="" ma:versionID="faa852885d535f84ad2d30dc96510d0a">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3c3e9c658ee4c849f2da3cfb13782a43"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A25F2-02AE-4A75-A7EC-6DF16F5C9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50466-4492-4D3A-AAF1-E1A60846C2CE}">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5902db6-7585-4480-9b6d-f0bd68391f49"/>
    <ds:schemaRef ds:uri="b3cc5fa8-9929-4f74-b449-d7a5840b4704"/>
    <ds:schemaRef ds:uri="http://www.w3.org/XML/1998/namespace"/>
    <ds:schemaRef ds:uri="http://purl.org/dc/dcmitype/"/>
  </ds:schemaRefs>
</ds:datastoreItem>
</file>

<file path=customXml/itemProps3.xml><?xml version="1.0" encoding="utf-8"?>
<ds:datastoreItem xmlns:ds="http://schemas.openxmlformats.org/officeDocument/2006/customXml" ds:itemID="{AAFEB78F-C865-41ED-94D5-F30C7CE3CD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McLaren (DEDJTR)</dc:creator>
  <cp:keywords/>
  <dc:description/>
  <cp:lastModifiedBy>Darragh Kelly (DEDJTR)</cp:lastModifiedBy>
  <cp:revision>6</cp:revision>
  <dcterms:created xsi:type="dcterms:W3CDTF">2019-07-09T22:23:00Z</dcterms:created>
  <dcterms:modified xsi:type="dcterms:W3CDTF">2019-07-16T05:08:00Z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0x010100611F6414DFB111E7BA88F9DF1743E317005718E9BC78A69E40B372A0E51C09C73D</vt:lpwstr>
  </property>
  <property fmtid="{D5CDD505-2E9C-101B-9397-08002B2CF9AE}" pid="3" name="DEDJTRDivision">
    <vt:lpwstr>2;#Agriculture Victoria|aa595c92-527f-46eb-8130-f23c3634d9e6</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ies>
</file>