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8733A" w14:textId="77777777" w:rsidR="00AE6817" w:rsidRDefault="009C1A9A" w:rsidP="00AE6817">
      <w:pPr>
        <w:rPr>
          <w:rFonts w:ascii="Arial" w:hAnsi="Arial" w:cs="Arial"/>
        </w:rPr>
      </w:pPr>
      <w:r w:rsidRPr="009C1A9A">
        <w:rPr>
          <w:rFonts w:ascii="Arial" w:hAnsi="Arial" w:cs="Arial"/>
          <w:b/>
          <w:sz w:val="28"/>
        </w:rPr>
        <w:t xml:space="preserve">Antibiotic Use in </w:t>
      </w:r>
      <w:r w:rsidR="00C23B21">
        <w:rPr>
          <w:rFonts w:ascii="Arial" w:hAnsi="Arial" w:cs="Arial"/>
          <w:b/>
          <w:sz w:val="28"/>
        </w:rPr>
        <w:t>Horses</w:t>
      </w:r>
      <w:r w:rsidR="00AE6817">
        <w:rPr>
          <w:rFonts w:ascii="Arial" w:hAnsi="Arial" w:cs="Arial"/>
          <w:b/>
          <w:sz w:val="28"/>
        </w:rPr>
        <w:t xml:space="preserve">: </w:t>
      </w:r>
      <w:r w:rsidR="00AE6817">
        <w:rPr>
          <w:rFonts w:ascii="Arial" w:hAnsi="Arial" w:cs="Arial"/>
        </w:rPr>
        <w:t>Stop, Think, Choose wisely</w:t>
      </w:r>
    </w:p>
    <w:p w14:paraId="5C837D00" w14:textId="1F1A5E07" w:rsidR="00BF3014" w:rsidRPr="00BF3014" w:rsidRDefault="00AE6817" w:rsidP="009C1A9A">
      <w:pPr>
        <w:rPr>
          <w:rFonts w:ascii="Arial" w:hAnsi="Arial" w:cs="Arial"/>
          <w:bCs/>
          <w:sz w:val="24"/>
          <w:szCs w:val="24"/>
        </w:rPr>
      </w:pPr>
      <w:r>
        <w:rPr>
          <w:noProof/>
        </w:rPr>
        <w:drawing>
          <wp:inline distT="0" distB="0" distL="0" distR="0" wp14:anchorId="5A8511A9" wp14:editId="36D7339A">
            <wp:extent cx="5731510" cy="399923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999230"/>
                    </a:xfrm>
                    <a:prstGeom prst="rect">
                      <a:avLst/>
                    </a:prstGeom>
                  </pic:spPr>
                </pic:pic>
              </a:graphicData>
            </a:graphic>
          </wp:inline>
        </w:drawing>
      </w:r>
    </w:p>
    <w:p w14:paraId="71FDA1F6" w14:textId="77777777" w:rsidR="00AE6817" w:rsidRDefault="00AE6817">
      <w:pPr>
        <w:rPr>
          <w:rFonts w:ascii="Arial" w:hAnsi="Arial" w:cs="Arial"/>
        </w:rPr>
      </w:pPr>
    </w:p>
    <w:p w14:paraId="3E9A97F9" w14:textId="1082A472" w:rsidR="009C1A9A" w:rsidRDefault="009C1A9A">
      <w:pPr>
        <w:rPr>
          <w:rFonts w:ascii="Arial" w:hAnsi="Arial" w:cs="Arial"/>
        </w:rPr>
      </w:pPr>
      <w:r>
        <w:rPr>
          <w:rFonts w:ascii="Arial" w:hAnsi="Arial" w:cs="Arial"/>
        </w:rPr>
        <w:t>The information provided sets out the prioritisation of antibiotics for use by veterinarians as per Antibacterial Importance Ratings developed by the Australian Government with expert advice from the Australian Strategic and Technical Advisory Group (ASTAG).</w:t>
      </w:r>
      <w:r w:rsidR="00AE6817">
        <w:rPr>
          <w:rFonts w:ascii="Arial" w:hAnsi="Arial" w:cs="Arial"/>
        </w:rPr>
        <w:t xml:space="preserve"> </w:t>
      </w:r>
      <w:r w:rsidR="00AE6817">
        <w:rPr>
          <w:rFonts w:ascii="Arial" w:hAnsi="Arial" w:cs="Arial"/>
        </w:rPr>
        <w:t>The antibiotics are displayed in circles corresponding to the colours of a traffic light; green, orange and red.</w:t>
      </w:r>
    </w:p>
    <w:p w14:paraId="4BC4F93B" w14:textId="0C93EF92" w:rsidR="00842F3A" w:rsidRPr="009C1A9A" w:rsidRDefault="00CF3E4A">
      <w:pPr>
        <w:rPr>
          <w:rFonts w:ascii="Arial" w:hAnsi="Arial" w:cs="Arial"/>
          <w:b/>
          <w:sz w:val="24"/>
        </w:rPr>
      </w:pPr>
      <w:r>
        <w:rPr>
          <w:rFonts w:ascii="Arial" w:hAnsi="Arial" w:cs="Arial"/>
          <w:b/>
          <w:sz w:val="24"/>
        </w:rPr>
        <w:t>LOW IMPORTANCE</w:t>
      </w:r>
      <w:r w:rsidR="00AE6817">
        <w:rPr>
          <w:rFonts w:ascii="Arial" w:hAnsi="Arial" w:cs="Arial"/>
          <w:b/>
          <w:sz w:val="24"/>
        </w:rPr>
        <w:t xml:space="preserve"> (in a green circle)</w:t>
      </w:r>
    </w:p>
    <w:p w14:paraId="18C12E61" w14:textId="16CB2B02" w:rsidR="00595BEC" w:rsidRDefault="00C23B21">
      <w:pPr>
        <w:rPr>
          <w:rFonts w:ascii="Arial" w:hAnsi="Arial" w:cs="Arial"/>
        </w:rPr>
      </w:pPr>
      <w:r>
        <w:rPr>
          <w:rFonts w:ascii="Arial" w:hAnsi="Arial" w:cs="Arial"/>
        </w:rPr>
        <w:t>Ampicillin (An antibiotic product is not registered for use in this species, check your legal obligations before using)</w:t>
      </w:r>
    </w:p>
    <w:p w14:paraId="6C6D4D4C" w14:textId="77777777" w:rsidR="006943A0" w:rsidRDefault="006943A0" w:rsidP="006943A0">
      <w:pPr>
        <w:rPr>
          <w:rFonts w:ascii="Arial" w:hAnsi="Arial" w:cs="Arial"/>
        </w:rPr>
      </w:pPr>
      <w:r>
        <w:rPr>
          <w:rFonts w:ascii="Arial" w:hAnsi="Arial" w:cs="Arial"/>
        </w:rPr>
        <w:t>Doxycycline (An antibiotic product is not registered for use in this species, check your legal obligations before using)</w:t>
      </w:r>
    </w:p>
    <w:p w14:paraId="0B3D96D0" w14:textId="3B07C6BA" w:rsidR="006943A0" w:rsidRDefault="006943A0">
      <w:pPr>
        <w:rPr>
          <w:rFonts w:ascii="Arial" w:hAnsi="Arial" w:cs="Arial"/>
        </w:rPr>
      </w:pPr>
      <w:r>
        <w:rPr>
          <w:rFonts w:ascii="Arial" w:hAnsi="Arial" w:cs="Arial"/>
        </w:rPr>
        <w:t>Oxytetracycline</w:t>
      </w:r>
    </w:p>
    <w:p w14:paraId="345FAE61" w14:textId="29C40B09" w:rsidR="006943A0" w:rsidRDefault="006943A0">
      <w:pPr>
        <w:rPr>
          <w:rFonts w:ascii="Arial" w:hAnsi="Arial" w:cs="Arial"/>
        </w:rPr>
      </w:pPr>
      <w:r>
        <w:rPr>
          <w:rFonts w:ascii="Arial" w:hAnsi="Arial" w:cs="Arial"/>
        </w:rPr>
        <w:t>Penicillin</w:t>
      </w:r>
    </w:p>
    <w:p w14:paraId="60E81735" w14:textId="0C37ADAE" w:rsidR="006943A0" w:rsidRDefault="006943A0">
      <w:pPr>
        <w:rPr>
          <w:rFonts w:ascii="Arial" w:hAnsi="Arial" w:cs="Arial"/>
        </w:rPr>
      </w:pPr>
      <w:r>
        <w:rPr>
          <w:rFonts w:ascii="Arial" w:hAnsi="Arial" w:cs="Arial"/>
        </w:rPr>
        <w:t>Neomycin</w:t>
      </w:r>
    </w:p>
    <w:p w14:paraId="15255143" w14:textId="77777777" w:rsidR="006943A0" w:rsidRDefault="006943A0" w:rsidP="006943A0">
      <w:pPr>
        <w:rPr>
          <w:rFonts w:ascii="Arial" w:hAnsi="Arial" w:cs="Arial"/>
        </w:rPr>
      </w:pPr>
      <w:r>
        <w:rPr>
          <w:rFonts w:ascii="Arial" w:hAnsi="Arial" w:cs="Arial"/>
        </w:rPr>
        <w:t>Trimethoprim sulphonamides</w:t>
      </w:r>
    </w:p>
    <w:p w14:paraId="465460C3" w14:textId="1592E0DA" w:rsidR="00842F3A" w:rsidRPr="009C1A9A" w:rsidRDefault="00CF3E4A">
      <w:pPr>
        <w:rPr>
          <w:rFonts w:ascii="Arial" w:hAnsi="Arial" w:cs="Arial"/>
          <w:b/>
          <w:sz w:val="24"/>
        </w:rPr>
      </w:pPr>
      <w:r>
        <w:rPr>
          <w:rFonts w:ascii="Arial" w:hAnsi="Arial" w:cs="Arial"/>
          <w:b/>
          <w:sz w:val="24"/>
        </w:rPr>
        <w:t>MEDIUM IMPORTANCE</w:t>
      </w:r>
      <w:r w:rsidR="00AE6817">
        <w:rPr>
          <w:rFonts w:ascii="Arial" w:hAnsi="Arial" w:cs="Arial"/>
          <w:b/>
          <w:sz w:val="24"/>
        </w:rPr>
        <w:t xml:space="preserve"> (in an orange circle)</w:t>
      </w:r>
    </w:p>
    <w:p w14:paraId="498049A8" w14:textId="2CBB3D10" w:rsidR="007607F6" w:rsidRDefault="006943A0" w:rsidP="007607F6">
      <w:pPr>
        <w:rPr>
          <w:rFonts w:ascii="Arial" w:hAnsi="Arial" w:cs="Arial"/>
        </w:rPr>
      </w:pPr>
      <w:r>
        <w:rPr>
          <w:rFonts w:ascii="Arial" w:hAnsi="Arial" w:cs="Arial"/>
        </w:rPr>
        <w:t>Gentamycin (Prohibited if food chain is a possible des</w:t>
      </w:r>
      <w:r w:rsidR="00177A0B">
        <w:rPr>
          <w:rFonts w:ascii="Arial" w:hAnsi="Arial" w:cs="Arial"/>
        </w:rPr>
        <w:t>t</w:t>
      </w:r>
      <w:r>
        <w:rPr>
          <w:rFonts w:ascii="Arial" w:hAnsi="Arial" w:cs="Arial"/>
        </w:rPr>
        <w:t>ination)</w:t>
      </w:r>
    </w:p>
    <w:p w14:paraId="6F30743A" w14:textId="2622619C" w:rsidR="007607F6" w:rsidRDefault="00177A0B" w:rsidP="007607F6">
      <w:pPr>
        <w:rPr>
          <w:rFonts w:ascii="Arial" w:hAnsi="Arial" w:cs="Arial"/>
        </w:rPr>
      </w:pPr>
      <w:r>
        <w:rPr>
          <w:rFonts w:ascii="Arial" w:hAnsi="Arial" w:cs="Arial"/>
        </w:rPr>
        <w:t>Metronidazole (Prohibited if food chain is a possible destination)</w:t>
      </w:r>
    </w:p>
    <w:p w14:paraId="28F8E186" w14:textId="140B16FC" w:rsidR="00145892" w:rsidRDefault="00183F48" w:rsidP="00842F3A">
      <w:pPr>
        <w:rPr>
          <w:rFonts w:ascii="Arial" w:hAnsi="Arial" w:cs="Arial"/>
        </w:rPr>
      </w:pPr>
      <w:r>
        <w:rPr>
          <w:rFonts w:ascii="Arial" w:hAnsi="Arial" w:cs="Arial"/>
          <w:b/>
          <w:sz w:val="24"/>
        </w:rPr>
        <w:t>HIGH IMPORTANCE</w:t>
      </w:r>
      <w:r w:rsidR="00AE6817">
        <w:rPr>
          <w:rFonts w:ascii="Arial" w:hAnsi="Arial" w:cs="Arial"/>
          <w:b/>
          <w:sz w:val="24"/>
        </w:rPr>
        <w:t xml:space="preserve"> (in a red circle)</w:t>
      </w:r>
    </w:p>
    <w:p w14:paraId="6EF0A479" w14:textId="49640DC1" w:rsidR="00842F3A" w:rsidRDefault="00127EC7" w:rsidP="00842F3A">
      <w:pPr>
        <w:rPr>
          <w:rFonts w:ascii="Arial" w:hAnsi="Arial" w:cs="Arial"/>
        </w:rPr>
      </w:pPr>
      <w:r>
        <w:rPr>
          <w:rFonts w:ascii="Arial" w:hAnsi="Arial" w:cs="Arial"/>
        </w:rPr>
        <w:lastRenderedPageBreak/>
        <w:t xml:space="preserve">Ceftiofur </w:t>
      </w:r>
      <w:r w:rsidR="00842F3A">
        <w:rPr>
          <w:rFonts w:ascii="Arial" w:hAnsi="Arial" w:cs="Arial"/>
        </w:rPr>
        <w:t>(Use only in an individual animal in exceptional circumstances, after culture and sensitivity testing, if there is no alternative)</w:t>
      </w:r>
    </w:p>
    <w:p w14:paraId="1E708CAB" w14:textId="62535D2C" w:rsidR="003A3BD7" w:rsidRDefault="003A3BD7" w:rsidP="00842F3A">
      <w:pPr>
        <w:rPr>
          <w:rFonts w:ascii="Arial" w:hAnsi="Arial" w:cs="Arial"/>
        </w:rPr>
      </w:pPr>
      <w:r>
        <w:rPr>
          <w:rFonts w:ascii="Arial" w:hAnsi="Arial" w:cs="Arial"/>
        </w:rPr>
        <w:t>Enrofloxacin (An antibiotic product is not registered for use in this species, check your legal obligations before using. Prohibited if food chain is a possible destination. If no alternative, PREVENTION FIRST, treatment as a last resort.)</w:t>
      </w:r>
    </w:p>
    <w:p w14:paraId="7B4C7875" w14:textId="7C53D20E" w:rsidR="00842F3A" w:rsidRDefault="00127EC7" w:rsidP="00842F3A">
      <w:pPr>
        <w:rPr>
          <w:rFonts w:ascii="Arial" w:hAnsi="Arial" w:cs="Arial"/>
        </w:rPr>
      </w:pPr>
      <w:r>
        <w:rPr>
          <w:rFonts w:ascii="Arial" w:hAnsi="Arial" w:cs="Arial"/>
        </w:rPr>
        <w:t>Virginiamycin (</w:t>
      </w:r>
      <w:r w:rsidR="003A3BD7">
        <w:rPr>
          <w:rFonts w:ascii="Arial" w:hAnsi="Arial" w:cs="Arial"/>
        </w:rPr>
        <w:t xml:space="preserve">Prohibited if food chain is a possible destination. </w:t>
      </w:r>
      <w:r>
        <w:rPr>
          <w:rFonts w:ascii="Arial" w:hAnsi="Arial" w:cs="Arial"/>
        </w:rPr>
        <w:t>If no alternative, PREVENTION FIRST, treatment as a last resort</w:t>
      </w:r>
      <w:r w:rsidR="00D11287">
        <w:rPr>
          <w:rFonts w:ascii="Arial" w:hAnsi="Arial" w:cs="Arial"/>
        </w:rPr>
        <w:t>.</w:t>
      </w:r>
      <w:r>
        <w:rPr>
          <w:rFonts w:ascii="Arial" w:hAnsi="Arial" w:cs="Arial"/>
        </w:rPr>
        <w:t>)</w:t>
      </w:r>
    </w:p>
    <w:p w14:paraId="232B5C32" w14:textId="6A1287A5" w:rsidR="006D7648" w:rsidRPr="00321238" w:rsidRDefault="006D7648" w:rsidP="00842F3A">
      <w:pPr>
        <w:rPr>
          <w:rFonts w:ascii="Arial" w:hAnsi="Arial" w:cs="Arial"/>
        </w:rPr>
      </w:pPr>
      <w:r>
        <w:rPr>
          <w:rFonts w:ascii="Arial" w:hAnsi="Arial" w:cs="Arial"/>
        </w:rPr>
        <w:t>Clarithromycin or Azithromycin PLUS</w:t>
      </w:r>
      <w:r w:rsidR="00165F21">
        <w:rPr>
          <w:rFonts w:ascii="Arial" w:hAnsi="Arial" w:cs="Arial"/>
        </w:rPr>
        <w:t xml:space="preserve"> Rifam</w:t>
      </w:r>
      <w:r w:rsidR="006F79F9">
        <w:rPr>
          <w:rFonts w:ascii="Arial" w:hAnsi="Arial" w:cs="Arial"/>
        </w:rPr>
        <w:t xml:space="preserve">picin (ONLY use Rifampicin and macrolides </w:t>
      </w:r>
      <w:r w:rsidR="00321238">
        <w:rPr>
          <w:rFonts w:ascii="Arial" w:hAnsi="Arial" w:cs="Arial"/>
        </w:rPr>
        <w:t xml:space="preserve">in combination as described for </w:t>
      </w:r>
      <w:proofErr w:type="spellStart"/>
      <w:r w:rsidR="00321238">
        <w:rPr>
          <w:rFonts w:ascii="Arial" w:hAnsi="Arial" w:cs="Arial"/>
          <w:i/>
        </w:rPr>
        <w:t>R.equi</w:t>
      </w:r>
      <w:proofErr w:type="spellEnd"/>
      <w:r w:rsidR="00321238">
        <w:rPr>
          <w:rFonts w:ascii="Arial" w:hAnsi="Arial" w:cs="Arial"/>
        </w:rPr>
        <w:t>)</w:t>
      </w:r>
    </w:p>
    <w:p w14:paraId="5BEB889A" w14:textId="69845BA9" w:rsidR="00D11287" w:rsidRPr="00B91F10" w:rsidRDefault="00183F48" w:rsidP="00842F3A">
      <w:pPr>
        <w:rPr>
          <w:rFonts w:ascii="Arial" w:hAnsi="Arial" w:cs="Arial"/>
          <w:b/>
          <w:sz w:val="24"/>
          <w:szCs w:val="24"/>
        </w:rPr>
      </w:pPr>
      <w:r>
        <w:rPr>
          <w:rFonts w:ascii="Arial" w:hAnsi="Arial" w:cs="Arial"/>
          <w:b/>
          <w:sz w:val="24"/>
          <w:szCs w:val="24"/>
        </w:rPr>
        <w:t>HIGHLY IMPORTANT ANTIMICROBIALS - AVOID</w:t>
      </w:r>
      <w:r w:rsidR="00321238">
        <w:rPr>
          <w:rFonts w:ascii="Arial" w:hAnsi="Arial" w:cs="Arial"/>
          <w:b/>
          <w:sz w:val="24"/>
          <w:szCs w:val="24"/>
        </w:rPr>
        <w:t>:</w:t>
      </w:r>
    </w:p>
    <w:p w14:paraId="2A4F51ED" w14:textId="45E843A2" w:rsidR="00B91F10" w:rsidRDefault="00321238" w:rsidP="00B91F10">
      <w:pPr>
        <w:rPr>
          <w:rFonts w:ascii="Arial" w:hAnsi="Arial" w:cs="Arial"/>
        </w:rPr>
      </w:pPr>
      <w:r>
        <w:rPr>
          <w:rFonts w:ascii="Arial" w:hAnsi="Arial" w:cs="Arial"/>
        </w:rPr>
        <w:t>Amikacin</w:t>
      </w:r>
    </w:p>
    <w:p w14:paraId="7A776EEC" w14:textId="56A1FC5E" w:rsidR="00321238" w:rsidRDefault="00321238" w:rsidP="00B91F10">
      <w:pPr>
        <w:rPr>
          <w:rFonts w:ascii="Arial" w:hAnsi="Arial" w:cs="Arial"/>
        </w:rPr>
      </w:pPr>
      <w:r>
        <w:rPr>
          <w:rFonts w:ascii="Arial" w:hAnsi="Arial" w:cs="Arial"/>
        </w:rPr>
        <w:t>Imipenem</w:t>
      </w:r>
      <w:bookmarkStart w:id="0" w:name="_GoBack"/>
      <w:bookmarkEnd w:id="0"/>
    </w:p>
    <w:p w14:paraId="1F5B96AA" w14:textId="15BD5723" w:rsidR="009E7B09" w:rsidRDefault="009E7B09" w:rsidP="00B91F10">
      <w:pPr>
        <w:rPr>
          <w:rFonts w:ascii="Arial" w:hAnsi="Arial" w:cs="Arial"/>
        </w:rPr>
      </w:pPr>
      <w:r>
        <w:rPr>
          <w:rFonts w:ascii="Arial" w:hAnsi="Arial" w:cs="Arial"/>
        </w:rPr>
        <w:t>Ticarcillin-clavulanate</w:t>
      </w:r>
    </w:p>
    <w:p w14:paraId="1BC48D0B" w14:textId="148897B0" w:rsidR="00183F48" w:rsidRPr="00842F3A" w:rsidRDefault="00183F48" w:rsidP="00B91F10">
      <w:pPr>
        <w:rPr>
          <w:rFonts w:ascii="Arial" w:hAnsi="Arial" w:cs="Arial"/>
        </w:rPr>
      </w:pPr>
      <w:r>
        <w:rPr>
          <w:rFonts w:ascii="Arial" w:hAnsi="Arial" w:cs="Arial"/>
        </w:rPr>
        <w:t>Vancomycin</w:t>
      </w:r>
    </w:p>
    <w:p w14:paraId="0650BBBA" w14:textId="54706CC9" w:rsidR="009E7B09" w:rsidRDefault="009E7B09" w:rsidP="00842F3A">
      <w:pPr>
        <w:rPr>
          <w:rFonts w:ascii="Arial" w:hAnsi="Arial" w:cs="Arial"/>
          <w:b/>
          <w:sz w:val="24"/>
        </w:rPr>
      </w:pPr>
      <w:r>
        <w:rPr>
          <w:rFonts w:ascii="Arial" w:hAnsi="Arial" w:cs="Arial"/>
        </w:rPr>
        <w:t xml:space="preserve">ONLY use Rifampicin and macrolides in combination as above for </w:t>
      </w:r>
      <w:proofErr w:type="spellStart"/>
      <w:proofErr w:type="gramStart"/>
      <w:r>
        <w:rPr>
          <w:rFonts w:ascii="Arial" w:hAnsi="Arial" w:cs="Arial"/>
          <w:i/>
        </w:rPr>
        <w:t>R.equi</w:t>
      </w:r>
      <w:proofErr w:type="spellEnd"/>
      <w:proofErr w:type="gramEnd"/>
      <w:r w:rsidRPr="00145892">
        <w:rPr>
          <w:rFonts w:ascii="Arial" w:hAnsi="Arial" w:cs="Arial"/>
          <w:b/>
          <w:sz w:val="24"/>
        </w:rPr>
        <w:t xml:space="preserve"> </w:t>
      </w:r>
    </w:p>
    <w:p w14:paraId="3FB60D3A" w14:textId="4209A020" w:rsidR="00842F3A" w:rsidRPr="00145892" w:rsidRDefault="00842F3A" w:rsidP="00842F3A">
      <w:pPr>
        <w:rPr>
          <w:rFonts w:ascii="Arial" w:hAnsi="Arial" w:cs="Arial"/>
          <w:b/>
          <w:sz w:val="24"/>
        </w:rPr>
      </w:pPr>
      <w:r w:rsidRPr="00145892">
        <w:rPr>
          <w:rFonts w:ascii="Arial" w:hAnsi="Arial" w:cs="Arial"/>
          <w:b/>
          <w:sz w:val="24"/>
        </w:rPr>
        <w:t>Play your part in preventing antibiotic resistant infections</w:t>
      </w:r>
    </w:p>
    <w:p w14:paraId="442965DF" w14:textId="77777777" w:rsidR="00AE6817" w:rsidRDefault="00AE6817" w:rsidP="00AE6817">
      <w:pPr>
        <w:rPr>
          <w:rFonts w:ascii="Arial" w:hAnsi="Arial" w:cs="Arial"/>
        </w:rPr>
      </w:pPr>
      <w:r>
        <w:rPr>
          <w:rFonts w:ascii="Arial" w:hAnsi="Arial" w:cs="Arial"/>
        </w:rPr>
        <w:t>For more information visit the Antimicrobial resistant infections webpage of the Agriculture Victoria website at agriculture.vic.gov.au/</w:t>
      </w:r>
      <w:proofErr w:type="spellStart"/>
      <w:r>
        <w:rPr>
          <w:rFonts w:ascii="Arial" w:hAnsi="Arial" w:cs="Arial"/>
        </w:rPr>
        <w:t>amr</w:t>
      </w:r>
      <w:proofErr w:type="spellEnd"/>
    </w:p>
    <w:p w14:paraId="42843049" w14:textId="77777777" w:rsidR="002630A2" w:rsidRDefault="00C414CA" w:rsidP="00842F3A">
      <w:pPr>
        <w:rPr>
          <w:rFonts w:ascii="Arial" w:hAnsi="Arial" w:cs="Arial"/>
        </w:rPr>
      </w:pPr>
      <w:r>
        <w:rPr>
          <w:rFonts w:ascii="Arial" w:hAnsi="Arial" w:cs="Arial"/>
        </w:rPr>
        <w:t xml:space="preserve">Developed and designed by </w:t>
      </w:r>
      <w:r w:rsidR="002630A2">
        <w:rPr>
          <w:rFonts w:ascii="Arial" w:hAnsi="Arial" w:cs="Arial"/>
        </w:rPr>
        <w:t>Agriculture Victoria</w:t>
      </w:r>
      <w:r>
        <w:rPr>
          <w:rFonts w:ascii="Arial" w:hAnsi="Arial" w:cs="Arial"/>
        </w:rPr>
        <w:t>, the University of Melbourne</w:t>
      </w:r>
      <w:r w:rsidR="009C1A9A">
        <w:rPr>
          <w:rFonts w:ascii="Arial" w:hAnsi="Arial" w:cs="Arial"/>
        </w:rPr>
        <w:t>, the Asia-Pacific Centre for Animal Health and the National Centre for Antimicrobial Stewardship.</w:t>
      </w:r>
    </w:p>
    <w:p w14:paraId="643D3C4E" w14:textId="573007F6" w:rsidR="009C1A9A" w:rsidRPr="00842F3A" w:rsidRDefault="009C1A9A" w:rsidP="00842F3A">
      <w:pPr>
        <w:rPr>
          <w:rFonts w:ascii="Arial" w:hAnsi="Arial" w:cs="Arial"/>
        </w:rPr>
      </w:pPr>
    </w:p>
    <w:sectPr w:rsidR="009C1A9A" w:rsidRPr="00842F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3A"/>
    <w:rsid w:val="00127EC7"/>
    <w:rsid w:val="00145892"/>
    <w:rsid w:val="00165F21"/>
    <w:rsid w:val="00171D92"/>
    <w:rsid w:val="00177A0B"/>
    <w:rsid w:val="00183F48"/>
    <w:rsid w:val="002630A2"/>
    <w:rsid w:val="00321238"/>
    <w:rsid w:val="00357E89"/>
    <w:rsid w:val="003A3BD7"/>
    <w:rsid w:val="004E66D8"/>
    <w:rsid w:val="00595BEC"/>
    <w:rsid w:val="00685F62"/>
    <w:rsid w:val="006943A0"/>
    <w:rsid w:val="006D7648"/>
    <w:rsid w:val="006F79F9"/>
    <w:rsid w:val="007607F6"/>
    <w:rsid w:val="00842F3A"/>
    <w:rsid w:val="008B09FE"/>
    <w:rsid w:val="008C06CB"/>
    <w:rsid w:val="009C1A9A"/>
    <w:rsid w:val="009E7B09"/>
    <w:rsid w:val="00AD5804"/>
    <w:rsid w:val="00AE6817"/>
    <w:rsid w:val="00B91F10"/>
    <w:rsid w:val="00BF3014"/>
    <w:rsid w:val="00C23B21"/>
    <w:rsid w:val="00C414CA"/>
    <w:rsid w:val="00CC19D0"/>
    <w:rsid w:val="00CF3E4A"/>
    <w:rsid w:val="00D11287"/>
    <w:rsid w:val="00D57530"/>
    <w:rsid w:val="00ED16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6095"/>
  <w15:chartTrackingRefBased/>
  <w15:docId w15:val="{7C1F6995-7E9E-4E3B-A394-CA9ED62A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25" ma:contentTypeDescription="DEDJTR Document" ma:contentTypeScope="" ma:versionID="2978287465bbaedeaebc0af76c30a074">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292159ec8742dc3ccebc1a34bb56225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50466-4492-4D3A-AAF1-E1A60846C2CE}">
  <ds:schemaRefs>
    <ds:schemaRef ds:uri="http://purl.org/dc/terms/"/>
    <ds:schemaRef ds:uri="72567383-1e26-4692-bdad-5f5be69e159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5902db6-7585-4480-9b6d-f0bd68391f49"/>
    <ds:schemaRef ds:uri="b3cc5fa8-9929-4f74-b449-d7a5840b4704"/>
    <ds:schemaRef ds:uri="http://www.w3.org/XML/1998/namespace"/>
    <ds:schemaRef ds:uri="http://purl.org/dc/dcmitype/"/>
  </ds:schemaRefs>
</ds:datastoreItem>
</file>

<file path=customXml/itemProps2.xml><?xml version="1.0" encoding="utf-8"?>
<ds:datastoreItem xmlns:ds="http://schemas.openxmlformats.org/officeDocument/2006/customXml" ds:itemID="{AAFEB78F-C865-41ED-94D5-F30C7CE3CDE5}">
  <ds:schemaRefs>
    <ds:schemaRef ds:uri="http://schemas.microsoft.com/sharepoint/v3/contenttype/forms"/>
  </ds:schemaRefs>
</ds:datastoreItem>
</file>

<file path=customXml/itemProps3.xml><?xml version="1.0" encoding="utf-8"?>
<ds:datastoreItem xmlns:ds="http://schemas.openxmlformats.org/officeDocument/2006/customXml" ds:itemID="{0697F813-E354-4483-9D46-C50BCE43A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McLaren (DEDJTR)</dc:creator>
  <cp:keywords/>
  <dc:description/>
  <cp:lastModifiedBy>Chanelle D Manikkam (DJPR)</cp:lastModifiedBy>
  <cp:revision>2</cp:revision>
  <dcterms:created xsi:type="dcterms:W3CDTF">2020-10-29T01:50:00Z</dcterms:created>
  <dcterms:modified xsi:type="dcterms:W3CDTF">2020-10-29T01:50:00Z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0x010100611F6414DFB111E7BA88F9DF1743E317005718E9BC78A69E40B372A0E51C09C73D</vt:lpwstr>
  </property>
  <property fmtid="{D5CDD505-2E9C-101B-9397-08002B2CF9AE}" pid="3" name="DEDJTRDivision">
    <vt:lpwstr>2;#Agriculture Victoria|aa595c92-527f-46eb-8130-f23c3634d9e6</vt:lpwstr>
  </property>
  <property fmtid="{D5CDD505-2E9C-101B-9397-08002B2CF9AE}" pid="4" name="DEDJTRGroup">
    <vt:lpwstr>1;#Employment Investment and Trade|55ce1999-68b6-4f37-bdce-009ad410cd2a</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ies>
</file>