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2F6B8" w14:textId="7DF91720" w:rsidR="002B7473" w:rsidRDefault="002B7473" w:rsidP="002B7473">
      <w:pPr>
        <w:rPr>
          <w:rFonts w:ascii="Arial" w:hAnsi="Arial" w:cs="Arial"/>
          <w:b/>
          <w:sz w:val="28"/>
        </w:rPr>
      </w:pPr>
      <w:r w:rsidRPr="009C1A9A">
        <w:rPr>
          <w:rFonts w:ascii="Arial" w:hAnsi="Arial" w:cs="Arial"/>
          <w:b/>
          <w:sz w:val="28"/>
        </w:rPr>
        <w:t xml:space="preserve">Antibiotic Use in </w:t>
      </w:r>
      <w:r>
        <w:rPr>
          <w:rFonts w:ascii="Arial" w:hAnsi="Arial" w:cs="Arial"/>
          <w:b/>
          <w:sz w:val="28"/>
        </w:rPr>
        <w:t>Pigs</w:t>
      </w:r>
      <w:r w:rsidR="000401F1">
        <w:rPr>
          <w:rFonts w:ascii="Arial" w:hAnsi="Arial" w:cs="Arial"/>
          <w:b/>
          <w:sz w:val="28"/>
        </w:rPr>
        <w:t>: Stop, Think, Choose wisely</w:t>
      </w:r>
    </w:p>
    <w:p w14:paraId="347D678B" w14:textId="2535D2D8" w:rsidR="000401F1" w:rsidRPr="009C1A9A" w:rsidRDefault="000401F1" w:rsidP="002B7473">
      <w:pPr>
        <w:rPr>
          <w:rFonts w:ascii="Arial" w:hAnsi="Arial" w:cs="Arial"/>
          <w:b/>
          <w:sz w:val="28"/>
        </w:rPr>
      </w:pPr>
      <w:r>
        <w:rPr>
          <w:noProof/>
        </w:rPr>
        <w:drawing>
          <wp:inline distT="0" distB="0" distL="0" distR="0" wp14:anchorId="1CE6696F" wp14:editId="2287D735">
            <wp:extent cx="5731510" cy="39789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978910"/>
                    </a:xfrm>
                    <a:prstGeom prst="rect">
                      <a:avLst/>
                    </a:prstGeom>
                  </pic:spPr>
                </pic:pic>
              </a:graphicData>
            </a:graphic>
          </wp:inline>
        </w:drawing>
      </w:r>
    </w:p>
    <w:p w14:paraId="3E9A97F9" w14:textId="4CC8860B" w:rsidR="009C1A9A" w:rsidRDefault="009C1A9A">
      <w:pPr>
        <w:rPr>
          <w:rFonts w:ascii="Arial" w:hAnsi="Arial" w:cs="Arial"/>
        </w:rPr>
      </w:pPr>
      <w:r>
        <w:rPr>
          <w:rFonts w:ascii="Arial" w:hAnsi="Arial" w:cs="Arial"/>
        </w:rPr>
        <w:t>The information provided sets out the prioritisation of antibiotics for use by veterinarians as per Antibacterial Importance Ratings developed by the Australian Government with expert advice from the Australian Strategic and Technical Advisory Group (ASTAG).</w:t>
      </w:r>
      <w:r w:rsidR="000401F1">
        <w:rPr>
          <w:rFonts w:ascii="Arial" w:hAnsi="Arial" w:cs="Arial"/>
        </w:rPr>
        <w:t xml:space="preserve"> </w:t>
      </w:r>
      <w:r w:rsidR="000401F1">
        <w:rPr>
          <w:rFonts w:ascii="Arial" w:hAnsi="Arial" w:cs="Arial"/>
        </w:rPr>
        <w:t>The antibiotics are displayed in circles corresponding to the colours of a traffic light; green, orange and red.</w:t>
      </w:r>
      <w:r w:rsidR="000401F1">
        <w:rPr>
          <w:rFonts w:ascii="Arial" w:hAnsi="Arial" w:cs="Arial"/>
        </w:rPr>
        <w:t xml:space="preserve"> </w:t>
      </w:r>
    </w:p>
    <w:p w14:paraId="4BC4F93B" w14:textId="29807AFA" w:rsidR="00842F3A" w:rsidRPr="009C1A9A" w:rsidRDefault="00061152">
      <w:pPr>
        <w:rPr>
          <w:rFonts w:ascii="Arial" w:hAnsi="Arial" w:cs="Arial"/>
          <w:b/>
          <w:sz w:val="24"/>
        </w:rPr>
      </w:pPr>
      <w:r>
        <w:rPr>
          <w:rFonts w:ascii="Arial" w:hAnsi="Arial" w:cs="Arial"/>
          <w:b/>
          <w:sz w:val="24"/>
        </w:rPr>
        <w:t>LOW IMPORTANCE</w:t>
      </w:r>
      <w:r w:rsidR="000401F1">
        <w:rPr>
          <w:rFonts w:ascii="Arial" w:hAnsi="Arial" w:cs="Arial"/>
          <w:b/>
          <w:sz w:val="24"/>
        </w:rPr>
        <w:t xml:space="preserve"> (in a green circle)</w:t>
      </w:r>
    </w:p>
    <w:p w14:paraId="381AE5B1"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Amoxicillin</w:t>
      </w:r>
    </w:p>
    <w:p w14:paraId="7AEA7C75"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Chlortetracycline</w:t>
      </w:r>
    </w:p>
    <w:p w14:paraId="10B58772"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Erythromycin</w:t>
      </w:r>
    </w:p>
    <w:p w14:paraId="1F19EC78"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Florfenicol</w:t>
      </w:r>
    </w:p>
    <w:p w14:paraId="40917915"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Neomycin</w:t>
      </w:r>
    </w:p>
    <w:p w14:paraId="27DEEB07"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Oxytetracycline</w:t>
      </w:r>
    </w:p>
    <w:p w14:paraId="2DEB4190" w14:textId="77777777" w:rsidR="002B7473" w:rsidRPr="002B7473" w:rsidRDefault="002B7473" w:rsidP="00EA5AC5">
      <w:pPr>
        <w:spacing w:line="240" w:lineRule="auto"/>
        <w:rPr>
          <w:rFonts w:ascii="Arial" w:hAnsi="Arial" w:cs="Arial"/>
          <w:bCs/>
          <w:sz w:val="24"/>
        </w:rPr>
      </w:pPr>
      <w:proofErr w:type="spellStart"/>
      <w:r w:rsidRPr="002B7473">
        <w:rPr>
          <w:rFonts w:ascii="Arial" w:hAnsi="Arial" w:cs="Arial"/>
          <w:bCs/>
          <w:sz w:val="24"/>
        </w:rPr>
        <w:t>Penethamate</w:t>
      </w:r>
      <w:proofErr w:type="spellEnd"/>
    </w:p>
    <w:p w14:paraId="2B0B24F0" w14:textId="77777777" w:rsidR="002B7473" w:rsidRDefault="002B7473" w:rsidP="00EA5AC5">
      <w:pPr>
        <w:spacing w:line="240" w:lineRule="auto"/>
        <w:rPr>
          <w:rFonts w:ascii="Arial" w:hAnsi="Arial" w:cs="Arial"/>
          <w:bCs/>
          <w:sz w:val="24"/>
        </w:rPr>
      </w:pPr>
      <w:r w:rsidRPr="002B7473">
        <w:rPr>
          <w:rFonts w:ascii="Arial" w:hAnsi="Arial" w:cs="Arial"/>
          <w:bCs/>
          <w:sz w:val="24"/>
        </w:rPr>
        <w:t>Penicillin (and salts</w:t>
      </w:r>
      <w:r>
        <w:rPr>
          <w:rFonts w:ascii="Arial" w:hAnsi="Arial" w:cs="Arial"/>
          <w:bCs/>
          <w:sz w:val="24"/>
        </w:rPr>
        <w:t>)</w:t>
      </w:r>
    </w:p>
    <w:p w14:paraId="353EF8DF" w14:textId="4B1CCDAC" w:rsidR="002B7473" w:rsidRPr="002B7473" w:rsidRDefault="002B7473" w:rsidP="00EA5AC5">
      <w:pPr>
        <w:spacing w:line="240" w:lineRule="auto"/>
        <w:rPr>
          <w:rFonts w:ascii="Arial" w:hAnsi="Arial" w:cs="Arial"/>
          <w:bCs/>
          <w:sz w:val="24"/>
        </w:rPr>
      </w:pPr>
      <w:r w:rsidRPr="002B7473">
        <w:rPr>
          <w:rFonts w:ascii="Arial" w:hAnsi="Arial" w:cs="Arial"/>
          <w:bCs/>
          <w:sz w:val="24"/>
        </w:rPr>
        <w:t>Sulfadimidine</w:t>
      </w:r>
    </w:p>
    <w:p w14:paraId="4BDE4865" w14:textId="77777777" w:rsidR="002B7473" w:rsidRPr="002B7473" w:rsidRDefault="002B7473" w:rsidP="00EA5AC5">
      <w:pPr>
        <w:spacing w:line="240" w:lineRule="auto"/>
        <w:rPr>
          <w:rFonts w:ascii="Arial" w:hAnsi="Arial" w:cs="Arial"/>
          <w:bCs/>
          <w:sz w:val="24"/>
        </w:rPr>
      </w:pPr>
      <w:proofErr w:type="spellStart"/>
      <w:r w:rsidRPr="002B7473">
        <w:rPr>
          <w:rFonts w:ascii="Arial" w:hAnsi="Arial" w:cs="Arial"/>
          <w:bCs/>
          <w:sz w:val="24"/>
        </w:rPr>
        <w:t>Tilmicosin</w:t>
      </w:r>
      <w:proofErr w:type="spellEnd"/>
    </w:p>
    <w:p w14:paraId="298C2C2D"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Tulathromycin</w:t>
      </w:r>
    </w:p>
    <w:p w14:paraId="018779E4" w14:textId="77777777" w:rsidR="002B7473" w:rsidRPr="002B7473" w:rsidRDefault="002B7473" w:rsidP="00EA5AC5">
      <w:pPr>
        <w:spacing w:line="240" w:lineRule="auto"/>
        <w:rPr>
          <w:rFonts w:ascii="Arial" w:hAnsi="Arial" w:cs="Arial"/>
          <w:bCs/>
          <w:sz w:val="24"/>
        </w:rPr>
      </w:pPr>
      <w:proofErr w:type="spellStart"/>
      <w:r w:rsidRPr="002B7473">
        <w:rPr>
          <w:rFonts w:ascii="Arial" w:hAnsi="Arial" w:cs="Arial"/>
          <w:bCs/>
          <w:sz w:val="24"/>
        </w:rPr>
        <w:t>Tylosin</w:t>
      </w:r>
      <w:proofErr w:type="spellEnd"/>
    </w:p>
    <w:p w14:paraId="455BD481"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lastRenderedPageBreak/>
        <w:t>Olaquindox</w:t>
      </w:r>
    </w:p>
    <w:p w14:paraId="75D41BBA" w14:textId="77777777" w:rsidR="002B7473" w:rsidRPr="002B7473" w:rsidRDefault="002B7473" w:rsidP="00EA5AC5">
      <w:pPr>
        <w:spacing w:line="240" w:lineRule="auto"/>
        <w:rPr>
          <w:rFonts w:ascii="Arial" w:hAnsi="Arial" w:cs="Arial"/>
          <w:bCs/>
          <w:sz w:val="24"/>
        </w:rPr>
      </w:pPr>
      <w:r w:rsidRPr="002B7473">
        <w:rPr>
          <w:rFonts w:ascii="Arial" w:hAnsi="Arial" w:cs="Arial"/>
          <w:bCs/>
          <w:sz w:val="24"/>
        </w:rPr>
        <w:t>Tiamulin</w:t>
      </w:r>
    </w:p>
    <w:p w14:paraId="465460C3" w14:textId="41285654" w:rsidR="00842F3A" w:rsidRPr="009C1A9A" w:rsidRDefault="000D1265" w:rsidP="002B7473">
      <w:pPr>
        <w:rPr>
          <w:rFonts w:ascii="Arial" w:hAnsi="Arial" w:cs="Arial"/>
          <w:b/>
          <w:sz w:val="24"/>
        </w:rPr>
      </w:pPr>
      <w:r>
        <w:rPr>
          <w:rFonts w:ascii="Arial" w:hAnsi="Arial" w:cs="Arial"/>
          <w:b/>
          <w:sz w:val="24"/>
        </w:rPr>
        <w:t>MEDIUM IMPORTANCE</w:t>
      </w:r>
      <w:r w:rsidR="000401F1">
        <w:rPr>
          <w:rFonts w:ascii="Arial" w:hAnsi="Arial" w:cs="Arial"/>
          <w:b/>
          <w:sz w:val="24"/>
        </w:rPr>
        <w:t xml:space="preserve"> (in an orange circle)</w:t>
      </w:r>
    </w:p>
    <w:p w14:paraId="5B39CA55" w14:textId="77777777" w:rsidR="002B7473" w:rsidRPr="002B7473" w:rsidRDefault="002B7473" w:rsidP="002B7473">
      <w:pPr>
        <w:rPr>
          <w:rFonts w:ascii="Arial" w:hAnsi="Arial" w:cs="Arial"/>
          <w:bCs/>
          <w:sz w:val="24"/>
        </w:rPr>
      </w:pPr>
      <w:r w:rsidRPr="002B7473">
        <w:rPr>
          <w:rFonts w:ascii="Arial" w:hAnsi="Arial" w:cs="Arial"/>
          <w:bCs/>
          <w:sz w:val="24"/>
        </w:rPr>
        <w:t>Apramycin</w:t>
      </w:r>
    </w:p>
    <w:p w14:paraId="5313FAE4" w14:textId="77777777" w:rsidR="002B7473" w:rsidRPr="002B7473" w:rsidRDefault="002B7473" w:rsidP="002B7473">
      <w:pPr>
        <w:rPr>
          <w:rFonts w:ascii="Arial" w:hAnsi="Arial" w:cs="Arial"/>
          <w:bCs/>
          <w:sz w:val="24"/>
        </w:rPr>
      </w:pPr>
      <w:r w:rsidRPr="002B7473">
        <w:rPr>
          <w:rFonts w:ascii="Arial" w:hAnsi="Arial" w:cs="Arial"/>
          <w:bCs/>
          <w:sz w:val="24"/>
        </w:rPr>
        <w:t>Lincomycin</w:t>
      </w:r>
    </w:p>
    <w:p w14:paraId="408CD8C4" w14:textId="77777777" w:rsidR="002B7473" w:rsidRPr="002B7473" w:rsidRDefault="002B7473" w:rsidP="002B7473">
      <w:pPr>
        <w:rPr>
          <w:rFonts w:ascii="Arial" w:hAnsi="Arial" w:cs="Arial"/>
          <w:bCs/>
          <w:sz w:val="24"/>
        </w:rPr>
      </w:pPr>
      <w:r w:rsidRPr="002B7473">
        <w:rPr>
          <w:rFonts w:ascii="Arial" w:hAnsi="Arial" w:cs="Arial"/>
          <w:bCs/>
          <w:sz w:val="24"/>
        </w:rPr>
        <w:t>Spectinomycin</w:t>
      </w:r>
    </w:p>
    <w:p w14:paraId="6FECCAB1" w14:textId="555B71CB" w:rsidR="002B7473" w:rsidRPr="002B7473" w:rsidRDefault="002B7473" w:rsidP="002B7473">
      <w:pPr>
        <w:rPr>
          <w:rFonts w:ascii="Arial" w:hAnsi="Arial" w:cs="Arial"/>
          <w:bCs/>
          <w:sz w:val="24"/>
        </w:rPr>
      </w:pPr>
      <w:r>
        <w:rPr>
          <w:rFonts w:ascii="Arial" w:hAnsi="Arial" w:cs="Arial"/>
          <w:bCs/>
          <w:sz w:val="24"/>
        </w:rPr>
        <w:t>T</w:t>
      </w:r>
      <w:r w:rsidRPr="002B7473">
        <w:rPr>
          <w:rFonts w:ascii="Arial" w:hAnsi="Arial" w:cs="Arial"/>
          <w:bCs/>
          <w:sz w:val="24"/>
        </w:rPr>
        <w:t>rimethoprim + sulphonamide</w:t>
      </w:r>
      <w:r>
        <w:rPr>
          <w:rFonts w:ascii="Arial" w:hAnsi="Arial" w:cs="Arial"/>
          <w:bCs/>
          <w:sz w:val="24"/>
        </w:rPr>
        <w:t xml:space="preserve"> </w:t>
      </w:r>
      <w:r w:rsidRPr="002B7473">
        <w:rPr>
          <w:rFonts w:ascii="Arial" w:hAnsi="Arial" w:cs="Arial"/>
          <w:bCs/>
          <w:sz w:val="24"/>
        </w:rPr>
        <w:t>(sulfadimidine/sulfadiazine/</w:t>
      </w:r>
      <w:proofErr w:type="spellStart"/>
      <w:r w:rsidRPr="002B7473">
        <w:rPr>
          <w:rFonts w:ascii="Arial" w:hAnsi="Arial" w:cs="Arial"/>
          <w:bCs/>
          <w:sz w:val="24"/>
        </w:rPr>
        <w:t>sulfadoxine</w:t>
      </w:r>
      <w:proofErr w:type="spellEnd"/>
      <w:r w:rsidRPr="002B7473">
        <w:rPr>
          <w:rFonts w:ascii="Arial" w:hAnsi="Arial" w:cs="Arial"/>
          <w:bCs/>
          <w:sz w:val="24"/>
        </w:rPr>
        <w:t>)</w:t>
      </w:r>
    </w:p>
    <w:p w14:paraId="28F8E186" w14:textId="22AAB13C" w:rsidR="00145892" w:rsidRDefault="000D1265" w:rsidP="002B7473">
      <w:pPr>
        <w:rPr>
          <w:rFonts w:ascii="Arial" w:hAnsi="Arial" w:cs="Arial"/>
          <w:b/>
          <w:sz w:val="24"/>
        </w:rPr>
      </w:pPr>
      <w:r>
        <w:rPr>
          <w:rFonts w:ascii="Arial" w:hAnsi="Arial" w:cs="Arial"/>
          <w:b/>
          <w:sz w:val="24"/>
        </w:rPr>
        <w:t>HIGH IMPORTANCE</w:t>
      </w:r>
      <w:r w:rsidR="000401F1">
        <w:rPr>
          <w:rFonts w:ascii="Arial" w:hAnsi="Arial" w:cs="Arial"/>
          <w:b/>
          <w:sz w:val="24"/>
        </w:rPr>
        <w:t xml:space="preserve"> (in a red circle)</w:t>
      </w:r>
    </w:p>
    <w:p w14:paraId="631A04AD" w14:textId="2EDA9483" w:rsidR="002B7473" w:rsidRPr="002B7473" w:rsidRDefault="002B7473" w:rsidP="00842F3A">
      <w:pPr>
        <w:rPr>
          <w:rFonts w:ascii="Arial" w:hAnsi="Arial" w:cs="Arial"/>
          <w:bCs/>
          <w:sz w:val="24"/>
          <w:szCs w:val="24"/>
        </w:rPr>
      </w:pPr>
      <w:r w:rsidRPr="002B7473">
        <w:rPr>
          <w:rFonts w:ascii="Arial" w:hAnsi="Arial" w:cs="Arial"/>
          <w:bCs/>
          <w:sz w:val="24"/>
          <w:szCs w:val="24"/>
        </w:rPr>
        <w:t>Ceftiofur</w:t>
      </w:r>
      <w:r>
        <w:rPr>
          <w:rFonts w:ascii="Arial" w:hAnsi="Arial" w:cs="Arial"/>
          <w:bCs/>
          <w:sz w:val="24"/>
          <w:szCs w:val="24"/>
        </w:rPr>
        <w:t xml:space="preserve"> (Avoid. Not registered for use in pigs. Use only in an individual animal in exceptional circumstances, after culture and sensitivity testing, if there is no alternative). </w:t>
      </w:r>
      <w:r w:rsidRPr="002B7473">
        <w:rPr>
          <w:rFonts w:ascii="Arial" w:hAnsi="Arial" w:cs="Arial"/>
          <w:bCs/>
          <w:sz w:val="24"/>
          <w:szCs w:val="24"/>
        </w:rPr>
        <w:t xml:space="preserve"> </w:t>
      </w:r>
    </w:p>
    <w:p w14:paraId="13F9DA02" w14:textId="71FBC74F" w:rsidR="00842F3A" w:rsidRPr="00FB23E3" w:rsidRDefault="000F2C6A" w:rsidP="00842F3A">
      <w:pPr>
        <w:rPr>
          <w:rFonts w:ascii="Arial" w:hAnsi="Arial" w:cs="Arial"/>
          <w:b/>
          <w:sz w:val="24"/>
          <w:szCs w:val="24"/>
        </w:rPr>
      </w:pPr>
      <w:r>
        <w:rPr>
          <w:rFonts w:ascii="Arial" w:hAnsi="Arial" w:cs="Arial"/>
          <w:b/>
          <w:sz w:val="24"/>
          <w:szCs w:val="24"/>
        </w:rPr>
        <w:t>PROHIBITED</w:t>
      </w:r>
    </w:p>
    <w:p w14:paraId="5C41AD37" w14:textId="77777777" w:rsidR="000F2C6A" w:rsidRPr="000F2C6A" w:rsidRDefault="000F2C6A" w:rsidP="000F2C6A">
      <w:pPr>
        <w:rPr>
          <w:rFonts w:ascii="Arial" w:hAnsi="Arial" w:cs="Arial"/>
          <w:bCs/>
          <w:sz w:val="24"/>
        </w:rPr>
      </w:pPr>
      <w:r w:rsidRPr="000F2C6A">
        <w:rPr>
          <w:rFonts w:ascii="Arial" w:hAnsi="Arial" w:cs="Arial"/>
          <w:bCs/>
          <w:sz w:val="24"/>
        </w:rPr>
        <w:t>Fluoroquinolones</w:t>
      </w:r>
    </w:p>
    <w:p w14:paraId="5E9EEBDF" w14:textId="77777777" w:rsidR="000F2C6A" w:rsidRPr="000F2C6A" w:rsidRDefault="000F2C6A" w:rsidP="000F2C6A">
      <w:pPr>
        <w:rPr>
          <w:rFonts w:ascii="Arial" w:hAnsi="Arial" w:cs="Arial"/>
          <w:bCs/>
          <w:sz w:val="24"/>
        </w:rPr>
      </w:pPr>
      <w:r w:rsidRPr="000F2C6A">
        <w:rPr>
          <w:rFonts w:ascii="Arial" w:hAnsi="Arial" w:cs="Arial"/>
          <w:bCs/>
          <w:sz w:val="24"/>
        </w:rPr>
        <w:t>Gentamicin</w:t>
      </w:r>
    </w:p>
    <w:p w14:paraId="11CBC280" w14:textId="77777777" w:rsidR="000F2C6A" w:rsidRPr="000F2C6A" w:rsidRDefault="000F2C6A" w:rsidP="000F2C6A">
      <w:pPr>
        <w:rPr>
          <w:rFonts w:ascii="Arial" w:hAnsi="Arial" w:cs="Arial"/>
          <w:bCs/>
          <w:sz w:val="24"/>
        </w:rPr>
      </w:pPr>
      <w:r w:rsidRPr="000F2C6A">
        <w:rPr>
          <w:rFonts w:ascii="Arial" w:hAnsi="Arial" w:cs="Arial"/>
          <w:bCs/>
          <w:sz w:val="24"/>
        </w:rPr>
        <w:t>Chloramphenicol</w:t>
      </w:r>
    </w:p>
    <w:p w14:paraId="1AA253AA" w14:textId="77777777" w:rsidR="002B7473" w:rsidRPr="000F2C6A" w:rsidRDefault="002B7473" w:rsidP="002B7473">
      <w:pPr>
        <w:rPr>
          <w:rFonts w:ascii="Arial" w:hAnsi="Arial" w:cs="Arial"/>
          <w:bCs/>
          <w:sz w:val="24"/>
        </w:rPr>
      </w:pPr>
      <w:r w:rsidRPr="000F2C6A">
        <w:rPr>
          <w:rFonts w:ascii="Arial" w:hAnsi="Arial" w:cs="Arial"/>
          <w:bCs/>
          <w:sz w:val="24"/>
        </w:rPr>
        <w:t>Metronidazole</w:t>
      </w:r>
    </w:p>
    <w:p w14:paraId="50F15EF9" w14:textId="60705E46" w:rsidR="000F2C6A" w:rsidRDefault="000F2C6A" w:rsidP="000F2C6A">
      <w:pPr>
        <w:rPr>
          <w:rFonts w:ascii="Arial" w:hAnsi="Arial" w:cs="Arial"/>
          <w:bCs/>
          <w:sz w:val="24"/>
        </w:rPr>
      </w:pPr>
      <w:r w:rsidRPr="000F2C6A">
        <w:rPr>
          <w:rFonts w:ascii="Arial" w:hAnsi="Arial" w:cs="Arial"/>
          <w:bCs/>
          <w:sz w:val="24"/>
        </w:rPr>
        <w:t>Nitrofurans</w:t>
      </w:r>
    </w:p>
    <w:p w14:paraId="51DD8223" w14:textId="136095EE" w:rsidR="002B7473" w:rsidRPr="000F2C6A" w:rsidRDefault="002B7473" w:rsidP="000F2C6A">
      <w:pPr>
        <w:rPr>
          <w:rFonts w:ascii="Arial" w:hAnsi="Arial" w:cs="Arial"/>
          <w:bCs/>
          <w:sz w:val="24"/>
        </w:rPr>
      </w:pPr>
      <w:r>
        <w:rPr>
          <w:rFonts w:ascii="Arial" w:hAnsi="Arial" w:cs="Arial"/>
          <w:bCs/>
          <w:sz w:val="24"/>
        </w:rPr>
        <w:t>Injectable streptomycin</w:t>
      </w:r>
    </w:p>
    <w:p w14:paraId="46C3A28F" w14:textId="5A4027B5" w:rsidR="000F2C6A" w:rsidRDefault="000F2C6A" w:rsidP="000F2C6A">
      <w:pPr>
        <w:rPr>
          <w:rFonts w:ascii="Arial" w:hAnsi="Arial" w:cs="Arial"/>
          <w:bCs/>
          <w:sz w:val="24"/>
        </w:rPr>
      </w:pPr>
      <w:r w:rsidRPr="000F2C6A">
        <w:rPr>
          <w:rFonts w:ascii="Arial" w:hAnsi="Arial" w:cs="Arial"/>
          <w:bCs/>
          <w:sz w:val="24"/>
        </w:rPr>
        <w:t>Colistin</w:t>
      </w:r>
    </w:p>
    <w:p w14:paraId="3FB60D3A" w14:textId="05B9DF99" w:rsidR="00842F3A" w:rsidRPr="00145892" w:rsidRDefault="00842F3A" w:rsidP="000F2C6A">
      <w:pPr>
        <w:rPr>
          <w:rFonts w:ascii="Arial" w:hAnsi="Arial" w:cs="Arial"/>
          <w:b/>
          <w:sz w:val="24"/>
        </w:rPr>
      </w:pPr>
      <w:r w:rsidRPr="00145892">
        <w:rPr>
          <w:rFonts w:ascii="Arial" w:hAnsi="Arial" w:cs="Arial"/>
          <w:b/>
          <w:sz w:val="24"/>
        </w:rPr>
        <w:t>Play your part in preventing antibiotic resistant infections</w:t>
      </w:r>
    </w:p>
    <w:p w14:paraId="6DD9A590" w14:textId="77777777" w:rsidR="000401F1" w:rsidRDefault="000401F1" w:rsidP="000401F1">
      <w:pPr>
        <w:rPr>
          <w:rFonts w:ascii="Arial" w:hAnsi="Arial" w:cs="Arial"/>
        </w:rPr>
      </w:pPr>
      <w:r>
        <w:rPr>
          <w:rFonts w:ascii="Arial" w:hAnsi="Arial" w:cs="Arial"/>
        </w:rPr>
        <w:t>For more information visit the Antimicrobial resistant infections webpage of the Agriculture Victoria website at agriculture.vic.gov.au/</w:t>
      </w:r>
      <w:proofErr w:type="spellStart"/>
      <w:r>
        <w:rPr>
          <w:rFonts w:ascii="Arial" w:hAnsi="Arial" w:cs="Arial"/>
        </w:rPr>
        <w:t>amr</w:t>
      </w:r>
      <w:proofErr w:type="spellEnd"/>
    </w:p>
    <w:p w14:paraId="42843049" w14:textId="77777777" w:rsidR="002630A2" w:rsidRDefault="00C414CA" w:rsidP="00842F3A">
      <w:pPr>
        <w:rPr>
          <w:rFonts w:ascii="Arial" w:hAnsi="Arial" w:cs="Arial"/>
        </w:rPr>
      </w:pPr>
      <w:bookmarkStart w:id="0" w:name="_GoBack"/>
      <w:bookmarkEnd w:id="0"/>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67374F0C" w:rsidR="009C1A9A" w:rsidRPr="00842F3A" w:rsidRDefault="009C1A9A" w:rsidP="00842F3A">
      <w:pPr>
        <w:rPr>
          <w:rFonts w:ascii="Arial" w:hAnsi="Arial" w:cs="Arial"/>
        </w:rPr>
      </w:pPr>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0401F1"/>
    <w:rsid w:val="00060AE6"/>
    <w:rsid w:val="00061152"/>
    <w:rsid w:val="000D1265"/>
    <w:rsid w:val="000F2C6A"/>
    <w:rsid w:val="000F7AE7"/>
    <w:rsid w:val="00145892"/>
    <w:rsid w:val="001C546E"/>
    <w:rsid w:val="002630A2"/>
    <w:rsid w:val="002B7473"/>
    <w:rsid w:val="00357E89"/>
    <w:rsid w:val="00842F3A"/>
    <w:rsid w:val="009C1A9A"/>
    <w:rsid w:val="00AF0601"/>
    <w:rsid w:val="00C414CA"/>
    <w:rsid w:val="00D57530"/>
    <w:rsid w:val="00EA5AC5"/>
    <w:rsid w:val="00FB23E3"/>
    <w:rsid w:val="00FC2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50466-4492-4D3A-AAF1-E1A60846C2CE}">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customXml/itemProps2.xml><?xml version="1.0" encoding="utf-8"?>
<ds:datastoreItem xmlns:ds="http://schemas.openxmlformats.org/officeDocument/2006/customXml" ds:itemID="{AAFEB78F-C865-41ED-94D5-F30C7CE3CDE5}">
  <ds:schemaRefs>
    <ds:schemaRef ds:uri="http://schemas.microsoft.com/sharepoint/v3/contenttype/forms"/>
  </ds:schemaRefs>
</ds:datastoreItem>
</file>

<file path=customXml/itemProps3.xml><?xml version="1.0" encoding="utf-8"?>
<ds:datastoreItem xmlns:ds="http://schemas.openxmlformats.org/officeDocument/2006/customXml" ds:itemID="{6723A287-9371-49D3-8547-604E9D59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Chanelle D Manikkam (DJPR)</cp:lastModifiedBy>
  <cp:revision>2</cp:revision>
  <dcterms:created xsi:type="dcterms:W3CDTF">2020-10-29T01:53:00Z</dcterms:created>
  <dcterms:modified xsi:type="dcterms:W3CDTF">2020-10-29T01:53:00Z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