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C8BD" w14:textId="00FF1CDB" w:rsidR="009F5FB7" w:rsidRPr="0000623E" w:rsidRDefault="00CF56E0" w:rsidP="0000623E">
      <w:pPr>
        <w:pStyle w:val="Heading1"/>
      </w:pPr>
      <w:bookmarkStart w:id="0" w:name="_GoBack"/>
      <w:bookmarkEnd w:id="0"/>
      <w:r w:rsidRPr="0000623E">
        <w:t>Guide For Antimicrobial Use In Dogs and Cats</w:t>
      </w:r>
    </w:p>
    <w:p w14:paraId="62F9BA62" w14:textId="75F8AA76" w:rsidR="00CF56E0" w:rsidRPr="002A33C3" w:rsidRDefault="00CF56E0" w:rsidP="00CF56E0">
      <w:pPr>
        <w:rPr>
          <w:rFonts w:ascii="Arial" w:hAnsi="Arial" w:cs="Arial"/>
        </w:rPr>
      </w:pPr>
      <w:r w:rsidRPr="002A33C3">
        <w:rPr>
          <w:rFonts w:ascii="Arial" w:hAnsi="Arial" w:cs="Arial"/>
        </w:rPr>
        <w:t xml:space="preserve">The information provided sets </w:t>
      </w:r>
      <w:r>
        <w:rPr>
          <w:rFonts w:ascii="Arial" w:hAnsi="Arial" w:cs="Arial"/>
        </w:rPr>
        <w:t xml:space="preserve">out prescribing guidelines to </w:t>
      </w:r>
      <w:r w:rsidR="00E87BBF">
        <w:rPr>
          <w:rFonts w:ascii="Arial" w:hAnsi="Arial" w:cs="Arial"/>
        </w:rPr>
        <w:t>aid</w:t>
      </w:r>
      <w:r>
        <w:rPr>
          <w:rFonts w:ascii="Arial" w:hAnsi="Arial" w:cs="Arial"/>
        </w:rPr>
        <w:t xml:space="preserve"> veterinarians in the use of antimicrobials for </w:t>
      </w:r>
      <w:r w:rsidR="00E87BBF">
        <w:rPr>
          <w:rFonts w:ascii="Arial" w:hAnsi="Arial" w:cs="Arial"/>
        </w:rPr>
        <w:t>dogs and cats</w:t>
      </w:r>
      <w:r>
        <w:rPr>
          <w:rFonts w:ascii="Arial" w:hAnsi="Arial" w:cs="Arial"/>
        </w:rPr>
        <w:t xml:space="preserve">. Designed as a portable A5 flipbook. </w:t>
      </w:r>
    </w:p>
    <w:p w14:paraId="0518316D" w14:textId="77777777" w:rsidR="009F5FB7" w:rsidRDefault="009F5FB7" w:rsidP="00E35D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2BC858" w14:textId="14356370" w:rsidR="00E35D63" w:rsidRDefault="004A4519" w:rsidP="0000623E">
      <w:pPr>
        <w:pStyle w:val="Heading2"/>
      </w:pPr>
      <w:r>
        <w:t>Page 1 (f</w:t>
      </w:r>
      <w:r w:rsidR="00E35D63">
        <w:t xml:space="preserve">ront </w:t>
      </w:r>
      <w:r w:rsidR="00A40E87">
        <w:t>c</w:t>
      </w:r>
      <w:r w:rsidR="00E35D63">
        <w:t>over</w:t>
      </w:r>
      <w:r>
        <w:t>)</w:t>
      </w:r>
      <w:r w:rsidR="00E35D63">
        <w:t>:</w:t>
      </w:r>
    </w:p>
    <w:p w14:paraId="17B1C717" w14:textId="77777777" w:rsidR="00E35D63" w:rsidRDefault="00E35D63" w:rsidP="00E35D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9099E" w14:textId="4FA7341E" w:rsidR="00CF56E0" w:rsidRPr="0000623E" w:rsidRDefault="00CF56E0" w:rsidP="00CF56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0623E">
        <w:rPr>
          <w:rFonts w:ascii="Arial" w:hAnsi="Arial" w:cs="Arial"/>
          <w:sz w:val="24"/>
          <w:szCs w:val="24"/>
        </w:rPr>
        <w:t>Guide For Antimicrobial Use In Dogs and Cats</w:t>
      </w:r>
    </w:p>
    <w:p w14:paraId="4D6556FC" w14:textId="77777777" w:rsidR="00CF56E0" w:rsidRPr="00CF56E0" w:rsidRDefault="00CF56E0" w:rsidP="00CF56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t xml:space="preserve">University of Melbourne </w:t>
      </w:r>
    </w:p>
    <w:p w14:paraId="3E797B09" w14:textId="5AE94466" w:rsidR="00CF56E0" w:rsidRPr="00CF56E0" w:rsidRDefault="00CF56E0" w:rsidP="00CF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>For more information and further resources visit</w:t>
      </w:r>
      <w:r w:rsidR="0000623E">
        <w:rPr>
          <w:rFonts w:ascii="Arial" w:hAnsi="Arial" w:cs="Arial"/>
          <w:sz w:val="24"/>
          <w:szCs w:val="24"/>
        </w:rPr>
        <w:t xml:space="preserve"> the Australian Veterinary Prescribing Guidelines </w:t>
      </w:r>
      <w:r w:rsidR="00903FDD">
        <w:rPr>
          <w:rFonts w:ascii="Arial" w:hAnsi="Arial" w:cs="Arial"/>
          <w:sz w:val="24"/>
          <w:szCs w:val="24"/>
        </w:rPr>
        <w:t>of</w:t>
      </w:r>
      <w:r w:rsidR="0000623E">
        <w:rPr>
          <w:rFonts w:ascii="Arial" w:hAnsi="Arial" w:cs="Arial"/>
          <w:sz w:val="24"/>
          <w:szCs w:val="24"/>
        </w:rPr>
        <w:t xml:space="preserve"> the University of Melbourne website at </w:t>
      </w:r>
      <w:r w:rsidRPr="00CF56E0">
        <w:rPr>
          <w:rFonts w:ascii="Arial" w:hAnsi="Arial" w:cs="Arial"/>
          <w:sz w:val="24"/>
          <w:szCs w:val="24"/>
        </w:rPr>
        <w:t>www.fvas.unimelb.edu.au/vetantibiotics</w:t>
      </w:r>
    </w:p>
    <w:p w14:paraId="7DF60078" w14:textId="77777777" w:rsidR="00D157B9" w:rsidRDefault="00D157B9" w:rsidP="00E35D63">
      <w:pPr>
        <w:rPr>
          <w:rFonts w:ascii="Arial" w:hAnsi="Arial" w:cs="Arial"/>
          <w:sz w:val="24"/>
          <w:szCs w:val="24"/>
        </w:rPr>
      </w:pPr>
    </w:p>
    <w:p w14:paraId="09D5663B" w14:textId="156FD2C8" w:rsidR="00E35D63" w:rsidRPr="00E35D63" w:rsidRDefault="00E35D63" w:rsidP="00E35D63">
      <w:pPr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>Developed and designed by Agriculture Victoria, the University of Melbourne, the Asia-Pacific Centre for Animal Health and the National Centre for Antimicrobial Stewardship.</w:t>
      </w:r>
    </w:p>
    <w:p w14:paraId="3C35C154" w14:textId="77777777" w:rsidR="004E0507" w:rsidRDefault="004E0507" w:rsidP="00E35D63">
      <w:pPr>
        <w:rPr>
          <w:rFonts w:ascii="Arial" w:hAnsi="Arial" w:cs="Arial"/>
          <w:sz w:val="24"/>
          <w:szCs w:val="24"/>
        </w:rPr>
      </w:pPr>
    </w:p>
    <w:p w14:paraId="75467A8B" w14:textId="19B1A332" w:rsidR="00E35D63" w:rsidRDefault="004A4519" w:rsidP="00D157B9">
      <w:pPr>
        <w:pStyle w:val="Heading2"/>
      </w:pPr>
      <w:r>
        <w:t>Page 2 (i</w:t>
      </w:r>
      <w:r w:rsidR="00E35D63" w:rsidRPr="00E35D63">
        <w:t>nside</w:t>
      </w:r>
      <w:r>
        <w:t xml:space="preserve"> front</w:t>
      </w:r>
      <w:r w:rsidR="00E35D63" w:rsidRPr="00E35D63">
        <w:t xml:space="preserve"> cover</w:t>
      </w:r>
      <w:r>
        <w:t>)</w:t>
      </w:r>
      <w:r w:rsidR="00E35D63" w:rsidRPr="00E35D63">
        <w:t>:</w:t>
      </w:r>
    </w:p>
    <w:p w14:paraId="21AD46E2" w14:textId="77777777" w:rsidR="00D157B9" w:rsidRDefault="00D157B9" w:rsidP="00E35D63">
      <w:pPr>
        <w:rPr>
          <w:rFonts w:ascii="Arial" w:hAnsi="Arial" w:cs="Arial"/>
          <w:bCs/>
          <w:sz w:val="24"/>
          <w:szCs w:val="24"/>
        </w:rPr>
      </w:pPr>
    </w:p>
    <w:p w14:paraId="4E30CACD" w14:textId="0527CFAC" w:rsidR="00165E61" w:rsidRDefault="00165E61" w:rsidP="00165E61">
      <w:pPr>
        <w:keepNext/>
      </w:pPr>
      <w:r>
        <w:rPr>
          <w:noProof/>
        </w:rPr>
        <w:drawing>
          <wp:inline distT="0" distB="0" distL="0" distR="0" wp14:anchorId="1D370E91" wp14:editId="1F03B8E5">
            <wp:extent cx="1362075" cy="1315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783" cy="132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E61">
        <w:t xml:space="preserve"> </w:t>
      </w:r>
      <w:r>
        <w:t xml:space="preserve">Figure </w:t>
      </w:r>
      <w:fldSimple w:instr=" SEQ Figure \* ARABIC ">
        <w:r w:rsidR="00ED6F78">
          <w:rPr>
            <w:noProof/>
          </w:rPr>
          <w:t>1</w:t>
        </w:r>
      </w:fldSimple>
      <w:r>
        <w:t xml:space="preserve"> Not all bugs need drugs grey and green logo</w:t>
      </w:r>
    </w:p>
    <w:p w14:paraId="2BD82E31" w14:textId="46CA873E" w:rsidR="00E35D63" w:rsidRPr="00D157B9" w:rsidRDefault="00E35D63" w:rsidP="00E35D63">
      <w:pPr>
        <w:rPr>
          <w:rFonts w:ascii="Arial" w:hAnsi="Arial" w:cs="Arial"/>
          <w:bCs/>
          <w:sz w:val="24"/>
          <w:szCs w:val="24"/>
        </w:rPr>
      </w:pPr>
      <w:r w:rsidRPr="00D157B9">
        <w:rPr>
          <w:rFonts w:ascii="Arial" w:hAnsi="Arial" w:cs="Arial"/>
          <w:bCs/>
          <w:sz w:val="24"/>
          <w:szCs w:val="24"/>
        </w:rPr>
        <w:t xml:space="preserve">Play your part in preventing antibiotic resistant infections. </w:t>
      </w:r>
    </w:p>
    <w:p w14:paraId="1F70E5D8" w14:textId="1C4AB55A" w:rsidR="00E35D63" w:rsidRDefault="00E35D63" w:rsidP="00E35D63">
      <w:pPr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>For more information visit</w:t>
      </w:r>
      <w:r w:rsidR="00903FDD">
        <w:rPr>
          <w:rFonts w:ascii="Arial" w:hAnsi="Arial" w:cs="Arial"/>
          <w:sz w:val="24"/>
          <w:szCs w:val="24"/>
        </w:rPr>
        <w:t xml:space="preserve"> the Antimicrobial resistant infections page of the Agriculture Victoria website at</w:t>
      </w:r>
      <w:r w:rsidRPr="00E35D63">
        <w:rPr>
          <w:rFonts w:ascii="Arial" w:hAnsi="Arial" w:cs="Arial"/>
          <w:sz w:val="24"/>
          <w:szCs w:val="24"/>
        </w:rPr>
        <w:t xml:space="preserve"> </w:t>
      </w:r>
      <w:r w:rsidRPr="00903FDD">
        <w:rPr>
          <w:rFonts w:ascii="Arial" w:hAnsi="Arial" w:cs="Arial"/>
          <w:bCs/>
          <w:sz w:val="24"/>
          <w:szCs w:val="24"/>
        </w:rPr>
        <w:t>agriculture.vic.gov.au/</w:t>
      </w:r>
      <w:proofErr w:type="spellStart"/>
      <w:r w:rsidRPr="00903FDD">
        <w:rPr>
          <w:rFonts w:ascii="Arial" w:hAnsi="Arial" w:cs="Arial"/>
          <w:bCs/>
          <w:sz w:val="24"/>
          <w:szCs w:val="24"/>
        </w:rPr>
        <w:t>amr</w:t>
      </w:r>
      <w:proofErr w:type="spellEnd"/>
    </w:p>
    <w:p w14:paraId="11409344" w14:textId="77777777" w:rsidR="00E35D63" w:rsidRPr="00903FDD" w:rsidRDefault="00E35D63" w:rsidP="00E35D63">
      <w:pPr>
        <w:rPr>
          <w:rFonts w:ascii="Arial" w:hAnsi="Arial" w:cs="Arial"/>
          <w:bCs/>
          <w:sz w:val="24"/>
          <w:szCs w:val="24"/>
        </w:rPr>
      </w:pPr>
      <w:r w:rsidRPr="00903FDD">
        <w:rPr>
          <w:rFonts w:ascii="Arial" w:hAnsi="Arial" w:cs="Arial"/>
          <w:bCs/>
          <w:sz w:val="24"/>
          <w:szCs w:val="24"/>
        </w:rPr>
        <w:t>We all have an important role to play in the fight against antimicrobial resistance.</w:t>
      </w:r>
    </w:p>
    <w:p w14:paraId="755E5CEF" w14:textId="77777777" w:rsidR="00E35D63" w:rsidRPr="00E35D63" w:rsidRDefault="00E35D63" w:rsidP="00E35D63">
      <w:pPr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 xml:space="preserve">As part of our commitment to the implementation of the National Antimicrobial Resistance Strategy 2015-2019, AgVic and The University of Melbourne have created education materials about antimicrobial resistance (AMR) and antimicrobial stewardship (AMS). The resources aim to provide a practical guide for the prescribing of antimicrobials that can help start the conversation about AMR with clients. </w:t>
      </w:r>
    </w:p>
    <w:p w14:paraId="402036BC" w14:textId="77777777" w:rsidR="00E35D63" w:rsidRPr="00E35D63" w:rsidRDefault="00E35D63" w:rsidP="00E35D63">
      <w:pPr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 xml:space="preserve">FREE RESOURCES </w:t>
      </w:r>
    </w:p>
    <w:p w14:paraId="72134EEF" w14:textId="77777777" w:rsidR="00CF56E0" w:rsidRPr="00CF56E0" w:rsidRDefault="00CF56E0" w:rsidP="00CF56E0">
      <w:pPr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t>• A5 antibiotic category cards for cattle, horses, sheep, chickens and pigs</w:t>
      </w:r>
    </w:p>
    <w:p w14:paraId="69C81079" w14:textId="77777777" w:rsidR="00CF56E0" w:rsidRPr="00CF56E0" w:rsidRDefault="00CF56E0" w:rsidP="00CF56E0">
      <w:pPr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t>• Pocket guide for antimicrobial use in horses • A3 waiting room posters</w:t>
      </w:r>
    </w:p>
    <w:p w14:paraId="3B2CE738" w14:textId="77777777" w:rsidR="00CF56E0" w:rsidRPr="00CF56E0" w:rsidRDefault="00CF56E0" w:rsidP="00CF56E0">
      <w:pPr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lastRenderedPageBreak/>
        <w:t>• A5 prescribing tearaway pads • A4 fact sheet on MRSP • A6 sticker sheets</w:t>
      </w:r>
    </w:p>
    <w:p w14:paraId="44AF3373" w14:textId="77777777" w:rsidR="00CF56E0" w:rsidRPr="00CF56E0" w:rsidRDefault="00CF56E0" w:rsidP="00CF56E0">
      <w:pPr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t>• DL Double-sided prescribing leaﬂets  • A4 S4 medicated feed order posters</w:t>
      </w:r>
    </w:p>
    <w:p w14:paraId="6F59AD4B" w14:textId="77777777" w:rsidR="00CF56E0" w:rsidRDefault="00CF56E0" w:rsidP="00CF56E0">
      <w:pPr>
        <w:rPr>
          <w:rFonts w:ascii="Arial" w:hAnsi="Arial" w:cs="Arial"/>
          <w:sz w:val="24"/>
          <w:szCs w:val="24"/>
        </w:rPr>
      </w:pPr>
      <w:r w:rsidRPr="00CF56E0">
        <w:rPr>
          <w:rFonts w:ascii="Arial" w:hAnsi="Arial" w:cs="Arial"/>
          <w:sz w:val="24"/>
          <w:szCs w:val="24"/>
        </w:rPr>
        <w:t>• A2 Australian Prescribing Guidelines for horses • Antibiotic Guardian lapel pins</w:t>
      </w:r>
    </w:p>
    <w:p w14:paraId="3D0F4DC1" w14:textId="3D8340CC" w:rsidR="00E35D63" w:rsidRDefault="00E35D63" w:rsidP="00CF56E0">
      <w:pPr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 xml:space="preserve">You can order our resources by emailing </w:t>
      </w:r>
      <w:r w:rsidRPr="00914F37">
        <w:rPr>
          <w:rFonts w:ascii="Arial" w:hAnsi="Arial" w:cs="Arial"/>
          <w:bCs/>
          <w:sz w:val="24"/>
          <w:szCs w:val="24"/>
        </w:rPr>
        <w:t>animal.biosecurity@</w:t>
      </w:r>
      <w:r w:rsidR="00CF56E0" w:rsidRPr="00914F37">
        <w:rPr>
          <w:rFonts w:ascii="Arial" w:hAnsi="Arial" w:cs="Arial"/>
          <w:bCs/>
          <w:sz w:val="24"/>
          <w:szCs w:val="24"/>
        </w:rPr>
        <w:t>agriculture</w:t>
      </w:r>
      <w:r w:rsidRPr="00914F37">
        <w:rPr>
          <w:rFonts w:ascii="Arial" w:hAnsi="Arial" w:cs="Arial"/>
          <w:bCs/>
          <w:sz w:val="24"/>
          <w:szCs w:val="24"/>
        </w:rPr>
        <w:t>.vic.gov.au</w:t>
      </w:r>
      <w:r w:rsidRPr="00E35D63">
        <w:rPr>
          <w:rFonts w:ascii="Arial" w:hAnsi="Arial" w:cs="Arial"/>
          <w:sz w:val="24"/>
          <w:szCs w:val="24"/>
        </w:rPr>
        <w:t xml:space="preserve"> </w:t>
      </w:r>
    </w:p>
    <w:p w14:paraId="07FEC5C3" w14:textId="77777777" w:rsidR="00CF56E0" w:rsidRDefault="00CF56E0" w:rsidP="00E35D63">
      <w:pPr>
        <w:rPr>
          <w:rFonts w:ascii="Arial" w:hAnsi="Arial" w:cs="Arial"/>
          <w:b/>
          <w:sz w:val="24"/>
          <w:szCs w:val="24"/>
        </w:rPr>
      </w:pPr>
    </w:p>
    <w:p w14:paraId="0F26AAE0" w14:textId="39648FF9" w:rsidR="00E35D63" w:rsidRDefault="00E35D63" w:rsidP="00914F37">
      <w:pPr>
        <w:pStyle w:val="Heading2"/>
      </w:pPr>
      <w:r w:rsidRPr="00E35D63">
        <w:t xml:space="preserve">Page </w:t>
      </w:r>
      <w:r w:rsidR="004A4519">
        <w:t>3</w:t>
      </w:r>
      <w:r w:rsidRPr="00E35D63">
        <w:t>:</w:t>
      </w:r>
    </w:p>
    <w:p w14:paraId="61F42277" w14:textId="77777777" w:rsidR="00914F37" w:rsidRPr="00914F37" w:rsidRDefault="00914F37" w:rsidP="00914F37"/>
    <w:p w14:paraId="208FC3C2" w14:textId="4E953EDF" w:rsidR="00E35D63" w:rsidRPr="00914F37" w:rsidRDefault="006A38D2" w:rsidP="000A0949">
      <w:pPr>
        <w:pStyle w:val="Heading3"/>
      </w:pPr>
      <w:r w:rsidRPr="00914F37">
        <w:t>Antibiotic Pharmacokinetics &amp; Pharmacodynamics</w:t>
      </w:r>
    </w:p>
    <w:p w14:paraId="21A8CA48" w14:textId="77777777" w:rsidR="000A0949" w:rsidRDefault="000A0949" w:rsidP="006A38D2">
      <w:pPr>
        <w:rPr>
          <w:rFonts w:ascii="Arial" w:hAnsi="Arial" w:cs="Arial"/>
          <w:sz w:val="24"/>
          <w:szCs w:val="24"/>
        </w:rPr>
      </w:pPr>
    </w:p>
    <w:p w14:paraId="2CCD59E9" w14:textId="3B615FE6" w:rsidR="006A38D2" w:rsidRPr="00914F37" w:rsidRDefault="006A38D2" w:rsidP="006A38D2">
      <w:pPr>
        <w:rPr>
          <w:rFonts w:ascii="Arial" w:hAnsi="Arial" w:cs="Arial"/>
          <w:sz w:val="24"/>
          <w:szCs w:val="24"/>
        </w:rPr>
      </w:pPr>
      <w:r w:rsidRPr="00914F37">
        <w:rPr>
          <w:rFonts w:ascii="Arial" w:hAnsi="Arial" w:cs="Arial"/>
          <w:sz w:val="24"/>
          <w:szCs w:val="24"/>
        </w:rPr>
        <w:t>Bacteriostatic Vs Bactericidal</w:t>
      </w:r>
    </w:p>
    <w:p w14:paraId="7C97C3E8" w14:textId="77777777" w:rsidR="006A38D2" w:rsidRDefault="006A38D2" w:rsidP="006A38D2">
      <w:pPr>
        <w:rPr>
          <w:rFonts w:ascii="Arial" w:hAnsi="Arial" w:cs="Arial"/>
          <w:bCs/>
          <w:sz w:val="24"/>
          <w:szCs w:val="24"/>
        </w:rPr>
        <w:sectPr w:rsidR="006A38D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FF0926" w14:textId="4E99C7EE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Bacteriostatic</w:t>
      </w:r>
    </w:p>
    <w:p w14:paraId="3F0ED7EA" w14:textId="4C78DF54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“</w:t>
      </w:r>
      <w:proofErr w:type="spellStart"/>
      <w:r w:rsidRPr="006840EC">
        <w:rPr>
          <w:rFonts w:ascii="Arial" w:hAnsi="Arial" w:cs="Arial"/>
          <w:bCs/>
          <w:sz w:val="24"/>
          <w:szCs w:val="24"/>
        </w:rPr>
        <w:t>ECSTaTiC</w:t>
      </w:r>
      <w:proofErr w:type="spellEnd"/>
      <w:r w:rsidRPr="006840EC">
        <w:rPr>
          <w:rFonts w:ascii="Arial" w:hAnsi="Arial" w:cs="Arial"/>
          <w:bCs/>
          <w:sz w:val="24"/>
          <w:szCs w:val="24"/>
        </w:rPr>
        <w:t xml:space="preserve"> for bacteriostatic”</w:t>
      </w:r>
    </w:p>
    <w:p w14:paraId="377DEF12" w14:textId="4255FBFC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Erythromycin (macrolides)</w:t>
      </w:r>
    </w:p>
    <w:p w14:paraId="75494ED1" w14:textId="62F8784A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Clindamycin</w:t>
      </w:r>
    </w:p>
    <w:p w14:paraId="18619A7E" w14:textId="3841327C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Sulphonamides</w:t>
      </w:r>
    </w:p>
    <w:p w14:paraId="7370A345" w14:textId="7E104ADF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Trimethoprim</w:t>
      </w:r>
    </w:p>
    <w:p w14:paraId="4334838E" w14:textId="24CD0F3B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Tetracyclines</w:t>
      </w:r>
    </w:p>
    <w:p w14:paraId="50A7B13B" w14:textId="3D404D22" w:rsidR="006A38D2" w:rsidRPr="006840EC" w:rsidRDefault="006A38D2" w:rsidP="00FD51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 xml:space="preserve">Chloramphenicol </w:t>
      </w:r>
    </w:p>
    <w:p w14:paraId="4C470BAF" w14:textId="3E938418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Bactericidal</w:t>
      </w:r>
    </w:p>
    <w:p w14:paraId="5C981DF3" w14:textId="5CCD38D8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“Very Proficient For Complete Cell Murder”</w:t>
      </w:r>
    </w:p>
    <w:p w14:paraId="52C1EA43" w14:textId="2EE11468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Vancomycin</w:t>
      </w:r>
    </w:p>
    <w:p w14:paraId="7444F742" w14:textId="7FF1A2DD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Penicillin</w:t>
      </w:r>
    </w:p>
    <w:p w14:paraId="14CEA6E6" w14:textId="33E86E41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Fluoroquinolones</w:t>
      </w:r>
    </w:p>
    <w:p w14:paraId="56E58C36" w14:textId="5C152B2F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Cephalosporins</w:t>
      </w:r>
    </w:p>
    <w:p w14:paraId="3F40D879" w14:textId="1A541B25" w:rsidR="006A38D2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Carbapenems</w:t>
      </w:r>
    </w:p>
    <w:p w14:paraId="06A21C09" w14:textId="1A24B753" w:rsidR="00BA328B" w:rsidRPr="006840EC" w:rsidRDefault="006A38D2" w:rsidP="00FD518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Metronidazole</w:t>
      </w:r>
    </w:p>
    <w:p w14:paraId="6EB64A19" w14:textId="77777777" w:rsidR="006A38D2" w:rsidRDefault="006A38D2" w:rsidP="00BA328B">
      <w:pPr>
        <w:rPr>
          <w:rFonts w:ascii="Arial" w:hAnsi="Arial" w:cs="Arial"/>
          <w:b/>
          <w:bCs/>
          <w:color w:val="FFFFFF"/>
          <w:sz w:val="18"/>
          <w:szCs w:val="18"/>
        </w:rPr>
        <w:sectPr w:rsidR="006A38D2" w:rsidSect="0000623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FC5156" w14:textId="77777777" w:rsidR="006A38D2" w:rsidRPr="006840EC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Intrinsic resistance Vs Acquired resistance</w:t>
      </w:r>
    </w:p>
    <w:p w14:paraId="0AC91C13" w14:textId="77777777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Intrinsic resistance</w:t>
      </w:r>
    </w:p>
    <w:p w14:paraId="51D7EA04" w14:textId="77777777" w:rsidR="006A38D2" w:rsidRPr="006840EC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 xml:space="preserve">All members of a bacterial genus or species have properties that make them naturally resistant to certain antimicrobials. </w:t>
      </w:r>
    </w:p>
    <w:p w14:paraId="4C20CAD7" w14:textId="634464B2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Acquired resistance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44DE840" w14:textId="09876B90" w:rsidR="004A4519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Previously susceptible bacteria acquire new genes or a mutation occurs conferring resistance.</w:t>
      </w:r>
    </w:p>
    <w:p w14:paraId="2B3626DD" w14:textId="7DA7B220" w:rsidR="006840EC" w:rsidRDefault="006840EC" w:rsidP="006840EC">
      <w:pPr>
        <w:rPr>
          <w:rFonts w:ascii="Arial" w:hAnsi="Arial" w:cs="Arial"/>
          <w:bCs/>
          <w:sz w:val="24"/>
          <w:szCs w:val="24"/>
        </w:rPr>
      </w:pPr>
    </w:p>
    <w:p w14:paraId="25695EE7" w14:textId="77777777" w:rsidR="006840EC" w:rsidRPr="006840EC" w:rsidRDefault="006840EC" w:rsidP="006840EC">
      <w:pPr>
        <w:rPr>
          <w:rFonts w:ascii="Arial" w:hAnsi="Arial" w:cs="Arial"/>
          <w:bCs/>
          <w:sz w:val="24"/>
          <w:szCs w:val="24"/>
        </w:rPr>
      </w:pPr>
    </w:p>
    <w:p w14:paraId="34DECB18" w14:textId="79478AF7" w:rsidR="006A38D2" w:rsidRPr="006840EC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lastRenderedPageBreak/>
        <w:t>Time-Dependent Vs Concentration Dependent</w:t>
      </w:r>
    </w:p>
    <w:p w14:paraId="4E55BF0C" w14:textId="77777777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Time-Dependent</w:t>
      </w:r>
    </w:p>
    <w:p w14:paraId="4A8F109E" w14:textId="5E422068" w:rsidR="006A38D2" w:rsidRPr="006840EC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Optimise killing by maximising time above MIC.</w:t>
      </w:r>
    </w:p>
    <w:p w14:paraId="7B356017" w14:textId="43B1AB05" w:rsidR="006A38D2" w:rsidRPr="006840EC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More frequent administration or extended infusion increases efficacy by extending</w:t>
      </w:r>
      <w:r w:rsidRPr="006840EC">
        <w:rPr>
          <w:rFonts w:ascii="Arial" w:hAnsi="Arial" w:cs="Arial"/>
          <w:bCs/>
          <w:sz w:val="24"/>
          <w:szCs w:val="24"/>
        </w:rPr>
        <w:tab/>
        <w:t>T&gt;MIC.</w:t>
      </w:r>
    </w:p>
    <w:p w14:paraId="49B445AB" w14:textId="486A7E2A" w:rsidR="006A38D2" w:rsidRPr="006840EC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 xml:space="preserve">Goal exceed MIC by 1-5 times for 50-80% of dosage interval.   </w:t>
      </w:r>
    </w:p>
    <w:p w14:paraId="48AB288F" w14:textId="566A7F56" w:rsidR="006A38D2" w:rsidRDefault="006A38D2" w:rsidP="00FD518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6840EC">
        <w:rPr>
          <w:rFonts w:ascii="Arial" w:hAnsi="Arial" w:cs="Arial"/>
          <w:bCs/>
          <w:sz w:val="24"/>
          <w:szCs w:val="24"/>
        </w:rPr>
        <w:t>E.g. penicillin, cephalexin, TMS,</w:t>
      </w:r>
      <w:r w:rsidRPr="006840EC">
        <w:rPr>
          <w:rFonts w:ascii="Arial" w:hAnsi="Arial" w:cs="Arial"/>
          <w:bCs/>
          <w:sz w:val="24"/>
          <w:szCs w:val="24"/>
        </w:rPr>
        <w:tab/>
        <w:t>tetracyclines,</w:t>
      </w:r>
      <w:r w:rsidRPr="006840EC">
        <w:rPr>
          <w:rFonts w:ascii="Arial" w:hAnsi="Arial" w:cs="Arial"/>
          <w:bCs/>
          <w:sz w:val="24"/>
          <w:szCs w:val="24"/>
        </w:rPr>
        <w:tab/>
        <w:t>clindamycin.</w:t>
      </w:r>
    </w:p>
    <w:p w14:paraId="74F696E0" w14:textId="7350AB21" w:rsidR="00720336" w:rsidRPr="006840EC" w:rsidRDefault="00720336" w:rsidP="00720336">
      <w:pPr>
        <w:pStyle w:val="Caption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4548464" wp14:editId="58B8FF5C">
            <wp:extent cx="2390775" cy="100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336">
        <w:t xml:space="preserve"> </w:t>
      </w:r>
      <w:r>
        <w:t xml:space="preserve">Figure </w:t>
      </w:r>
      <w:fldSimple w:instr=" SEQ Figure \* ARABIC ">
        <w:r w:rsidR="00ED6F78">
          <w:rPr>
            <w:noProof/>
          </w:rPr>
          <w:t>2</w:t>
        </w:r>
      </w:fldSimple>
      <w:r>
        <w:t>Concentration vs time curve showing MIC</w:t>
      </w:r>
    </w:p>
    <w:p w14:paraId="7B967BCE" w14:textId="77777777" w:rsidR="006A38D2" w:rsidRDefault="006A38D2" w:rsidP="006A38D2">
      <w:pPr>
        <w:rPr>
          <w:rFonts w:ascii="Arial" w:hAnsi="Arial" w:cs="Arial"/>
          <w:bCs/>
          <w:sz w:val="24"/>
          <w:szCs w:val="24"/>
        </w:rPr>
      </w:pPr>
    </w:p>
    <w:p w14:paraId="01DE0467" w14:textId="6C4DB144" w:rsidR="006A38D2" w:rsidRPr="006A38D2" w:rsidRDefault="006A38D2" w:rsidP="006A38D2">
      <w:pPr>
        <w:rPr>
          <w:rFonts w:ascii="Arial" w:hAnsi="Arial" w:cs="Arial"/>
          <w:bCs/>
          <w:sz w:val="24"/>
          <w:szCs w:val="24"/>
        </w:rPr>
      </w:pPr>
      <w:r w:rsidRPr="006A38D2">
        <w:rPr>
          <w:rFonts w:ascii="Arial" w:hAnsi="Arial" w:cs="Arial"/>
          <w:bCs/>
          <w:sz w:val="24"/>
          <w:szCs w:val="24"/>
        </w:rPr>
        <w:t>Concentration Dependent</w:t>
      </w:r>
    </w:p>
    <w:p w14:paraId="3D5B8AAE" w14:textId="1207D9BB" w:rsidR="006A38D2" w:rsidRPr="003F4149" w:rsidRDefault="006A38D2" w:rsidP="00FD5183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F4149">
        <w:rPr>
          <w:rFonts w:ascii="Arial" w:hAnsi="Arial" w:cs="Arial"/>
          <w:bCs/>
          <w:sz w:val="24"/>
          <w:szCs w:val="24"/>
        </w:rPr>
        <w:t>Optimise killing by maximising peak concentration.</w:t>
      </w:r>
    </w:p>
    <w:p w14:paraId="782AC27F" w14:textId="5E8E25E2" w:rsidR="006A38D2" w:rsidRPr="003F4149" w:rsidRDefault="006A38D2" w:rsidP="00FD5183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F4149">
        <w:rPr>
          <w:rFonts w:ascii="Arial" w:hAnsi="Arial" w:cs="Arial"/>
          <w:bCs/>
          <w:sz w:val="24"/>
          <w:szCs w:val="24"/>
        </w:rPr>
        <w:t>Higher doses at less frequent intervals (</w:t>
      </w:r>
      <w:proofErr w:type="spellStart"/>
      <w:r w:rsidRPr="003F4149">
        <w:rPr>
          <w:rFonts w:ascii="Arial" w:hAnsi="Arial" w:cs="Arial"/>
          <w:bCs/>
          <w:sz w:val="24"/>
          <w:szCs w:val="24"/>
        </w:rPr>
        <w:t>ie</w:t>
      </w:r>
      <w:proofErr w:type="spellEnd"/>
      <w:r w:rsidRPr="003F4149">
        <w:rPr>
          <w:rFonts w:ascii="Arial" w:hAnsi="Arial" w:cs="Arial"/>
          <w:bCs/>
          <w:sz w:val="24"/>
          <w:szCs w:val="24"/>
        </w:rPr>
        <w:t xml:space="preserve">. once daily) increases efficacy </w:t>
      </w:r>
      <w:r w:rsidRPr="003F4149">
        <w:rPr>
          <w:rFonts w:ascii="Arial" w:hAnsi="Arial" w:cs="Arial"/>
          <w:bCs/>
          <w:sz w:val="24"/>
          <w:szCs w:val="24"/>
        </w:rPr>
        <w:tab/>
        <w:t xml:space="preserve">by maximising </w:t>
      </w:r>
      <w:proofErr w:type="spellStart"/>
      <w:r w:rsidRPr="003F4149">
        <w:rPr>
          <w:rFonts w:ascii="Arial" w:hAnsi="Arial" w:cs="Arial"/>
          <w:bCs/>
          <w:sz w:val="24"/>
          <w:szCs w:val="24"/>
        </w:rPr>
        <w:t>Cmax:MIC</w:t>
      </w:r>
      <w:proofErr w:type="spellEnd"/>
      <w:r w:rsidRPr="003F4149">
        <w:rPr>
          <w:rFonts w:ascii="Arial" w:hAnsi="Arial" w:cs="Arial"/>
          <w:bCs/>
          <w:sz w:val="24"/>
          <w:szCs w:val="24"/>
        </w:rPr>
        <w:t xml:space="preserve"> ratio.</w:t>
      </w:r>
    </w:p>
    <w:p w14:paraId="1B747D65" w14:textId="38500868" w:rsidR="006A38D2" w:rsidRPr="003F4149" w:rsidRDefault="006A38D2" w:rsidP="00FD5183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F4149">
        <w:rPr>
          <w:rFonts w:ascii="Arial" w:hAnsi="Arial" w:cs="Arial"/>
          <w:bCs/>
          <w:sz w:val="24"/>
          <w:szCs w:val="24"/>
        </w:rPr>
        <w:t xml:space="preserve">Goal </w:t>
      </w:r>
      <w:proofErr w:type="spellStart"/>
      <w:r w:rsidRPr="003F4149">
        <w:rPr>
          <w:rFonts w:ascii="Arial" w:hAnsi="Arial" w:cs="Arial"/>
          <w:bCs/>
          <w:sz w:val="24"/>
          <w:szCs w:val="24"/>
        </w:rPr>
        <w:t>Cmax:MIC</w:t>
      </w:r>
      <w:proofErr w:type="spellEnd"/>
      <w:r w:rsidRPr="003F4149">
        <w:rPr>
          <w:rFonts w:ascii="Arial" w:hAnsi="Arial" w:cs="Arial"/>
          <w:bCs/>
          <w:sz w:val="24"/>
          <w:szCs w:val="24"/>
        </w:rPr>
        <w:t xml:space="preserve"> &gt;8.</w:t>
      </w:r>
    </w:p>
    <w:p w14:paraId="1319F34C" w14:textId="2386D7D9" w:rsidR="006A38D2" w:rsidRDefault="006A38D2" w:rsidP="00FD5183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3F4149">
        <w:rPr>
          <w:rFonts w:ascii="Arial" w:hAnsi="Arial" w:cs="Arial"/>
          <w:bCs/>
          <w:sz w:val="24"/>
          <w:szCs w:val="24"/>
        </w:rPr>
        <w:t>E.g. aminoglycosides, fluoroquinolones, metronidazole.</w:t>
      </w:r>
    </w:p>
    <w:p w14:paraId="3A37A79D" w14:textId="5220BD3C" w:rsidR="00AF67B2" w:rsidRPr="003F4149" w:rsidRDefault="00AF67B2" w:rsidP="00AF67B2">
      <w:pPr>
        <w:pStyle w:val="Caption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169E43" wp14:editId="7851BEA9">
            <wp:extent cx="2409825" cy="1047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7B2">
        <w:t xml:space="preserve"> </w:t>
      </w:r>
      <w:r>
        <w:t xml:space="preserve">Figure </w:t>
      </w:r>
      <w:fldSimple w:instr=" SEQ Figure \* ARABIC ">
        <w:r w:rsidR="00ED6F78">
          <w:rPr>
            <w:noProof/>
          </w:rPr>
          <w:t>3</w:t>
        </w:r>
      </w:fldSimple>
      <w:r>
        <w:t xml:space="preserve"> Concentration vs time curve showing </w:t>
      </w:r>
      <w:proofErr w:type="spellStart"/>
      <w:r>
        <w:t>Cmax</w:t>
      </w:r>
      <w:proofErr w:type="spellEnd"/>
      <w:r>
        <w:t>/MIC</w:t>
      </w:r>
    </w:p>
    <w:p w14:paraId="07C5B330" w14:textId="77777777" w:rsidR="00793E33" w:rsidRDefault="00793E33" w:rsidP="00BA328B">
      <w:pPr>
        <w:rPr>
          <w:rFonts w:ascii="Arial" w:hAnsi="Arial" w:cs="Arial"/>
          <w:b/>
          <w:sz w:val="24"/>
          <w:szCs w:val="24"/>
        </w:rPr>
      </w:pPr>
    </w:p>
    <w:p w14:paraId="4544A1BA" w14:textId="77777777" w:rsidR="009C6122" w:rsidRDefault="009C6122" w:rsidP="00287D7F">
      <w:pPr>
        <w:pStyle w:val="Heading2"/>
      </w:pPr>
    </w:p>
    <w:p w14:paraId="32CC586B" w14:textId="77777777" w:rsidR="009C6122" w:rsidRDefault="009C6122" w:rsidP="00287D7F">
      <w:pPr>
        <w:pStyle w:val="Heading2"/>
      </w:pPr>
    </w:p>
    <w:p w14:paraId="24E35211" w14:textId="77777777" w:rsidR="009C6122" w:rsidRDefault="009C6122" w:rsidP="00287D7F">
      <w:pPr>
        <w:pStyle w:val="Heading2"/>
      </w:pPr>
    </w:p>
    <w:p w14:paraId="3005A42E" w14:textId="77777777" w:rsidR="009C6122" w:rsidRDefault="009C6122" w:rsidP="00287D7F">
      <w:pPr>
        <w:pStyle w:val="Heading2"/>
      </w:pPr>
    </w:p>
    <w:p w14:paraId="172F5D7D" w14:textId="77777777" w:rsidR="009C6122" w:rsidRDefault="009C6122" w:rsidP="00287D7F">
      <w:pPr>
        <w:pStyle w:val="Heading2"/>
      </w:pPr>
    </w:p>
    <w:p w14:paraId="2F1D0D42" w14:textId="77777777" w:rsidR="009C6122" w:rsidRDefault="009C6122" w:rsidP="00287D7F">
      <w:pPr>
        <w:pStyle w:val="Heading2"/>
      </w:pPr>
    </w:p>
    <w:p w14:paraId="748C111D" w14:textId="77777777" w:rsidR="009C6122" w:rsidRDefault="009C6122" w:rsidP="00287D7F">
      <w:pPr>
        <w:pStyle w:val="Heading2"/>
      </w:pPr>
    </w:p>
    <w:p w14:paraId="1C5A3D6D" w14:textId="77777777" w:rsidR="009C6122" w:rsidRDefault="009C6122" w:rsidP="00287D7F">
      <w:pPr>
        <w:pStyle w:val="Heading2"/>
      </w:pPr>
    </w:p>
    <w:p w14:paraId="2D9A7D9D" w14:textId="77777777" w:rsidR="009C6122" w:rsidRDefault="009C6122" w:rsidP="00287D7F">
      <w:pPr>
        <w:pStyle w:val="Heading2"/>
      </w:pPr>
    </w:p>
    <w:p w14:paraId="79663425" w14:textId="77777777" w:rsidR="009C6122" w:rsidRDefault="009C6122" w:rsidP="00287D7F">
      <w:pPr>
        <w:pStyle w:val="Heading2"/>
      </w:pPr>
    </w:p>
    <w:p w14:paraId="3FC80F8A" w14:textId="77777777" w:rsidR="00710743" w:rsidRDefault="00710743">
      <w:pPr>
        <w:rPr>
          <w:rFonts w:ascii="Arial" w:eastAsiaTheme="majorEastAsia" w:hAnsi="Arial" w:cstheme="majorBidi"/>
          <w:sz w:val="28"/>
          <w:szCs w:val="26"/>
        </w:rPr>
      </w:pPr>
      <w:r>
        <w:br w:type="page"/>
      </w:r>
    </w:p>
    <w:p w14:paraId="3BD38A7C" w14:textId="44E9289E" w:rsidR="00BA328B" w:rsidRPr="00E35D63" w:rsidRDefault="00BA328B" w:rsidP="00287D7F">
      <w:pPr>
        <w:pStyle w:val="Heading2"/>
      </w:pPr>
      <w:r w:rsidRPr="00E35D63">
        <w:lastRenderedPageBreak/>
        <w:t xml:space="preserve">Page </w:t>
      </w:r>
      <w:r w:rsidR="004A4519">
        <w:t>4</w:t>
      </w:r>
      <w:r w:rsidRPr="00E35D63">
        <w:t>:</w:t>
      </w:r>
    </w:p>
    <w:p w14:paraId="1ED86944" w14:textId="0CA7FDE0" w:rsidR="00793E33" w:rsidRPr="00287D7F" w:rsidRDefault="00793E33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D7F">
        <w:rPr>
          <w:rFonts w:ascii="Arial" w:hAnsi="Arial" w:cs="Arial"/>
          <w:sz w:val="24"/>
          <w:szCs w:val="24"/>
        </w:rPr>
        <w:t>Table showing Spectrum of Activity Against Common Bacteria</w:t>
      </w:r>
    </w:p>
    <w:p w14:paraId="3B7FD9CA" w14:textId="77777777" w:rsidR="009C6122" w:rsidRDefault="009C6122" w:rsidP="009C6122">
      <w:pPr>
        <w:keepNext/>
      </w:pPr>
      <w:r>
        <w:rPr>
          <w:noProof/>
        </w:rPr>
        <w:drawing>
          <wp:inline distT="0" distB="0" distL="0" distR="0" wp14:anchorId="756E07FA" wp14:editId="424F8DEA">
            <wp:extent cx="5731510" cy="37236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0E38" w14:textId="0E4E74CC" w:rsidR="001E149B" w:rsidRDefault="009C6122" w:rsidP="009C6122">
      <w:pPr>
        <w:pStyle w:val="Caption"/>
        <w:rPr>
          <w:rFonts w:ascii="Arial" w:hAnsi="Arial" w:cs="Arial"/>
          <w:b/>
          <w:sz w:val="24"/>
          <w:szCs w:val="24"/>
        </w:rPr>
      </w:pPr>
      <w:r>
        <w:t xml:space="preserve">Figure </w:t>
      </w:r>
      <w:r w:rsidR="00D74563">
        <w:fldChar w:fldCharType="begin"/>
      </w:r>
      <w:r w:rsidR="00D74563">
        <w:instrText xml:space="preserve"> SEQ Figure \* ARABIC </w:instrText>
      </w:r>
      <w:r w:rsidR="00D74563">
        <w:fldChar w:fldCharType="separate"/>
      </w:r>
      <w:r w:rsidR="00ED6F78">
        <w:rPr>
          <w:noProof/>
        </w:rPr>
        <w:t>4</w:t>
      </w:r>
      <w:r w:rsidR="00D74563">
        <w:rPr>
          <w:noProof/>
        </w:rPr>
        <w:fldChar w:fldCharType="end"/>
      </w:r>
      <w:r>
        <w:t xml:space="preserve"> A guide to empirical therapy while awaiting susceptibility results</w:t>
      </w:r>
    </w:p>
    <w:p w14:paraId="12889D16" w14:textId="6CABEB00" w:rsidR="009840D3" w:rsidRDefault="00BA328B" w:rsidP="00710743">
      <w:pPr>
        <w:pStyle w:val="Heading2"/>
      </w:pPr>
      <w:r w:rsidRPr="00E35D63">
        <w:t>Pag</w:t>
      </w:r>
      <w:r w:rsidR="00A21483">
        <w:t>es 5 to 12</w:t>
      </w:r>
      <w:r w:rsidRPr="00E35D63">
        <w:t>:</w:t>
      </w:r>
    </w:p>
    <w:p w14:paraId="5584C812" w14:textId="0AB36EF5" w:rsidR="001E7DC6" w:rsidRDefault="001E7DC6" w:rsidP="00BA328B">
      <w:pPr>
        <w:rPr>
          <w:rFonts w:ascii="Arial" w:hAnsi="Arial" w:cs="Arial"/>
          <w:bCs/>
          <w:sz w:val="24"/>
          <w:szCs w:val="24"/>
        </w:rPr>
      </w:pPr>
      <w:r w:rsidRPr="00710743">
        <w:rPr>
          <w:rFonts w:ascii="Arial" w:hAnsi="Arial" w:cs="Arial"/>
          <w:bCs/>
          <w:sz w:val="24"/>
          <w:szCs w:val="24"/>
        </w:rPr>
        <w:t>Tabulate</w:t>
      </w:r>
      <w:r w:rsidR="007F2063">
        <w:rPr>
          <w:rFonts w:ascii="Arial" w:hAnsi="Arial" w:cs="Arial"/>
          <w:bCs/>
          <w:sz w:val="24"/>
          <w:szCs w:val="24"/>
        </w:rPr>
        <w:t>d</w:t>
      </w:r>
      <w:r w:rsidRPr="00710743">
        <w:rPr>
          <w:rFonts w:ascii="Arial" w:hAnsi="Arial" w:cs="Arial"/>
          <w:bCs/>
          <w:sz w:val="24"/>
          <w:szCs w:val="24"/>
        </w:rPr>
        <w:t xml:space="preserve"> brief descriptions of </w:t>
      </w:r>
      <w:r w:rsidR="007F2063">
        <w:rPr>
          <w:rFonts w:ascii="Arial" w:hAnsi="Arial" w:cs="Arial"/>
          <w:bCs/>
          <w:sz w:val="24"/>
          <w:szCs w:val="24"/>
        </w:rPr>
        <w:t>common</w:t>
      </w:r>
      <w:r w:rsidRPr="00710743">
        <w:rPr>
          <w:rFonts w:ascii="Arial" w:hAnsi="Arial" w:cs="Arial"/>
          <w:bCs/>
          <w:sz w:val="24"/>
          <w:szCs w:val="24"/>
        </w:rPr>
        <w:t xml:space="preserve"> antibiotics by drug class, importance rating, antibiotic, route, drug dose, adverse reactions and clinical pearls. </w:t>
      </w:r>
    </w:p>
    <w:p w14:paraId="20B46FC4" w14:textId="0AE7A610" w:rsidR="00D10F42" w:rsidRDefault="00D10F42" w:rsidP="00D10F42">
      <w:pPr>
        <w:pStyle w:val="Heading3"/>
      </w:pPr>
      <w:r>
        <w:lastRenderedPageBreak/>
        <w:t>Drug Class: Beta</w:t>
      </w:r>
      <w:r w:rsidR="009C3D81">
        <w:t>-</w:t>
      </w:r>
      <w:r>
        <w:t>lactams</w:t>
      </w:r>
    </w:p>
    <w:tbl>
      <w:tblPr>
        <w:tblStyle w:val="TableGrid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704B" w:rsidRPr="0010670F" w14:paraId="69C7B817" w14:textId="77777777" w:rsidTr="001B5178">
        <w:tc>
          <w:tcPr>
            <w:tcW w:w="2122" w:type="dxa"/>
          </w:tcPr>
          <w:p w14:paraId="34144D4E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9E6794A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Amoxycillin</w:t>
            </w:r>
          </w:p>
        </w:tc>
      </w:tr>
      <w:tr w:rsidR="0095704B" w:rsidRPr="0010670F" w14:paraId="3D7D74BB" w14:textId="77777777" w:rsidTr="001B5178">
        <w:tc>
          <w:tcPr>
            <w:tcW w:w="2122" w:type="dxa"/>
          </w:tcPr>
          <w:p w14:paraId="2DEE2AA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24E698B7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Low</w:t>
            </w:r>
          </w:p>
        </w:tc>
      </w:tr>
      <w:tr w:rsidR="0095704B" w:rsidRPr="0010670F" w14:paraId="63BEA93F" w14:textId="77777777" w:rsidTr="001B5178">
        <w:tc>
          <w:tcPr>
            <w:tcW w:w="2122" w:type="dxa"/>
          </w:tcPr>
          <w:p w14:paraId="10F3F205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7998534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IV, IM, PO</w:t>
            </w:r>
          </w:p>
        </w:tc>
      </w:tr>
      <w:tr w:rsidR="0095704B" w:rsidRPr="0010670F" w14:paraId="11F0EA7C" w14:textId="77777777" w:rsidTr="001B5178">
        <w:tc>
          <w:tcPr>
            <w:tcW w:w="2122" w:type="dxa"/>
          </w:tcPr>
          <w:p w14:paraId="246FBE6A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DE8AAE4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11-22mg/kg q8-12h</w:t>
            </w:r>
          </w:p>
        </w:tc>
      </w:tr>
      <w:tr w:rsidR="0095704B" w:rsidRPr="0010670F" w14:paraId="24CBDFC1" w14:textId="77777777" w:rsidTr="001B5178">
        <w:tc>
          <w:tcPr>
            <w:tcW w:w="2122" w:type="dxa"/>
          </w:tcPr>
          <w:p w14:paraId="6260620C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269E5FBF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Anaphylaxis rare, other mild hypersensitivity reactions more common (urticaria, fever, angioneurotic oedema). Anorexia, vomiting, diarrhoea.</w:t>
            </w:r>
          </w:p>
        </w:tc>
      </w:tr>
      <w:tr w:rsidR="0095704B" w:rsidRPr="0010670F" w14:paraId="21BD6BAF" w14:textId="77777777" w:rsidTr="001B5178">
        <w:tc>
          <w:tcPr>
            <w:tcW w:w="2122" w:type="dxa"/>
          </w:tcPr>
          <w:p w14:paraId="3C53BFE3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73F539F5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 xml:space="preserve">Anaerobic activity useful for cat-bite infections, periodontal disease, tooth abscesses, wound infections. Drug of choice for streptococci, clostridia, actinomycosis and Pasteurella </w:t>
            </w:r>
            <w:proofErr w:type="spellStart"/>
            <w:r w:rsidRPr="0010670F">
              <w:rPr>
                <w:rFonts w:ascii="Arial" w:hAnsi="Arial" w:cs="Arial"/>
              </w:rPr>
              <w:t>multocida</w:t>
            </w:r>
            <w:proofErr w:type="spellEnd"/>
            <w:r w:rsidRPr="0010670F">
              <w:rPr>
                <w:rFonts w:ascii="Arial" w:hAnsi="Arial" w:cs="Arial"/>
              </w:rPr>
              <w:t>. Greater activity   against Gram negative bacteria than penicillin, including E. coli and Proteus mirabilis. Very high urinary concentrations, useful for UTIs, even penicillinase-producing S.  aureus. Not recommended for pyelonephritis or prostatitis. Excreted in bile, therefore good for cholestatic infections.</w:t>
            </w:r>
          </w:p>
        </w:tc>
      </w:tr>
      <w:tr w:rsidR="0095704B" w:rsidRPr="0010670F" w14:paraId="10028F5E" w14:textId="77777777" w:rsidTr="001B5178">
        <w:tc>
          <w:tcPr>
            <w:tcW w:w="2122" w:type="dxa"/>
          </w:tcPr>
          <w:p w14:paraId="7AD8DFD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6D0FBE4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Ampicillin</w:t>
            </w:r>
          </w:p>
        </w:tc>
      </w:tr>
      <w:tr w:rsidR="0095704B" w:rsidRPr="0010670F" w14:paraId="6A1472A2" w14:textId="77777777" w:rsidTr="001B5178">
        <w:tc>
          <w:tcPr>
            <w:tcW w:w="2122" w:type="dxa"/>
          </w:tcPr>
          <w:p w14:paraId="4D42D533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17F9ED61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Low</w:t>
            </w:r>
          </w:p>
        </w:tc>
      </w:tr>
      <w:tr w:rsidR="0095704B" w:rsidRPr="0010670F" w14:paraId="7E6FCE70" w14:textId="77777777" w:rsidTr="001B5178">
        <w:tc>
          <w:tcPr>
            <w:tcW w:w="2122" w:type="dxa"/>
          </w:tcPr>
          <w:p w14:paraId="2D7EAD3C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6FC89E5A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IV, IM, SC</w:t>
            </w:r>
          </w:p>
        </w:tc>
      </w:tr>
      <w:tr w:rsidR="0095704B" w:rsidRPr="0010670F" w14:paraId="21107509" w14:textId="77777777" w:rsidTr="001B5178">
        <w:tc>
          <w:tcPr>
            <w:tcW w:w="2122" w:type="dxa"/>
          </w:tcPr>
          <w:p w14:paraId="224FA6A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5B608663" w14:textId="499648A6" w:rsidR="0095704B" w:rsidRPr="0010670F" w:rsidRDefault="0095704B" w:rsidP="00F100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10-20mg/kg</w:t>
            </w:r>
            <w:r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q6-8h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5704B" w:rsidRPr="0010670F" w14:paraId="3A44D974" w14:textId="77777777" w:rsidTr="001B5178">
        <w:tc>
          <w:tcPr>
            <w:tcW w:w="2122" w:type="dxa"/>
          </w:tcPr>
          <w:p w14:paraId="0F66916C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3BFB1F7B" w14:textId="575B54D8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Hypersensitivity reactions</w:t>
            </w:r>
            <w:r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and gastrointestinal disturbance</w:t>
            </w:r>
            <w:r>
              <w:rPr>
                <w:rFonts w:ascii="Arial" w:hAnsi="Arial" w:cs="Arial"/>
              </w:rPr>
              <w:t xml:space="preserve"> </w:t>
            </w:r>
          </w:p>
          <w:p w14:paraId="2BF3926B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possible.</w:t>
            </w:r>
          </w:p>
        </w:tc>
      </w:tr>
      <w:tr w:rsidR="0095704B" w:rsidRPr="0010670F" w14:paraId="24D9870C" w14:textId="77777777" w:rsidTr="001B5178">
        <w:tc>
          <w:tcPr>
            <w:tcW w:w="2122" w:type="dxa"/>
          </w:tcPr>
          <w:p w14:paraId="7E571506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6DCE77D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Slow IV (over 3 mins). Spectrum of activity equivalent to amoxycillin.</w:t>
            </w:r>
          </w:p>
        </w:tc>
      </w:tr>
      <w:tr w:rsidR="0095704B" w:rsidRPr="0010670F" w14:paraId="3DE18837" w14:textId="77777777" w:rsidTr="001B5178">
        <w:tc>
          <w:tcPr>
            <w:tcW w:w="2122" w:type="dxa"/>
          </w:tcPr>
          <w:p w14:paraId="481E9387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580E7669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Penicillin</w:t>
            </w:r>
          </w:p>
        </w:tc>
      </w:tr>
      <w:tr w:rsidR="0095704B" w:rsidRPr="0010670F" w14:paraId="1161F646" w14:textId="77777777" w:rsidTr="001B5178">
        <w:tc>
          <w:tcPr>
            <w:tcW w:w="2122" w:type="dxa"/>
          </w:tcPr>
          <w:p w14:paraId="1033794E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21C15837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Low</w:t>
            </w:r>
          </w:p>
        </w:tc>
      </w:tr>
      <w:tr w:rsidR="0095704B" w:rsidRPr="0010670F" w14:paraId="46E2C58F" w14:textId="77777777" w:rsidTr="001B5178">
        <w:tc>
          <w:tcPr>
            <w:tcW w:w="2122" w:type="dxa"/>
          </w:tcPr>
          <w:p w14:paraId="7631890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6563F60A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</w:t>
            </w:r>
          </w:p>
        </w:tc>
      </w:tr>
      <w:tr w:rsidR="0095704B" w:rsidRPr="0010670F" w14:paraId="18FBF0DB" w14:textId="77777777" w:rsidTr="001B5178">
        <w:tc>
          <w:tcPr>
            <w:tcW w:w="2122" w:type="dxa"/>
          </w:tcPr>
          <w:p w14:paraId="04C1D652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28B73F16" w14:textId="76527392" w:rsidR="0095704B" w:rsidRPr="0010670F" w:rsidRDefault="0095704B" w:rsidP="009570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20- 40,000 IU/kg</w:t>
            </w:r>
            <w:r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q12h</w:t>
            </w:r>
          </w:p>
        </w:tc>
      </w:tr>
      <w:tr w:rsidR="0095704B" w:rsidRPr="0010670F" w14:paraId="5E2A8EE0" w14:textId="77777777" w:rsidTr="001B5178">
        <w:tc>
          <w:tcPr>
            <w:tcW w:w="2122" w:type="dxa"/>
          </w:tcPr>
          <w:p w14:paraId="1453CE7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6E236019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Hypersensitivity reactions.</w:t>
            </w:r>
          </w:p>
        </w:tc>
      </w:tr>
      <w:tr w:rsidR="0095704B" w:rsidRPr="0010670F" w14:paraId="7D26F39B" w14:textId="77777777" w:rsidTr="001B5178">
        <w:tc>
          <w:tcPr>
            <w:tcW w:w="2122" w:type="dxa"/>
          </w:tcPr>
          <w:p w14:paraId="21B8018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59ADD73C" w14:textId="0CF8CF09" w:rsidR="0095704B" w:rsidRPr="0010670F" w:rsidRDefault="0095704B" w:rsidP="005F24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Indicated for Gram-positive</w:t>
            </w:r>
            <w:r w:rsidR="005F244C"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aerobic and anaerobic bacteria</w:t>
            </w:r>
            <w:r w:rsidR="005F244C"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(streptococci, clostridia) and for</w:t>
            </w:r>
            <w:r w:rsidR="005F244C"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infections caused by susceptible</w:t>
            </w:r>
            <w:r w:rsidR="005F244C">
              <w:rPr>
                <w:rFonts w:ascii="Arial" w:hAnsi="Arial" w:cs="Arial"/>
              </w:rPr>
              <w:t xml:space="preserve"> </w:t>
            </w:r>
            <w:r w:rsidRPr="0010670F">
              <w:rPr>
                <w:rFonts w:ascii="Arial" w:hAnsi="Arial" w:cs="Arial"/>
              </w:rPr>
              <w:t>Gram-negative bacteria e</w:t>
            </w:r>
            <w:r w:rsidR="005F244C">
              <w:rPr>
                <w:rFonts w:ascii="Arial" w:hAnsi="Arial" w:cs="Arial"/>
              </w:rPr>
              <w:t>.</w:t>
            </w:r>
            <w:r w:rsidRPr="0010670F">
              <w:rPr>
                <w:rFonts w:ascii="Arial" w:hAnsi="Arial" w:cs="Arial"/>
              </w:rPr>
              <w:t>g.</w:t>
            </w:r>
            <w:r w:rsidR="005F244C" w:rsidRPr="0010670F">
              <w:rPr>
                <w:rFonts w:ascii="Arial" w:hAnsi="Arial" w:cs="Arial"/>
              </w:rPr>
              <w:t xml:space="preserve"> P. </w:t>
            </w:r>
            <w:proofErr w:type="spellStart"/>
            <w:r w:rsidR="005F244C" w:rsidRPr="0010670F">
              <w:rPr>
                <w:rFonts w:ascii="Arial" w:hAnsi="Arial" w:cs="Arial"/>
              </w:rPr>
              <w:t>multocida</w:t>
            </w:r>
            <w:proofErr w:type="spellEnd"/>
            <w:r w:rsidR="005F244C" w:rsidRPr="0010670F">
              <w:rPr>
                <w:rFonts w:ascii="Arial" w:hAnsi="Arial" w:cs="Arial"/>
              </w:rPr>
              <w:t>.</w:t>
            </w:r>
          </w:p>
        </w:tc>
      </w:tr>
      <w:tr w:rsidR="0095704B" w:rsidRPr="0010670F" w14:paraId="2B115476" w14:textId="77777777" w:rsidTr="001B5178">
        <w:tc>
          <w:tcPr>
            <w:tcW w:w="2122" w:type="dxa"/>
          </w:tcPr>
          <w:p w14:paraId="5A5C873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0BB434B" w14:textId="3A73B326" w:rsidR="0095704B" w:rsidRPr="005F244C" w:rsidRDefault="0095704B" w:rsidP="005F2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Amoxycillin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44C" w:rsidRPr="00DC1DCD">
              <w:rPr>
                <w:rFonts w:ascii="Arial" w:hAnsi="Arial" w:cs="Arial"/>
                <w:sz w:val="20"/>
                <w:szCs w:val="20"/>
              </w:rPr>
              <w:t>clavulanic acid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04B" w:rsidRPr="0010670F" w14:paraId="296DA8DF" w14:textId="77777777" w:rsidTr="001B5178">
        <w:tc>
          <w:tcPr>
            <w:tcW w:w="2122" w:type="dxa"/>
          </w:tcPr>
          <w:p w14:paraId="52E1FFE5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4322CF0B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95704B" w:rsidRPr="0010670F" w14:paraId="583D8AAD" w14:textId="77777777" w:rsidTr="001B5178">
        <w:tc>
          <w:tcPr>
            <w:tcW w:w="2122" w:type="dxa"/>
          </w:tcPr>
          <w:p w14:paraId="6EF43E9D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0D92EA92" w14:textId="6C440499" w:rsidR="0095704B" w:rsidRPr="004A39BE" w:rsidRDefault="0095704B" w:rsidP="004A3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PO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1DCD">
              <w:rPr>
                <w:rFonts w:ascii="Arial" w:hAnsi="Arial" w:cs="Arial"/>
                <w:sz w:val="20"/>
                <w:szCs w:val="20"/>
              </w:rPr>
              <w:t>IM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1DCD">
              <w:rPr>
                <w:rFonts w:ascii="Arial" w:hAnsi="Arial" w:cs="Arial"/>
                <w:sz w:val="20"/>
                <w:szCs w:val="20"/>
              </w:rPr>
              <w:t>SC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244C" w:rsidRPr="00DC1DCD">
              <w:rPr>
                <w:rFonts w:ascii="Arial" w:hAnsi="Arial" w:cs="Arial"/>
                <w:sz w:val="20"/>
                <w:szCs w:val="20"/>
              </w:rPr>
              <w:t>IV</w:t>
            </w:r>
            <w:r w:rsidR="005F24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04B" w:rsidRPr="0010670F" w14:paraId="4D666029" w14:textId="77777777" w:rsidTr="001B5178">
        <w:tc>
          <w:tcPr>
            <w:tcW w:w="2122" w:type="dxa"/>
          </w:tcPr>
          <w:p w14:paraId="4BFDEC0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2AACC24" w14:textId="1BFE1284" w:rsidR="0095704B" w:rsidRPr="004A39BE" w:rsidRDefault="0095704B" w:rsidP="004A3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12.5-25mg/kg</w:t>
            </w:r>
            <w:r w:rsidR="004A39BE" w:rsidRPr="00DC1DCD">
              <w:rPr>
                <w:rFonts w:ascii="Arial" w:hAnsi="Arial" w:cs="Arial"/>
                <w:sz w:val="20"/>
                <w:szCs w:val="20"/>
              </w:rPr>
              <w:t xml:space="preserve"> q8-12h</w:t>
            </w:r>
          </w:p>
        </w:tc>
      </w:tr>
      <w:tr w:rsidR="0095704B" w:rsidRPr="0010670F" w14:paraId="7AA052F8" w14:textId="77777777" w:rsidTr="001B5178">
        <w:tc>
          <w:tcPr>
            <w:tcW w:w="2122" w:type="dxa"/>
          </w:tcPr>
          <w:p w14:paraId="6B83F1FD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FC0B436" w14:textId="65A9AFF3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Pain on injection.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Anorexia, vomiting, diarrhoea.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Hypersensitivity reactions.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Anaphylaxis after intravenous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administration during general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E47AB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anaesthesia.</w:t>
            </w:r>
          </w:p>
        </w:tc>
      </w:tr>
      <w:tr w:rsidR="0095704B" w:rsidRPr="0010670F" w14:paraId="4D1BBD15" w14:textId="77777777" w:rsidTr="001B5178">
        <w:tc>
          <w:tcPr>
            <w:tcW w:w="2122" w:type="dxa"/>
          </w:tcPr>
          <w:p w14:paraId="739BEB01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3F936965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Clavulanic acid extends the range of amoxycillin against β-</w:t>
            </w:r>
            <w:proofErr w:type="spellStart"/>
            <w:r w:rsidRPr="00DC1DCD">
              <w:rPr>
                <w:rFonts w:ascii="Arial" w:hAnsi="Arial" w:cs="Arial"/>
                <w:sz w:val="20"/>
                <w:szCs w:val="20"/>
              </w:rPr>
              <w:t>lacatamase</w:t>
            </w:r>
            <w:proofErr w:type="spellEnd"/>
            <w:r w:rsidRPr="00DC1D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3F0E0D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producing pathogens, such as methicillin-susceptible staphylococci.</w:t>
            </w:r>
          </w:p>
          <w:p w14:paraId="2F0AD1B4" w14:textId="77777777" w:rsidR="0095704B" w:rsidRPr="0010670F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Higher dose recommended for Gram-negative infections.</w:t>
            </w:r>
          </w:p>
        </w:tc>
      </w:tr>
      <w:tr w:rsidR="0095704B" w:rsidRPr="00DC1DCD" w14:paraId="3001EC3D" w14:textId="77777777" w:rsidTr="001B5178">
        <w:tc>
          <w:tcPr>
            <w:tcW w:w="2122" w:type="dxa"/>
          </w:tcPr>
          <w:p w14:paraId="3C31AE8A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5901AACA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Cefazolin</w:t>
            </w:r>
          </w:p>
        </w:tc>
      </w:tr>
      <w:tr w:rsidR="0095704B" w:rsidRPr="00DC1DCD" w14:paraId="70F83784" w14:textId="77777777" w:rsidTr="001B5178">
        <w:tc>
          <w:tcPr>
            <w:tcW w:w="2122" w:type="dxa"/>
          </w:tcPr>
          <w:p w14:paraId="54D0A65E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638B458E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95704B" w:rsidRPr="00DC1DCD" w14:paraId="12A83D6F" w14:textId="77777777" w:rsidTr="001B5178">
        <w:tc>
          <w:tcPr>
            <w:tcW w:w="2122" w:type="dxa"/>
          </w:tcPr>
          <w:p w14:paraId="7D76C879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7E8D6D54" w14:textId="245C4FAE" w:rsidR="0095704B" w:rsidRPr="00DC1DCD" w:rsidRDefault="0095704B" w:rsidP="004A3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IV</w:t>
            </w:r>
            <w:r w:rsidR="004A39BE">
              <w:rPr>
                <w:rFonts w:ascii="Arial" w:hAnsi="Arial" w:cs="Arial"/>
                <w:sz w:val="20"/>
                <w:szCs w:val="20"/>
              </w:rPr>
              <w:t>, IM</w:t>
            </w:r>
          </w:p>
        </w:tc>
      </w:tr>
      <w:tr w:rsidR="0095704B" w:rsidRPr="00DC1DCD" w14:paraId="1C3F134C" w14:textId="77777777" w:rsidTr="001B5178">
        <w:tc>
          <w:tcPr>
            <w:tcW w:w="2122" w:type="dxa"/>
          </w:tcPr>
          <w:p w14:paraId="5B497FF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2DC04E14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20-35mg/kg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q8h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therapy,</w:t>
            </w:r>
          </w:p>
          <w:p w14:paraId="1B86C4F8" w14:textId="031C3F08" w:rsidR="0095704B" w:rsidRPr="00DC1DCD" w:rsidRDefault="0095704B" w:rsidP="004A3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22 mg/kg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surgical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9BE" w:rsidRPr="00DC1DCD">
              <w:rPr>
                <w:rFonts w:ascii="Arial" w:hAnsi="Arial" w:cs="Arial"/>
                <w:sz w:val="20"/>
                <w:szCs w:val="20"/>
              </w:rPr>
              <w:t>prophylaxis</w:t>
            </w:r>
          </w:p>
        </w:tc>
      </w:tr>
      <w:tr w:rsidR="0095704B" w:rsidRPr="00DC1DCD" w14:paraId="4853D81D" w14:textId="77777777" w:rsidTr="001B5178">
        <w:tc>
          <w:tcPr>
            <w:tcW w:w="2122" w:type="dxa"/>
          </w:tcPr>
          <w:p w14:paraId="3AD3FCBD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7193A5FD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Hypersensitivity reactions, pain on IM injection.</w:t>
            </w:r>
          </w:p>
        </w:tc>
      </w:tr>
      <w:tr w:rsidR="0095704B" w:rsidRPr="00DC1DCD" w14:paraId="7BE97A01" w14:textId="77777777" w:rsidTr="001B5178">
        <w:tc>
          <w:tcPr>
            <w:tcW w:w="2122" w:type="dxa"/>
          </w:tcPr>
          <w:p w14:paraId="5396BE7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591553E3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1st generation cephalosporin active against methicillin-susceptible</w:t>
            </w:r>
          </w:p>
          <w:p w14:paraId="5848CEAC" w14:textId="0109C7D5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staphylococci, streptococci,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some Gram-negative aerobes,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unpredictable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against anaerobes.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Greater Gram-negative activity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than cephalexin and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cephalothin.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Good bone penetration.</w:t>
            </w:r>
          </w:p>
          <w:p w14:paraId="781294F5" w14:textId="4950F909" w:rsidR="0095704B" w:rsidRPr="00DC1DCD" w:rsidRDefault="0095704B" w:rsidP="004A39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For surgical prophylaxis administer IV 30-60 mins before first incision. Repeat intra-operative dosing interval q4hrs for common skin flora (staphylococci, streptococci),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9BE" w:rsidRPr="00DC1DCD">
              <w:rPr>
                <w:rFonts w:ascii="Arial" w:hAnsi="Arial" w:cs="Arial"/>
                <w:sz w:val="20"/>
                <w:szCs w:val="20"/>
              </w:rPr>
              <w:t>q2hrs for E. coli.</w:t>
            </w:r>
          </w:p>
        </w:tc>
      </w:tr>
      <w:tr w:rsidR="0095704B" w:rsidRPr="00DC1DCD" w14:paraId="6C315226" w14:textId="77777777" w:rsidTr="001B5178">
        <w:tc>
          <w:tcPr>
            <w:tcW w:w="2122" w:type="dxa"/>
          </w:tcPr>
          <w:p w14:paraId="46FA7412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lastRenderedPageBreak/>
              <w:t>Antibiotic</w:t>
            </w:r>
          </w:p>
        </w:tc>
        <w:tc>
          <w:tcPr>
            <w:tcW w:w="6894" w:type="dxa"/>
          </w:tcPr>
          <w:p w14:paraId="1143AC2F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Cephalexin</w:t>
            </w:r>
          </w:p>
        </w:tc>
      </w:tr>
      <w:tr w:rsidR="0095704B" w:rsidRPr="00DC1DCD" w14:paraId="56021818" w14:textId="77777777" w:rsidTr="001B5178">
        <w:tc>
          <w:tcPr>
            <w:tcW w:w="2122" w:type="dxa"/>
          </w:tcPr>
          <w:p w14:paraId="3B297C28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418CEA37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95704B" w:rsidRPr="00DC1DCD" w14:paraId="7C9E9809" w14:textId="77777777" w:rsidTr="001B5178">
        <w:tc>
          <w:tcPr>
            <w:tcW w:w="2122" w:type="dxa"/>
          </w:tcPr>
          <w:p w14:paraId="296341F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5FE55945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95704B" w:rsidRPr="00DC1DCD" w14:paraId="7A3EEA46" w14:textId="77777777" w:rsidTr="001B5178">
        <w:tc>
          <w:tcPr>
            <w:tcW w:w="2122" w:type="dxa"/>
          </w:tcPr>
          <w:p w14:paraId="6B3B87A7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5D01192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22-30mg/kg q12h</w:t>
            </w:r>
          </w:p>
        </w:tc>
      </w:tr>
      <w:tr w:rsidR="0095704B" w:rsidRPr="00DC1DCD" w14:paraId="0B369989" w14:textId="77777777" w:rsidTr="001B5178">
        <w:tc>
          <w:tcPr>
            <w:tcW w:w="2122" w:type="dxa"/>
          </w:tcPr>
          <w:p w14:paraId="5AAE7045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72925139" w14:textId="746DCA64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Vomiting and diarrhoea common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when administered without food.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42E420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Hypersensitivity reactions possible.</w:t>
            </w:r>
          </w:p>
        </w:tc>
      </w:tr>
      <w:tr w:rsidR="0095704B" w:rsidRPr="00DC1DCD" w14:paraId="5D40BBFB" w14:textId="77777777" w:rsidTr="001B5178">
        <w:tc>
          <w:tcPr>
            <w:tcW w:w="2122" w:type="dxa"/>
          </w:tcPr>
          <w:p w14:paraId="48ACE4A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40141399" w14:textId="4D778C5E" w:rsidR="0095704B" w:rsidRPr="00DC1DCD" w:rsidRDefault="0095704B" w:rsidP="00C27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1st generation cephalosporin, similar activity to cefazolin except less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Gram-negative activity. Give with food to reduce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GIT side effects, can also lower dose if side</w:t>
            </w:r>
            <w:r w:rsidR="004A3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70F" w:rsidRPr="00DC1DCD">
              <w:rPr>
                <w:rFonts w:ascii="Arial" w:hAnsi="Arial" w:cs="Arial"/>
                <w:sz w:val="20"/>
                <w:szCs w:val="20"/>
              </w:rPr>
              <w:t>effects occur.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70F" w:rsidRPr="00DC1DCD">
              <w:rPr>
                <w:rFonts w:ascii="Arial" w:hAnsi="Arial" w:cs="Arial"/>
                <w:sz w:val="20"/>
                <w:szCs w:val="20"/>
              </w:rPr>
              <w:t>Only use for skin disease when topical therapy insufficient to control pyoderma.</w:t>
            </w:r>
          </w:p>
        </w:tc>
      </w:tr>
      <w:tr w:rsidR="0095704B" w:rsidRPr="00DC1DCD" w14:paraId="58ADB869" w14:textId="77777777" w:rsidTr="001B5178">
        <w:tc>
          <w:tcPr>
            <w:tcW w:w="2122" w:type="dxa"/>
          </w:tcPr>
          <w:p w14:paraId="17787F8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4C019E2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Cefovecin</w:t>
            </w:r>
          </w:p>
        </w:tc>
      </w:tr>
      <w:tr w:rsidR="0095704B" w:rsidRPr="00DC1DCD" w14:paraId="08A3ACC1" w14:textId="77777777" w:rsidTr="001B5178">
        <w:tc>
          <w:tcPr>
            <w:tcW w:w="2122" w:type="dxa"/>
          </w:tcPr>
          <w:p w14:paraId="1B886EA9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5C0A0D0E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95704B" w:rsidRPr="00DC1DCD" w14:paraId="544F3175" w14:textId="77777777" w:rsidTr="001B5178">
        <w:tc>
          <w:tcPr>
            <w:tcW w:w="2122" w:type="dxa"/>
          </w:tcPr>
          <w:p w14:paraId="0A27135A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181E0FC2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SC</w:t>
            </w:r>
          </w:p>
        </w:tc>
      </w:tr>
      <w:tr w:rsidR="0095704B" w:rsidRPr="00DC1DCD" w14:paraId="7784A429" w14:textId="77777777" w:rsidTr="001B5178">
        <w:tc>
          <w:tcPr>
            <w:tcW w:w="2122" w:type="dxa"/>
          </w:tcPr>
          <w:p w14:paraId="7D29473E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339F0B63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8mg/kg</w:t>
            </w:r>
          </w:p>
        </w:tc>
      </w:tr>
      <w:tr w:rsidR="0095704B" w:rsidRPr="00DC1DCD" w14:paraId="7984707A" w14:textId="77777777" w:rsidTr="001B5178">
        <w:tc>
          <w:tcPr>
            <w:tcW w:w="2122" w:type="dxa"/>
          </w:tcPr>
          <w:p w14:paraId="369AB8D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3BCB18D5" w14:textId="2E966EB6" w:rsidR="0095704B" w:rsidRPr="00DC1DCD" w:rsidRDefault="0095704B" w:rsidP="00C27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Vomiting, diarrhoea,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70F" w:rsidRPr="00DC1DCD">
              <w:rPr>
                <w:rFonts w:ascii="Arial" w:hAnsi="Arial" w:cs="Arial"/>
                <w:sz w:val="20"/>
                <w:szCs w:val="20"/>
              </w:rPr>
              <w:t>hypersensitivity.</w:t>
            </w:r>
          </w:p>
        </w:tc>
      </w:tr>
      <w:tr w:rsidR="0095704B" w:rsidRPr="00DC1DCD" w14:paraId="46CC2B03" w14:textId="77777777" w:rsidTr="001B5178">
        <w:tc>
          <w:tcPr>
            <w:tcW w:w="2122" w:type="dxa"/>
          </w:tcPr>
          <w:p w14:paraId="68DBF50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7009E612" w14:textId="4E5936C0" w:rsidR="0095704B" w:rsidRPr="00DC1DCD" w:rsidRDefault="0095704B" w:rsidP="00C277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3</w:t>
            </w:r>
            <w:r w:rsidRPr="00DC1DC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DC1DCD">
              <w:rPr>
                <w:rFonts w:ascii="Arial" w:hAnsi="Arial" w:cs="Arial"/>
                <w:sz w:val="20"/>
                <w:szCs w:val="20"/>
              </w:rPr>
              <w:t xml:space="preserve"> generation cephalosporin.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Similar spectrum of activity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to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amoxycillin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clavulanate.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Reserve** for infections where no effective alternative.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Label restraint FOR USE ONLY in dogs and cats where indicated by antibiotic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sensitivity testing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70F" w:rsidRPr="00DC1DCD">
              <w:rPr>
                <w:rFonts w:ascii="Arial" w:hAnsi="Arial" w:cs="Arial"/>
                <w:sz w:val="20"/>
                <w:szCs w:val="20"/>
              </w:rPr>
              <w:t>according to principles of prudent use.</w:t>
            </w:r>
          </w:p>
        </w:tc>
      </w:tr>
      <w:tr w:rsidR="0095704B" w:rsidRPr="00DC1DCD" w14:paraId="412C7E66" w14:textId="77777777" w:rsidTr="001B5178">
        <w:tc>
          <w:tcPr>
            <w:tcW w:w="2122" w:type="dxa"/>
          </w:tcPr>
          <w:p w14:paraId="219AF047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500093A2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Ceftazidime</w:t>
            </w:r>
          </w:p>
        </w:tc>
      </w:tr>
      <w:tr w:rsidR="0095704B" w:rsidRPr="00DC1DCD" w14:paraId="2456E553" w14:textId="77777777" w:rsidTr="001B5178">
        <w:tc>
          <w:tcPr>
            <w:tcW w:w="2122" w:type="dxa"/>
          </w:tcPr>
          <w:p w14:paraId="62F9F302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29EC7968" w14:textId="77777777" w:rsidR="0095704B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6FFA50E9" w14:textId="77777777" w:rsidR="0095704B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FEFB72" w14:textId="77777777" w:rsidR="0095704B" w:rsidRPr="00441E21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41E21">
              <w:rPr>
                <w:rFonts w:ascii="Arial" w:hAnsi="Arial" w:cs="Arial"/>
                <w:sz w:val="20"/>
                <w:szCs w:val="20"/>
              </w:rPr>
              <w:t>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importance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antibiotics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for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animals that 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avoided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ONLY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exceptional 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01278C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1E21">
              <w:rPr>
                <w:rFonts w:ascii="Arial" w:hAnsi="Arial" w:cs="Arial"/>
                <w:sz w:val="20"/>
                <w:szCs w:val="20"/>
              </w:rPr>
              <w:t>** Exceptional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defined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441E21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susceptibility,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where there is no effective alternative therapy and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reasonable chance of survival.</w:t>
            </w:r>
          </w:p>
        </w:tc>
      </w:tr>
      <w:tr w:rsidR="0095704B" w:rsidRPr="00DC1DCD" w14:paraId="20F806E0" w14:textId="77777777" w:rsidTr="001B5178">
        <w:tc>
          <w:tcPr>
            <w:tcW w:w="2122" w:type="dxa"/>
          </w:tcPr>
          <w:p w14:paraId="34A87539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3DA5E968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95704B" w:rsidRPr="00DC1DCD" w14:paraId="17E01BFC" w14:textId="77777777" w:rsidTr="001B5178">
        <w:tc>
          <w:tcPr>
            <w:tcW w:w="2122" w:type="dxa"/>
          </w:tcPr>
          <w:p w14:paraId="662C712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01D65DFB" w14:textId="083A8656" w:rsidR="0095704B" w:rsidRPr="00DC1DCD" w:rsidRDefault="0095704B" w:rsidP="005901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25-50mg/kg</w:t>
            </w:r>
            <w:r w:rsidR="00C277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q8-12h To exceed P. aeruginosa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MIC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 xml:space="preserve">30mg/kg q4h or constant IV infusion of </w:t>
            </w:r>
            <w:r w:rsidR="00590115" w:rsidRPr="00DC1DCD">
              <w:rPr>
                <w:rFonts w:ascii="Arial" w:hAnsi="Arial" w:cs="Arial"/>
                <w:sz w:val="20"/>
                <w:szCs w:val="20"/>
              </w:rPr>
              <w:t>4.1mg/kg/h</w:t>
            </w:r>
          </w:p>
        </w:tc>
      </w:tr>
      <w:tr w:rsidR="0095704B" w:rsidRPr="00DC1DCD" w14:paraId="5D94F27B" w14:textId="77777777" w:rsidTr="001B5178">
        <w:tc>
          <w:tcPr>
            <w:tcW w:w="2122" w:type="dxa"/>
          </w:tcPr>
          <w:p w14:paraId="0B9E5610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5458612E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Gastrointestinal disturbance.</w:t>
            </w:r>
          </w:p>
        </w:tc>
      </w:tr>
      <w:tr w:rsidR="0095704B" w:rsidRPr="00DC1DCD" w14:paraId="29F2BD85" w14:textId="77777777" w:rsidTr="001B5178">
        <w:tc>
          <w:tcPr>
            <w:tcW w:w="2122" w:type="dxa"/>
          </w:tcPr>
          <w:p w14:paraId="3627518B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1D701AD0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3</w:t>
            </w:r>
            <w:r w:rsidRPr="00DC1DC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DC1DCD">
              <w:rPr>
                <w:rFonts w:ascii="Arial" w:hAnsi="Arial" w:cs="Arial"/>
                <w:sz w:val="20"/>
                <w:szCs w:val="20"/>
              </w:rPr>
              <w:t xml:space="preserve"> generation cephalosporin with 10 times greater activity against</w:t>
            </w:r>
          </w:p>
          <w:p w14:paraId="3E6D6B35" w14:textId="239A4D2E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P. aeruginosa.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Slightly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less active against all other organisms than other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cephalosporin.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Reserve** for P. aeruginosa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DCD">
              <w:rPr>
                <w:rFonts w:ascii="Arial" w:hAnsi="Arial" w:cs="Arial"/>
                <w:sz w:val="20"/>
                <w:szCs w:val="20"/>
              </w:rPr>
              <w:t>Infections with confirmed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B6B2B7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susceptibility.</w:t>
            </w:r>
          </w:p>
        </w:tc>
      </w:tr>
      <w:tr w:rsidR="0095704B" w:rsidRPr="00DC1DCD" w14:paraId="232593BA" w14:textId="77777777" w:rsidTr="001B5178">
        <w:tc>
          <w:tcPr>
            <w:tcW w:w="2122" w:type="dxa"/>
          </w:tcPr>
          <w:p w14:paraId="605D6324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79B15562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Cefotaxime</w:t>
            </w:r>
          </w:p>
        </w:tc>
      </w:tr>
      <w:tr w:rsidR="0095704B" w:rsidRPr="00DC1DCD" w14:paraId="5AB9F89B" w14:textId="77777777" w:rsidTr="001B5178">
        <w:tc>
          <w:tcPr>
            <w:tcW w:w="2122" w:type="dxa"/>
          </w:tcPr>
          <w:p w14:paraId="73A11B9C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06AD3619" w14:textId="77777777" w:rsidR="0095704B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C1DCD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3E010B77" w14:textId="77777777" w:rsidR="0095704B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21986A" w14:textId="77777777" w:rsidR="0095704B" w:rsidRPr="00441E21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41E21">
              <w:rPr>
                <w:rFonts w:ascii="Arial" w:hAnsi="Arial" w:cs="Arial"/>
                <w:sz w:val="20"/>
                <w:szCs w:val="20"/>
              </w:rPr>
              <w:t>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importance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antibiotics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for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animals that 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avoided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ONLY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exceptional 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0FF96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1E21">
              <w:rPr>
                <w:rFonts w:ascii="Arial" w:hAnsi="Arial" w:cs="Arial"/>
                <w:sz w:val="20"/>
                <w:szCs w:val="20"/>
              </w:rPr>
              <w:t>** Exceptional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defined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441E21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susceptibility,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where there is no effective alternative therapy and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reasonable chance of survival.</w:t>
            </w:r>
          </w:p>
        </w:tc>
      </w:tr>
      <w:tr w:rsidR="0095704B" w:rsidRPr="00DC1DCD" w14:paraId="7429CBB4" w14:textId="77777777" w:rsidTr="001B5178">
        <w:tc>
          <w:tcPr>
            <w:tcW w:w="2122" w:type="dxa"/>
          </w:tcPr>
          <w:p w14:paraId="2B83275B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618987C0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IM</w:t>
            </w:r>
          </w:p>
        </w:tc>
      </w:tr>
      <w:tr w:rsidR="0095704B" w:rsidRPr="00DC1DCD" w14:paraId="087B022E" w14:textId="77777777" w:rsidTr="001B5178">
        <w:tc>
          <w:tcPr>
            <w:tcW w:w="2122" w:type="dxa"/>
          </w:tcPr>
          <w:p w14:paraId="0278BB5F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CB8CC1A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20-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293F4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q8h</w:t>
            </w:r>
          </w:p>
        </w:tc>
      </w:tr>
      <w:tr w:rsidR="0095704B" w:rsidRPr="00DC1DCD" w14:paraId="0D04DD30" w14:textId="77777777" w:rsidTr="001B5178">
        <w:tc>
          <w:tcPr>
            <w:tcW w:w="2122" w:type="dxa"/>
          </w:tcPr>
          <w:p w14:paraId="720F4525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4860D342" w14:textId="2E4F8BD1" w:rsidR="0095704B" w:rsidRPr="00293F42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on</w:t>
            </w:r>
            <w:r w:rsidRPr="00293F42">
              <w:rPr>
                <w:rFonts w:ascii="Arial" w:hAnsi="Arial" w:cs="Arial"/>
                <w:sz w:val="20"/>
                <w:szCs w:val="20"/>
              </w:rPr>
              <w:tab/>
              <w:t>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injection,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gastrointestinal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disturbances common due to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broad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antibacterial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action.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Superinfection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resistant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9555AE" w14:textId="77777777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microorganisms,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293F42">
              <w:rPr>
                <w:rFonts w:ascii="Arial" w:hAnsi="Arial" w:cs="Arial"/>
                <w:sz w:val="20"/>
                <w:szCs w:val="20"/>
              </w:rPr>
              <w:t>easts,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may be anticipated.</w:t>
            </w:r>
          </w:p>
        </w:tc>
      </w:tr>
      <w:tr w:rsidR="0095704B" w:rsidRPr="00DC1DCD" w14:paraId="5FD656B7" w14:textId="77777777" w:rsidTr="001B5178">
        <w:tc>
          <w:tcPr>
            <w:tcW w:w="2122" w:type="dxa"/>
          </w:tcPr>
          <w:p w14:paraId="0EA64046" w14:textId="77777777" w:rsidR="0095704B" w:rsidRPr="0010670F" w:rsidRDefault="0095704B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1AFC7BFF" w14:textId="77777777" w:rsidR="0095704B" w:rsidRPr="00293F42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3</w:t>
            </w:r>
            <w:r w:rsidRPr="00293F4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generation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cephalosporin.</w:t>
            </w:r>
          </w:p>
          <w:p w14:paraId="6B31B2D9" w14:textId="4181F3AF" w:rsidR="0095704B" w:rsidRPr="00293F42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Due to expense and potential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select for resistant infections,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these drugs should be reserved**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for life-threatening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93F42">
              <w:rPr>
                <w:rFonts w:ascii="Arial" w:hAnsi="Arial" w:cs="Arial"/>
                <w:sz w:val="20"/>
                <w:szCs w:val="20"/>
              </w:rPr>
              <w:t>nfections,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such as bacterial meningitis caused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by Gram-negative bacteria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(especially Enterobacteriaceae).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be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combination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</w:t>
            </w:r>
            <w:r w:rsidR="005901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A70E23" w14:textId="5BF40DEC" w:rsidR="0095704B" w:rsidRPr="00DC1DCD" w:rsidRDefault="0095704B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Aminoglycoside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MDR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infections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 compromised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animals</w:t>
            </w:r>
            <w:r w:rsidR="00F100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93F42">
              <w:rPr>
                <w:rFonts w:ascii="Arial" w:hAnsi="Arial" w:cs="Arial"/>
                <w:sz w:val="20"/>
                <w:szCs w:val="20"/>
              </w:rPr>
              <w:t>neutropaenic</w:t>
            </w:r>
            <w:proofErr w:type="spellEnd"/>
            <w:r w:rsidRPr="00293F4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1250EA1C" w14:textId="77777777" w:rsidR="0027100B" w:rsidRDefault="0027100B">
      <w:r>
        <w:br w:type="page"/>
      </w:r>
    </w:p>
    <w:tbl>
      <w:tblPr>
        <w:tblStyle w:val="TableGrid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80E86" w:rsidRPr="0010670F" w14:paraId="0C43CC6A" w14:textId="77777777" w:rsidTr="001B5178">
        <w:tc>
          <w:tcPr>
            <w:tcW w:w="2122" w:type="dxa"/>
          </w:tcPr>
          <w:p w14:paraId="4FBB7A1E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lastRenderedPageBreak/>
              <w:t>Antibiotic</w:t>
            </w:r>
          </w:p>
        </w:tc>
        <w:tc>
          <w:tcPr>
            <w:tcW w:w="6894" w:type="dxa"/>
          </w:tcPr>
          <w:p w14:paraId="6648A737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Doxycycline</w:t>
            </w:r>
          </w:p>
        </w:tc>
      </w:tr>
      <w:tr w:rsidR="00680E86" w:rsidRPr="0010670F" w14:paraId="14F233A9" w14:textId="77777777" w:rsidTr="001B5178">
        <w:tc>
          <w:tcPr>
            <w:tcW w:w="2122" w:type="dxa"/>
          </w:tcPr>
          <w:p w14:paraId="2005B369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15C07FC4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Low</w:t>
            </w:r>
          </w:p>
        </w:tc>
      </w:tr>
      <w:tr w:rsidR="00680E86" w:rsidRPr="0010670F" w14:paraId="0635C287" w14:textId="77777777" w:rsidTr="001B5178">
        <w:tc>
          <w:tcPr>
            <w:tcW w:w="2122" w:type="dxa"/>
          </w:tcPr>
          <w:p w14:paraId="2AB48960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6B06FD71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PO</w:t>
            </w:r>
          </w:p>
        </w:tc>
      </w:tr>
      <w:tr w:rsidR="00680E86" w:rsidRPr="0010670F" w14:paraId="1E0459F6" w14:textId="77777777" w:rsidTr="001B5178">
        <w:tc>
          <w:tcPr>
            <w:tcW w:w="2122" w:type="dxa"/>
          </w:tcPr>
          <w:p w14:paraId="57746CDD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0193CBF6" w14:textId="0AE09794" w:rsidR="00680E86" w:rsidRPr="00C321A4" w:rsidRDefault="00680E86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5mg/kg q12h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10mg/kg q24h</w:t>
            </w:r>
          </w:p>
        </w:tc>
      </w:tr>
      <w:tr w:rsidR="00680E86" w:rsidRPr="0010670F" w14:paraId="78A31256" w14:textId="77777777" w:rsidTr="001B5178">
        <w:tc>
          <w:tcPr>
            <w:tcW w:w="2122" w:type="dxa"/>
          </w:tcPr>
          <w:p w14:paraId="27FBF1AF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7739836" w14:textId="77777777" w:rsidR="00680E86" w:rsidRPr="0010670F" w:rsidRDefault="00680E86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Administration to growing puppies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and pregnant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bitches results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yellow discolouration of teeth.</w:t>
            </w:r>
          </w:p>
        </w:tc>
      </w:tr>
      <w:tr w:rsidR="00680E86" w:rsidRPr="0010670F" w14:paraId="006CEDAF" w14:textId="77777777" w:rsidTr="001B5178">
        <w:tc>
          <w:tcPr>
            <w:tcW w:w="2122" w:type="dxa"/>
          </w:tcPr>
          <w:p w14:paraId="23037713" w14:textId="77777777" w:rsidR="00680E86" w:rsidRPr="0010670F" w:rsidRDefault="00680E86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7C0900B4" w14:textId="4FD68AD7" w:rsidR="00680E86" w:rsidRPr="0010670F" w:rsidRDefault="00680E86" w:rsidP="00C321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Excellent penetration into most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tissues (including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prostate).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Broad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spectrum </w:t>
            </w:r>
            <w:r w:rsidR="00C321A4" w:rsidRPr="00293F42">
              <w:rPr>
                <w:rFonts w:ascii="Arial" w:hAnsi="Arial" w:cs="Arial"/>
                <w:sz w:val="20"/>
                <w:szCs w:val="20"/>
              </w:rPr>
              <w:t>activity</w:t>
            </w:r>
            <w:r w:rsidRPr="00293F42">
              <w:rPr>
                <w:rFonts w:ascii="Arial" w:hAnsi="Arial" w:cs="Arial"/>
                <w:sz w:val="20"/>
                <w:szCs w:val="20"/>
              </w:rPr>
              <w:t>, including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many intracellular pathogens such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as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Chlamydia, Coxiella, Nocardia</w:t>
            </w:r>
            <w:r w:rsidR="00C3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and some Mycoplasma species.</w:t>
            </w:r>
          </w:p>
        </w:tc>
      </w:tr>
    </w:tbl>
    <w:p w14:paraId="27FE34C2" w14:textId="0B0E152A" w:rsidR="000D1B01" w:rsidRDefault="0027100B" w:rsidP="009C3D81">
      <w:pPr>
        <w:pStyle w:val="Heading3"/>
      </w:pPr>
      <w:r>
        <w:t>Drug Class: Tetracyclines</w:t>
      </w:r>
    </w:p>
    <w:tbl>
      <w:tblPr>
        <w:tblStyle w:val="TableGrid"/>
        <w:tblpPr w:leftFromText="180" w:rightFromText="180" w:vertAnchor="page" w:horzAnchor="margin" w:tblpY="502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321A4" w:rsidRPr="0010670F" w14:paraId="7187C4AF" w14:textId="77777777" w:rsidTr="0027100B">
        <w:tc>
          <w:tcPr>
            <w:tcW w:w="2122" w:type="dxa"/>
          </w:tcPr>
          <w:p w14:paraId="1EAC7808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59857FE1" w14:textId="77777777" w:rsidR="00C321A4" w:rsidRPr="0010670F" w:rsidRDefault="00C321A4" w:rsidP="002710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Trimethoprim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sulphonamide</w:t>
            </w:r>
          </w:p>
        </w:tc>
      </w:tr>
      <w:tr w:rsidR="00C321A4" w:rsidRPr="0010670F" w14:paraId="1DFD9DF6" w14:textId="77777777" w:rsidTr="0027100B">
        <w:tc>
          <w:tcPr>
            <w:tcW w:w="2122" w:type="dxa"/>
          </w:tcPr>
          <w:p w14:paraId="009167A3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654187A4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C321A4" w:rsidRPr="0010670F" w14:paraId="12D36C8D" w14:textId="77777777" w:rsidTr="0027100B">
        <w:tc>
          <w:tcPr>
            <w:tcW w:w="2122" w:type="dxa"/>
          </w:tcPr>
          <w:p w14:paraId="25A19D37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44191F52" w14:textId="77777777" w:rsidR="00C321A4" w:rsidRPr="0010670F" w:rsidRDefault="00C321A4" w:rsidP="002710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3F4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C321A4" w:rsidRPr="0010670F" w14:paraId="03BBC4C4" w14:textId="77777777" w:rsidTr="0027100B">
        <w:tc>
          <w:tcPr>
            <w:tcW w:w="2122" w:type="dxa"/>
          </w:tcPr>
          <w:p w14:paraId="53F815F1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F6EABA5" w14:textId="77777777" w:rsidR="00C321A4" w:rsidRPr="0010670F" w:rsidRDefault="00C321A4" w:rsidP="002710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15-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293F4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q12h</w:t>
            </w:r>
          </w:p>
        </w:tc>
      </w:tr>
      <w:tr w:rsidR="00C321A4" w:rsidRPr="0010670F" w14:paraId="4D2D940F" w14:textId="77777777" w:rsidTr="0027100B">
        <w:tc>
          <w:tcPr>
            <w:tcW w:w="2122" w:type="dxa"/>
          </w:tcPr>
          <w:p w14:paraId="5578555D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46FB98A" w14:textId="77777777" w:rsidR="00C321A4" w:rsidRPr="0010670F" w:rsidRDefault="00C321A4" w:rsidP="002710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Chronic</w:t>
            </w:r>
            <w:r w:rsidRPr="00293F42">
              <w:rPr>
                <w:rFonts w:ascii="Arial" w:hAnsi="Arial" w:cs="Arial"/>
                <w:sz w:val="20"/>
                <w:szCs w:val="20"/>
              </w:rPr>
              <w:tab/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(&gt;2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weeks)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lead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to crystalluria,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haematuria,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urinary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obstruction,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haematopoietic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disorders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anaemia</w:t>
            </w:r>
            <w:r w:rsidRPr="00293F4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F42">
              <w:rPr>
                <w:rFonts w:ascii="Arial" w:hAnsi="Arial" w:cs="Arial"/>
                <w:sz w:val="20"/>
                <w:szCs w:val="20"/>
              </w:rPr>
              <w:t>leukopaenia</w:t>
            </w:r>
            <w:proofErr w:type="spellEnd"/>
            <w:r w:rsidRPr="00293F4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thrombocytopaenia)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dermatological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reactions.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Do 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use in Doberman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93F42">
              <w:rPr>
                <w:rFonts w:ascii="Arial" w:hAnsi="Arial" w:cs="Arial"/>
                <w:sz w:val="20"/>
                <w:szCs w:val="20"/>
              </w:rPr>
              <w:t>inschers.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~0.25% of dogs may suffer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idiosyncratic drug reactions 10-21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days after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exposure,</w:t>
            </w:r>
            <w:r>
              <w:rPr>
                <w:rFonts w:ascii="Arial" w:hAnsi="Arial" w:cs="Arial"/>
                <w:sz w:val="20"/>
                <w:szCs w:val="20"/>
              </w:rPr>
              <w:t xml:space="preserve">  i</w:t>
            </w:r>
            <w:r w:rsidRPr="00293F42">
              <w:rPr>
                <w:rFonts w:ascii="Arial" w:hAnsi="Arial" w:cs="Arial"/>
                <w:sz w:val="20"/>
                <w:szCs w:val="20"/>
              </w:rPr>
              <w:t>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fever,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arthropathy, 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dyscrasia,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epistaxis,</w:t>
            </w:r>
            <w:r>
              <w:rPr>
                <w:rFonts w:ascii="Arial" w:hAnsi="Arial" w:cs="Arial"/>
                <w:sz w:val="20"/>
                <w:szCs w:val="20"/>
              </w:rPr>
              <w:t xml:space="preserve">  h</w:t>
            </w:r>
            <w:r w:rsidRPr="00293F42">
              <w:rPr>
                <w:rFonts w:ascii="Arial" w:hAnsi="Arial" w:cs="Arial"/>
                <w:sz w:val="20"/>
                <w:szCs w:val="20"/>
              </w:rPr>
              <w:t>epatopathy, skin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eruptions,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uveitis,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KCS.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dogs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&lt;12kg,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-week </w:t>
            </w:r>
            <w:r w:rsidRPr="00293F42">
              <w:rPr>
                <w:rFonts w:ascii="Arial" w:hAnsi="Arial" w:cs="Arial"/>
                <w:sz w:val="20"/>
                <w:szCs w:val="20"/>
              </w:rPr>
              <w:t>TMS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293F42">
              <w:rPr>
                <w:rFonts w:ascii="Arial" w:hAnsi="Arial" w:cs="Arial"/>
                <w:sz w:val="20"/>
                <w:szCs w:val="20"/>
              </w:rPr>
              <w:t>ecreases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tear production by 15%, overdose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lead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KCS.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cause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hypothyroidism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and/or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lowered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dogs.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Cats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salivate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tablet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protective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coating broken.</w:t>
            </w:r>
          </w:p>
        </w:tc>
      </w:tr>
      <w:tr w:rsidR="00C321A4" w:rsidRPr="0010670F" w14:paraId="782C65C0" w14:textId="77777777" w:rsidTr="0027100B">
        <w:tc>
          <w:tcPr>
            <w:tcW w:w="2122" w:type="dxa"/>
          </w:tcPr>
          <w:p w14:paraId="6895F4BD" w14:textId="77777777" w:rsidR="00C321A4" w:rsidRPr="0010670F" w:rsidRDefault="00C321A4" w:rsidP="0027100B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5BDAE913" w14:textId="4624C482" w:rsidR="00C321A4" w:rsidRPr="0010670F" w:rsidRDefault="00C321A4" w:rsidP="002710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3F42">
              <w:rPr>
                <w:rFonts w:ascii="Arial" w:hAnsi="Arial" w:cs="Arial"/>
                <w:sz w:val="20"/>
                <w:szCs w:val="20"/>
              </w:rPr>
              <w:t>Broad spectrum activity,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Nocardia spp., Toxoplasma spp.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other protozoa.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Well absorbed from gastrointestinal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tract, excellent penetration into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many tissues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meninges,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prostate and urinary tract.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ISCAID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recommended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first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empirical </w:t>
            </w:r>
            <w:r>
              <w:rPr>
                <w:rFonts w:ascii="Arial" w:hAnsi="Arial" w:cs="Arial"/>
                <w:sz w:val="20"/>
                <w:szCs w:val="20"/>
              </w:rPr>
              <w:t>treatment</w:t>
            </w:r>
            <w:r w:rsidRPr="00293F42">
              <w:rPr>
                <w:rFonts w:ascii="Arial" w:hAnsi="Arial" w:cs="Arial"/>
                <w:sz w:val="20"/>
                <w:szCs w:val="20"/>
              </w:rPr>
              <w:t xml:space="preserve"> option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sporadic bacterial cys</w:t>
            </w:r>
            <w:r w:rsidR="00B5191B">
              <w:rPr>
                <w:rFonts w:ascii="Arial" w:hAnsi="Arial" w:cs="Arial"/>
                <w:sz w:val="20"/>
                <w:szCs w:val="20"/>
              </w:rPr>
              <w:t>t</w:t>
            </w:r>
            <w:r w:rsidRPr="00293F42">
              <w:rPr>
                <w:rFonts w:ascii="Arial" w:hAnsi="Arial" w:cs="Arial"/>
                <w:sz w:val="20"/>
                <w:szCs w:val="20"/>
              </w:rPr>
              <w:t>itis (simple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uncomplicated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UTI)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3-5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(low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risk of adverse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effects with short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course).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therapy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&gt;7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baseline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Schirmer’s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testing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recommended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F42">
              <w:rPr>
                <w:rFonts w:ascii="Arial" w:hAnsi="Arial" w:cs="Arial"/>
                <w:sz w:val="20"/>
                <w:szCs w:val="20"/>
              </w:rPr>
              <w:t>with periodic re-evaluation.</w:t>
            </w:r>
          </w:p>
        </w:tc>
      </w:tr>
    </w:tbl>
    <w:tbl>
      <w:tblPr>
        <w:tblStyle w:val="TableGrid"/>
        <w:tblpPr w:leftFromText="180" w:rightFromText="180" w:vertAnchor="page" w:horzAnchor="margin" w:tblpY="10719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D4D43" w:rsidRPr="0010670F" w14:paraId="73BE9D49" w14:textId="77777777" w:rsidTr="003F26C6">
        <w:tc>
          <w:tcPr>
            <w:tcW w:w="2122" w:type="dxa"/>
          </w:tcPr>
          <w:p w14:paraId="5D404AA5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67C9075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E56D17">
              <w:rPr>
                <w:rFonts w:ascii="Arial" w:hAnsi="Arial" w:cs="Arial"/>
                <w:sz w:val="20"/>
                <w:szCs w:val="20"/>
              </w:rPr>
              <w:t>Gentamicin</w:t>
            </w:r>
          </w:p>
        </w:tc>
      </w:tr>
      <w:tr w:rsidR="007D4D43" w:rsidRPr="0010670F" w14:paraId="14024E4A" w14:textId="77777777" w:rsidTr="003F26C6">
        <w:tc>
          <w:tcPr>
            <w:tcW w:w="2122" w:type="dxa"/>
          </w:tcPr>
          <w:p w14:paraId="72A4EFFA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3C9750C4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88227E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7D4D43" w:rsidRPr="0010670F" w14:paraId="22382F03" w14:textId="77777777" w:rsidTr="003F26C6">
        <w:tc>
          <w:tcPr>
            <w:tcW w:w="2122" w:type="dxa"/>
          </w:tcPr>
          <w:p w14:paraId="3782339E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1902F9DC" w14:textId="77777777" w:rsidR="007D4D43" w:rsidRPr="00C512F0" w:rsidRDefault="007D4D43" w:rsidP="003F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6D1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V, </w:t>
            </w:r>
            <w:r w:rsidRPr="00E56D17">
              <w:rPr>
                <w:rFonts w:ascii="Arial" w:hAnsi="Arial" w:cs="Arial"/>
                <w:sz w:val="20"/>
                <w:szCs w:val="20"/>
              </w:rPr>
              <w:t>IM</w:t>
            </w:r>
          </w:p>
        </w:tc>
      </w:tr>
      <w:tr w:rsidR="007D4D43" w:rsidRPr="0010670F" w14:paraId="0173D8EE" w14:textId="77777777" w:rsidTr="003F26C6">
        <w:tc>
          <w:tcPr>
            <w:tcW w:w="2122" w:type="dxa"/>
          </w:tcPr>
          <w:p w14:paraId="60704182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4D8DF3A3" w14:textId="77777777" w:rsidR="007D4D43" w:rsidRPr="00E56D17" w:rsidRDefault="007D4D43" w:rsidP="003F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6D17">
              <w:rPr>
                <w:rFonts w:ascii="Arial" w:hAnsi="Arial" w:cs="Arial"/>
                <w:sz w:val="20"/>
                <w:szCs w:val="20"/>
              </w:rPr>
              <w:t>Dogs:9-14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D17">
              <w:rPr>
                <w:rFonts w:ascii="Arial" w:hAnsi="Arial" w:cs="Arial"/>
                <w:sz w:val="20"/>
                <w:szCs w:val="20"/>
              </w:rPr>
              <w:t>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D17">
              <w:rPr>
                <w:rFonts w:ascii="Arial" w:hAnsi="Arial" w:cs="Arial"/>
                <w:sz w:val="20"/>
                <w:szCs w:val="20"/>
              </w:rPr>
              <w:t>q24h</w:t>
            </w:r>
          </w:p>
          <w:p w14:paraId="59C8A521" w14:textId="77777777" w:rsidR="007D4D43" w:rsidRPr="0010670F" w:rsidRDefault="007D4D43" w:rsidP="003F26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D17">
              <w:rPr>
                <w:rFonts w:ascii="Arial" w:hAnsi="Arial" w:cs="Arial"/>
                <w:sz w:val="20"/>
                <w:szCs w:val="20"/>
              </w:rPr>
              <w:t>Cats:5-8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D17">
              <w:rPr>
                <w:rFonts w:ascii="Arial" w:hAnsi="Arial" w:cs="Arial"/>
                <w:sz w:val="20"/>
                <w:szCs w:val="20"/>
              </w:rPr>
              <w:t>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D17">
              <w:rPr>
                <w:rFonts w:ascii="Arial" w:hAnsi="Arial" w:cs="Arial"/>
                <w:sz w:val="20"/>
                <w:szCs w:val="20"/>
              </w:rPr>
              <w:t>q24h</w:t>
            </w:r>
          </w:p>
        </w:tc>
      </w:tr>
      <w:tr w:rsidR="007D4D43" w:rsidRPr="0010670F" w14:paraId="307B133E" w14:textId="77777777" w:rsidTr="003F26C6">
        <w:tc>
          <w:tcPr>
            <w:tcW w:w="2122" w:type="dxa"/>
          </w:tcPr>
          <w:p w14:paraId="5455D230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7B6D7053" w14:textId="77777777" w:rsidR="007D4D43" w:rsidRPr="0010670F" w:rsidRDefault="007D4D43" w:rsidP="003F26C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5E1">
              <w:rPr>
                <w:rFonts w:ascii="Arial" w:hAnsi="Arial" w:cs="Arial"/>
                <w:sz w:val="20"/>
                <w:szCs w:val="20"/>
              </w:rPr>
              <w:t>Ototoxicity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possible.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Nephrotoxic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especially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hypovolaemia, hypokalaemia,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hyponatraemia,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elevated trough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concentrations,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pre-existing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renal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disease,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concurrent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nephrotoxic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drug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administration,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prolonged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therapy</w:t>
            </w:r>
            <w:r w:rsidRPr="009335E1">
              <w:rPr>
                <w:rFonts w:ascii="Arial" w:hAnsi="Arial" w:cs="Arial"/>
                <w:sz w:val="20"/>
                <w:szCs w:val="20"/>
              </w:rPr>
              <w:tab/>
              <w:t>(&gt;7-10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days),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(neonates,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geriatrics).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injection.</w:t>
            </w:r>
          </w:p>
        </w:tc>
      </w:tr>
      <w:tr w:rsidR="007D4D43" w:rsidRPr="0010670F" w14:paraId="27B2220C" w14:textId="77777777" w:rsidTr="003F26C6">
        <w:tc>
          <w:tcPr>
            <w:tcW w:w="2122" w:type="dxa"/>
          </w:tcPr>
          <w:p w14:paraId="7C9E0B5C" w14:textId="77777777" w:rsidR="007D4D43" w:rsidRPr="0010670F" w:rsidRDefault="007D4D43" w:rsidP="003F26C6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5626C075" w14:textId="77777777" w:rsidR="007D4D43" w:rsidRPr="00C512F0" w:rsidRDefault="007D4D43" w:rsidP="003F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35E1">
              <w:rPr>
                <w:rFonts w:ascii="Arial" w:hAnsi="Arial" w:cs="Arial"/>
                <w:sz w:val="20"/>
                <w:szCs w:val="20"/>
              </w:rPr>
              <w:t>Excellent activity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Gram-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9335E1">
              <w:rPr>
                <w:rFonts w:ascii="Arial" w:hAnsi="Arial" w:cs="Arial"/>
                <w:sz w:val="20"/>
                <w:szCs w:val="20"/>
              </w:rPr>
              <w:t>egative bacteria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some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staphylococci.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No anaerobic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activity.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Synergistic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combination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β-lactam.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Inactivated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purulent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debris.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Ensure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adequate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fluid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9335E1">
              <w:rPr>
                <w:rFonts w:ascii="Arial" w:hAnsi="Arial" w:cs="Arial"/>
                <w:sz w:val="20"/>
                <w:szCs w:val="20"/>
              </w:rPr>
              <w:t xml:space="preserve">lectrolyte </w:t>
            </w:r>
            <w:r>
              <w:rPr>
                <w:rFonts w:ascii="Arial" w:hAnsi="Arial" w:cs="Arial"/>
                <w:sz w:val="20"/>
                <w:szCs w:val="20"/>
              </w:rPr>
              <w:t>balance</w:t>
            </w:r>
            <w:r w:rsidRPr="009335E1">
              <w:rPr>
                <w:rFonts w:ascii="Arial" w:hAnsi="Arial" w:cs="Arial"/>
                <w:sz w:val="20"/>
                <w:szCs w:val="20"/>
              </w:rPr>
              <w:t xml:space="preserve"> during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treatment.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Clinical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toxicosis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trough levels,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daily monitoring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of urine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epithelial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5E1">
              <w:rPr>
                <w:rFonts w:ascii="Arial" w:hAnsi="Arial" w:cs="Arial"/>
                <w:sz w:val="20"/>
                <w:szCs w:val="20"/>
              </w:rPr>
              <w:t>casts and daily serum creatinine.</w:t>
            </w:r>
          </w:p>
        </w:tc>
      </w:tr>
    </w:tbl>
    <w:p w14:paraId="70323DB3" w14:textId="77777777" w:rsidR="0027100B" w:rsidRDefault="0027100B" w:rsidP="000F6F85">
      <w:pPr>
        <w:pStyle w:val="Heading3"/>
      </w:pPr>
    </w:p>
    <w:p w14:paraId="104CA110" w14:textId="00524BCA" w:rsidR="000D1B01" w:rsidRDefault="000F6F85" w:rsidP="000F6F85">
      <w:pPr>
        <w:pStyle w:val="Heading3"/>
      </w:pPr>
      <w:r>
        <w:t>Drug Class: Sulphonamides</w:t>
      </w:r>
    </w:p>
    <w:p w14:paraId="4F9654CA" w14:textId="77777777" w:rsidR="003F26C6" w:rsidRDefault="003F26C6" w:rsidP="003F26C6">
      <w:pPr>
        <w:pStyle w:val="Heading3"/>
      </w:pPr>
    </w:p>
    <w:p w14:paraId="667BDB4A" w14:textId="38988E42" w:rsidR="003F26C6" w:rsidRDefault="003F26C6" w:rsidP="003F26C6">
      <w:pPr>
        <w:pStyle w:val="Heading3"/>
      </w:pPr>
      <w:r>
        <w:t>Drug Class: Aminoglycosides</w:t>
      </w:r>
    </w:p>
    <w:p w14:paraId="60BEA1B4" w14:textId="77777777" w:rsidR="00E760B2" w:rsidRDefault="00E760B2" w:rsidP="00BA328B">
      <w:pPr>
        <w:rPr>
          <w:rFonts w:ascii="Arial" w:hAnsi="Arial" w:cs="Arial"/>
          <w:bCs/>
          <w:sz w:val="24"/>
          <w:szCs w:val="24"/>
        </w:rPr>
      </w:pPr>
    </w:p>
    <w:p w14:paraId="782E0617" w14:textId="7214171F" w:rsidR="000D1B01" w:rsidRDefault="000D1B01" w:rsidP="00BA328B">
      <w:pPr>
        <w:rPr>
          <w:rFonts w:ascii="Arial" w:hAnsi="Arial" w:cs="Arial"/>
          <w:bCs/>
          <w:sz w:val="24"/>
          <w:szCs w:val="24"/>
        </w:rPr>
      </w:pPr>
    </w:p>
    <w:p w14:paraId="67A6B70C" w14:textId="77777777" w:rsidR="00875C16" w:rsidRDefault="00875C16" w:rsidP="00875C16">
      <w:pPr>
        <w:pStyle w:val="Heading3"/>
      </w:pPr>
      <w:r>
        <w:lastRenderedPageBreak/>
        <w:t>Drug Class: Nitroimidazoles</w:t>
      </w:r>
    </w:p>
    <w:p w14:paraId="2CA2E98A" w14:textId="77777777" w:rsidR="000D1B01" w:rsidRDefault="000D1B01" w:rsidP="00BA328B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B7068" w:rsidRPr="0097276F" w14:paraId="38E82BA6" w14:textId="77777777" w:rsidTr="007811F7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4636A1C0" w14:textId="57537DF5" w:rsidR="000B7068" w:rsidRPr="0097276F" w:rsidRDefault="000B7068" w:rsidP="001B51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7068" w:rsidRPr="0010670F" w14:paraId="046BBB4F" w14:textId="77777777" w:rsidTr="001B5178">
        <w:tc>
          <w:tcPr>
            <w:tcW w:w="2122" w:type="dxa"/>
          </w:tcPr>
          <w:p w14:paraId="3DDF6489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3E209E75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Metronidazole</w:t>
            </w:r>
          </w:p>
        </w:tc>
      </w:tr>
      <w:tr w:rsidR="000B7068" w:rsidRPr="0010670F" w14:paraId="2376620A" w14:textId="77777777" w:rsidTr="001B5178">
        <w:tc>
          <w:tcPr>
            <w:tcW w:w="2122" w:type="dxa"/>
          </w:tcPr>
          <w:p w14:paraId="33FD8025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1F29D8FF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88227E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0B7068" w:rsidRPr="0010670F" w14:paraId="3ABE7DF7" w14:textId="77777777" w:rsidTr="001B5178">
        <w:tc>
          <w:tcPr>
            <w:tcW w:w="2122" w:type="dxa"/>
          </w:tcPr>
          <w:p w14:paraId="0F9BE457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6A9394C0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PO,IV</w:t>
            </w:r>
          </w:p>
        </w:tc>
      </w:tr>
      <w:tr w:rsidR="000B7068" w:rsidRPr="0010670F" w14:paraId="335D7FDD" w14:textId="77777777" w:rsidTr="001B5178">
        <w:tc>
          <w:tcPr>
            <w:tcW w:w="2122" w:type="dxa"/>
          </w:tcPr>
          <w:p w14:paraId="38F33C01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6651D2F2" w14:textId="77777777" w:rsidR="000B7068" w:rsidRPr="00131730" w:rsidRDefault="000B7068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Dogs: </w:t>
            </w:r>
            <w:r w:rsidRPr="00131730">
              <w:rPr>
                <w:rFonts w:ascii="Arial" w:hAnsi="Arial" w:cs="Arial"/>
                <w:sz w:val="20"/>
                <w:szCs w:val="20"/>
              </w:rPr>
              <w:t>10-15mg/kg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30">
              <w:rPr>
                <w:rFonts w:ascii="Arial" w:hAnsi="Arial" w:cs="Arial"/>
                <w:sz w:val="20"/>
                <w:szCs w:val="20"/>
              </w:rPr>
              <w:t>PO q12h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30">
              <w:rPr>
                <w:rFonts w:ascii="Arial" w:hAnsi="Arial" w:cs="Arial"/>
                <w:sz w:val="20"/>
                <w:szCs w:val="20"/>
              </w:rPr>
              <w:t>(10mg/kg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30">
              <w:rPr>
                <w:rFonts w:ascii="Arial" w:hAnsi="Arial" w:cs="Arial"/>
                <w:sz w:val="20"/>
                <w:szCs w:val="20"/>
              </w:rPr>
              <w:t>SLOW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30">
              <w:rPr>
                <w:rFonts w:ascii="Arial" w:hAnsi="Arial" w:cs="Arial"/>
                <w:sz w:val="20"/>
                <w:szCs w:val="20"/>
              </w:rPr>
              <w:t>IV)</w:t>
            </w:r>
          </w:p>
          <w:p w14:paraId="6C166CEC" w14:textId="77777777" w:rsidR="000B7068" w:rsidRPr="0010670F" w:rsidRDefault="000B7068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1730">
              <w:rPr>
                <w:rFonts w:ascii="Arial" w:hAnsi="Arial" w:cs="Arial"/>
                <w:sz w:val="20"/>
                <w:szCs w:val="20"/>
              </w:rPr>
              <w:t>Cats: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30">
              <w:rPr>
                <w:rFonts w:ascii="Arial" w:hAnsi="Arial" w:cs="Arial"/>
                <w:sz w:val="20"/>
                <w:szCs w:val="20"/>
              </w:rPr>
              <w:t>10-15mg/kg q24h</w:t>
            </w:r>
          </w:p>
        </w:tc>
      </w:tr>
      <w:tr w:rsidR="000B7068" w:rsidRPr="0010670F" w14:paraId="54CD9C1E" w14:textId="77777777" w:rsidTr="001B5178">
        <w:tc>
          <w:tcPr>
            <w:tcW w:w="2122" w:type="dxa"/>
          </w:tcPr>
          <w:p w14:paraId="24FF0AF1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A9E209F" w14:textId="0C710D39" w:rsidR="000B7068" w:rsidRPr="00245DFA" w:rsidRDefault="000B7068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5DFA">
              <w:rPr>
                <w:rFonts w:ascii="Arial" w:hAnsi="Arial" w:cs="Arial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in</w:t>
            </w:r>
            <w:r w:rsidRPr="00245DFA">
              <w:rPr>
                <w:rFonts w:ascii="Arial" w:hAnsi="Arial" w:cs="Arial"/>
                <w:sz w:val="20"/>
                <w:szCs w:val="20"/>
              </w:rPr>
              <w:tab/>
              <w:t>liver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disease,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predispose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CNS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toxicity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reduce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7.5mg/kg.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Gastrointestinal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disturbance,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hepatotoxicity,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CNS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signs,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haematuria,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neutropenia.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Potentially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teratogenic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first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third of pregnancy.</w:t>
            </w:r>
          </w:p>
          <w:p w14:paraId="6F56176D" w14:textId="77777777" w:rsidR="000B7068" w:rsidRPr="0010670F" w:rsidRDefault="000B7068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5DFA"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faecal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microbiome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long-term.</w:t>
            </w:r>
          </w:p>
        </w:tc>
      </w:tr>
      <w:tr w:rsidR="000B7068" w:rsidRPr="0010670F" w14:paraId="346DFF2A" w14:textId="77777777" w:rsidTr="001B5178">
        <w:tc>
          <w:tcPr>
            <w:tcW w:w="2122" w:type="dxa"/>
          </w:tcPr>
          <w:p w14:paraId="6EEB1DE9" w14:textId="77777777" w:rsidR="000B7068" w:rsidRPr="0010670F" w:rsidRDefault="000B7068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6548C9AE" w14:textId="4CEA5768" w:rsidR="000B7068" w:rsidRPr="00CD6F91" w:rsidRDefault="000B7068" w:rsidP="00CD6F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5DFA">
              <w:rPr>
                <w:rFonts w:ascii="Arial" w:hAnsi="Arial" w:cs="Arial"/>
                <w:sz w:val="20"/>
                <w:szCs w:val="20"/>
              </w:rPr>
              <w:t>Not indicated in acute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 xml:space="preserve">gastrointestinal </w:t>
            </w:r>
            <w:r>
              <w:rPr>
                <w:rFonts w:ascii="Arial" w:hAnsi="Arial" w:cs="Arial"/>
                <w:sz w:val="20"/>
                <w:szCs w:val="20"/>
              </w:rPr>
              <w:t>disease</w:t>
            </w:r>
            <w:r w:rsidRPr="00245DFA">
              <w:rPr>
                <w:rFonts w:ascii="Arial" w:hAnsi="Arial" w:cs="Arial"/>
                <w:sz w:val="20"/>
                <w:szCs w:val="20"/>
              </w:rPr>
              <w:t xml:space="preserve"> unless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evidence of sepsis.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Excellent anaerobic activity.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Critical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drug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managing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human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DFA">
              <w:rPr>
                <w:rFonts w:ascii="Arial" w:hAnsi="Arial" w:cs="Arial"/>
                <w:sz w:val="20"/>
                <w:szCs w:val="20"/>
              </w:rPr>
              <w:t>Clostridium difficile infections.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Drug interactions: phenobarbital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may enhance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etabolism;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 xml:space="preserve">cimetidine may 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decrease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metabolism and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increase dose</w:t>
            </w:r>
            <w:r w:rsidR="00CD6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 xml:space="preserve">related adverse </w:t>
            </w:r>
            <w:r w:rsidR="00CD6F91">
              <w:rPr>
                <w:rFonts w:ascii="Arial" w:hAnsi="Arial" w:cs="Arial"/>
                <w:sz w:val="20"/>
                <w:szCs w:val="20"/>
              </w:rPr>
              <w:t>effects</w:t>
            </w:r>
            <w:r w:rsidR="00CD6F91" w:rsidRPr="00245D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D45D7F" w14:textId="77777777" w:rsidR="00875C16" w:rsidRDefault="00875C16" w:rsidP="00875C16">
      <w:pPr>
        <w:pStyle w:val="Heading3"/>
      </w:pPr>
      <w:r>
        <w:t>Drug Class: Nitrofurans</w:t>
      </w:r>
    </w:p>
    <w:p w14:paraId="736317E0" w14:textId="3B97E336" w:rsidR="000A2F57" w:rsidRDefault="000A2F57" w:rsidP="00BA328B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38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578F2" w:rsidRPr="0097276F" w14:paraId="1A3A7C09" w14:textId="77777777" w:rsidTr="007811F7"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5FD219F3" w14:textId="23CCEA65" w:rsidR="002578F2" w:rsidRPr="0097276F" w:rsidRDefault="002578F2" w:rsidP="002578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578F2" w:rsidRPr="0010670F" w14:paraId="33A9B0F3" w14:textId="77777777" w:rsidTr="002578F2">
        <w:tc>
          <w:tcPr>
            <w:tcW w:w="2122" w:type="dxa"/>
          </w:tcPr>
          <w:p w14:paraId="50B534C5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52B638B1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FA027A">
              <w:rPr>
                <w:rFonts w:ascii="Arial" w:hAnsi="Arial" w:cs="Arial"/>
                <w:sz w:val="20"/>
                <w:szCs w:val="20"/>
              </w:rPr>
              <w:t>Nitrofurantoin</w:t>
            </w:r>
          </w:p>
        </w:tc>
      </w:tr>
      <w:tr w:rsidR="002578F2" w:rsidRPr="0010670F" w14:paraId="4FEF34EF" w14:textId="77777777" w:rsidTr="002578F2">
        <w:tc>
          <w:tcPr>
            <w:tcW w:w="2122" w:type="dxa"/>
          </w:tcPr>
          <w:p w14:paraId="0FF61B2B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6F7CFFA2" w14:textId="77777777" w:rsidR="002578F2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027A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2967E0D7" w14:textId="77777777" w:rsidR="002578F2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295CAB" w14:textId="77777777" w:rsidR="002578F2" w:rsidRPr="00441E21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41E21">
              <w:rPr>
                <w:rFonts w:ascii="Arial" w:hAnsi="Arial" w:cs="Arial"/>
                <w:sz w:val="20"/>
                <w:szCs w:val="20"/>
              </w:rPr>
              <w:t>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importance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antibiotics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for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animals that 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avoided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ONLY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exceptional 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D4C750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441E21">
              <w:rPr>
                <w:rFonts w:ascii="Arial" w:hAnsi="Arial" w:cs="Arial"/>
                <w:sz w:val="20"/>
                <w:szCs w:val="20"/>
              </w:rPr>
              <w:t>** Exceptional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defined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441E21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susceptibility,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where there is no effective alternative therapy and a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441E21">
              <w:rPr>
                <w:rFonts w:ascii="Arial" w:hAnsi="Arial" w:cs="Arial"/>
                <w:sz w:val="20"/>
                <w:szCs w:val="20"/>
              </w:rPr>
              <w:t>easonable chance of survival.</w:t>
            </w:r>
          </w:p>
        </w:tc>
      </w:tr>
      <w:tr w:rsidR="002578F2" w:rsidRPr="0010670F" w14:paraId="31B85A82" w14:textId="77777777" w:rsidTr="002578F2">
        <w:tc>
          <w:tcPr>
            <w:tcW w:w="2122" w:type="dxa"/>
          </w:tcPr>
          <w:p w14:paraId="26CE8BD1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5CD6A658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679BB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2578F2" w:rsidRPr="0010670F" w14:paraId="5DB8F1F1" w14:textId="77777777" w:rsidTr="002578F2">
        <w:tc>
          <w:tcPr>
            <w:tcW w:w="2122" w:type="dxa"/>
          </w:tcPr>
          <w:p w14:paraId="0874ED38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08BD3578" w14:textId="77777777" w:rsidR="002578F2" w:rsidRPr="0010670F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79BB">
              <w:rPr>
                <w:rFonts w:ascii="Arial" w:hAnsi="Arial" w:cs="Arial"/>
                <w:sz w:val="20"/>
                <w:szCs w:val="20"/>
              </w:rPr>
              <w:t>4.4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679B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9BB">
              <w:rPr>
                <w:rFonts w:ascii="Arial" w:hAnsi="Arial" w:cs="Arial"/>
                <w:sz w:val="20"/>
                <w:szCs w:val="20"/>
              </w:rPr>
              <w:t>mg/kg q8h</w:t>
            </w:r>
          </w:p>
        </w:tc>
      </w:tr>
      <w:tr w:rsidR="002578F2" w:rsidRPr="007D6168" w14:paraId="2FA1D106" w14:textId="77777777" w:rsidTr="002578F2">
        <w:tc>
          <w:tcPr>
            <w:tcW w:w="2122" w:type="dxa"/>
          </w:tcPr>
          <w:p w14:paraId="1B2690FB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3194AC46" w14:textId="77777777" w:rsidR="002578F2" w:rsidRPr="007D6168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C2A">
              <w:rPr>
                <w:rFonts w:ascii="Arial" w:hAnsi="Arial" w:cs="Arial"/>
                <w:sz w:val="20"/>
                <w:szCs w:val="20"/>
              </w:rPr>
              <w:t>Gastrointestinal disturbances,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hepatopathy, male infertility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dogs.</w:t>
            </w:r>
          </w:p>
        </w:tc>
      </w:tr>
      <w:tr w:rsidR="002578F2" w:rsidRPr="007D6168" w14:paraId="2C51DDF1" w14:textId="77777777" w:rsidTr="002578F2">
        <w:tc>
          <w:tcPr>
            <w:tcW w:w="2122" w:type="dxa"/>
          </w:tcPr>
          <w:p w14:paraId="6DDC939E" w14:textId="77777777" w:rsidR="002578F2" w:rsidRPr="0010670F" w:rsidRDefault="002578F2" w:rsidP="002578F2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4217F654" w14:textId="77777777" w:rsidR="002578F2" w:rsidRPr="007D6168" w:rsidRDefault="002578F2" w:rsidP="002578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C2A">
              <w:rPr>
                <w:rFonts w:ascii="Arial" w:hAnsi="Arial" w:cs="Arial"/>
                <w:sz w:val="20"/>
                <w:szCs w:val="20"/>
              </w:rPr>
              <w:t>Lower urinary tract infections only.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 xml:space="preserve">Reserve** for </w:t>
            </w:r>
            <w:r>
              <w:rPr>
                <w:rFonts w:ascii="Arial" w:hAnsi="Arial" w:cs="Arial"/>
                <w:sz w:val="20"/>
                <w:szCs w:val="20"/>
              </w:rPr>
              <w:t>exceptional</w:t>
            </w:r>
            <w:r w:rsidRPr="00102C2A">
              <w:rPr>
                <w:rFonts w:ascii="Arial" w:hAnsi="Arial" w:cs="Arial"/>
                <w:sz w:val="20"/>
                <w:szCs w:val="20"/>
              </w:rPr>
              <w:t xml:space="preserve"> cases.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Do not use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pyelonephritis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conditions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where tissue (vs.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urine)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levels 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needed.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Avoid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cases with renal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impairment.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activity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Pseudomonas,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Proteus, Serratia,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Acinetobacter spp.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Probenecid inhibits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renal excretion.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Antagonistic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C2A">
              <w:rPr>
                <w:rFonts w:ascii="Arial" w:hAnsi="Arial" w:cs="Arial"/>
                <w:sz w:val="20"/>
                <w:szCs w:val="20"/>
              </w:rPr>
              <w:t>fluoroquinolones.</w:t>
            </w:r>
          </w:p>
        </w:tc>
      </w:tr>
    </w:tbl>
    <w:p w14:paraId="5F3E24ED" w14:textId="01B3E879" w:rsidR="000A2F57" w:rsidRDefault="00630F48" w:rsidP="00630F48">
      <w:pPr>
        <w:pStyle w:val="Heading3"/>
      </w:pPr>
      <w:r>
        <w:lastRenderedPageBreak/>
        <w:t xml:space="preserve">Drug Class: </w:t>
      </w:r>
      <w:proofErr w:type="spellStart"/>
      <w:r>
        <w:t>Lincosamides</w:t>
      </w:r>
      <w:proofErr w:type="spellEnd"/>
    </w:p>
    <w:tbl>
      <w:tblPr>
        <w:tblStyle w:val="TableGrid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2110"/>
        <w:gridCol w:w="6855"/>
      </w:tblGrid>
      <w:tr w:rsidR="00DF37E7" w:rsidRPr="0010670F" w14:paraId="32B86F54" w14:textId="77777777" w:rsidTr="00B45E7C">
        <w:trPr>
          <w:trHeight w:val="247"/>
        </w:trPr>
        <w:tc>
          <w:tcPr>
            <w:tcW w:w="2110" w:type="dxa"/>
          </w:tcPr>
          <w:p w14:paraId="63CFB78A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55" w:type="dxa"/>
          </w:tcPr>
          <w:p w14:paraId="32C10A64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>Clindamycin</w:t>
            </w:r>
          </w:p>
        </w:tc>
      </w:tr>
      <w:tr w:rsidR="00DF37E7" w:rsidRPr="0010670F" w14:paraId="7BED3483" w14:textId="77777777" w:rsidTr="00B45E7C">
        <w:trPr>
          <w:trHeight w:val="257"/>
        </w:trPr>
        <w:tc>
          <w:tcPr>
            <w:tcW w:w="2110" w:type="dxa"/>
          </w:tcPr>
          <w:p w14:paraId="6893AA8D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55" w:type="dxa"/>
          </w:tcPr>
          <w:p w14:paraId="0402D68B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F30DE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  <w:tr w:rsidR="00DF37E7" w:rsidRPr="0010670F" w14:paraId="78430216" w14:textId="77777777" w:rsidTr="00B45E7C">
        <w:trPr>
          <w:trHeight w:val="247"/>
        </w:trPr>
        <w:tc>
          <w:tcPr>
            <w:tcW w:w="2110" w:type="dxa"/>
          </w:tcPr>
          <w:p w14:paraId="56047143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55" w:type="dxa"/>
          </w:tcPr>
          <w:p w14:paraId="0379F1EF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IV,IM</w:t>
            </w:r>
          </w:p>
        </w:tc>
      </w:tr>
      <w:tr w:rsidR="00DF37E7" w:rsidRPr="0010670F" w14:paraId="7FE70B8B" w14:textId="77777777" w:rsidTr="00B45E7C">
        <w:trPr>
          <w:trHeight w:val="683"/>
        </w:trPr>
        <w:tc>
          <w:tcPr>
            <w:tcW w:w="2110" w:type="dxa"/>
          </w:tcPr>
          <w:p w14:paraId="3DB402E6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55" w:type="dxa"/>
          </w:tcPr>
          <w:p w14:paraId="3DE0039A" w14:textId="77777777" w:rsidR="00DF37E7" w:rsidRPr="00BF7B8D" w:rsidRDefault="00DF37E7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>11mg/kg q12h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IV: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dilute 1:10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0.9% saline,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Administer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over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60mins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11mg/kg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q12-24h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F700D0" w14:textId="77777777" w:rsidR="00DF37E7" w:rsidRPr="0010670F" w:rsidRDefault="00DF37E7" w:rsidP="001B51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>Toxoplasmosis: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25mg/kg q12h</w:t>
            </w:r>
          </w:p>
        </w:tc>
      </w:tr>
      <w:tr w:rsidR="00DF37E7" w:rsidRPr="007D6168" w14:paraId="283F7F3E" w14:textId="77777777" w:rsidTr="00B45E7C">
        <w:trPr>
          <w:trHeight w:val="911"/>
        </w:trPr>
        <w:tc>
          <w:tcPr>
            <w:tcW w:w="2110" w:type="dxa"/>
          </w:tcPr>
          <w:p w14:paraId="5DB2C77C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55" w:type="dxa"/>
          </w:tcPr>
          <w:p w14:paraId="2E9BC0C8" w14:textId="77777777" w:rsidR="00DF37E7" w:rsidRPr="007D6168" w:rsidRDefault="00DF37E7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 xml:space="preserve">Oesophagitis and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F7B8D">
              <w:rPr>
                <w:rFonts w:ascii="Arial" w:hAnsi="Arial" w:cs="Arial"/>
                <w:sz w:val="20"/>
                <w:szCs w:val="20"/>
              </w:rPr>
              <w:t>esophageal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stricture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been reported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cats associated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with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generic capsules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- follow capsules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with water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food.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Diarrhoea,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neuromuscular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blockade.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Oral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suspension 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unpalatable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for cats.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injection.</w:t>
            </w:r>
          </w:p>
        </w:tc>
      </w:tr>
      <w:tr w:rsidR="00DF37E7" w:rsidRPr="007D6168" w14:paraId="6F7C08D7" w14:textId="77777777" w:rsidTr="00B45E7C">
        <w:trPr>
          <w:trHeight w:val="1823"/>
        </w:trPr>
        <w:tc>
          <w:tcPr>
            <w:tcW w:w="2110" w:type="dxa"/>
          </w:tcPr>
          <w:p w14:paraId="2701250C" w14:textId="77777777" w:rsidR="00DF37E7" w:rsidRPr="0010670F" w:rsidRDefault="00DF37E7" w:rsidP="001B517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55" w:type="dxa"/>
          </w:tcPr>
          <w:p w14:paraId="6013CB9F" w14:textId="239F7CA0" w:rsidR="00DF37E7" w:rsidRPr="00BF7B8D" w:rsidRDefault="00DF37E7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>Active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staphylococci,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streptococci,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Actinomyces,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 xml:space="preserve">Nocardia, and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BF7B8D">
              <w:rPr>
                <w:rFonts w:ascii="Arial" w:hAnsi="Arial" w:cs="Arial"/>
                <w:sz w:val="20"/>
                <w:szCs w:val="20"/>
              </w:rPr>
              <w:t>ycoplasma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spp.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plus anaerobes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(Bacteroides spp.,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Fusobacterium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spp., Clostridium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perfringens).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Only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use for skin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disease when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topical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therapy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insufficient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pyoderma.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Cross-resistance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7B8D">
              <w:rPr>
                <w:rFonts w:ascii="Arial" w:hAnsi="Arial" w:cs="Arial"/>
                <w:sz w:val="20"/>
                <w:szCs w:val="20"/>
              </w:rPr>
              <w:t>lincosamides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in bacteria resistant to macrolides.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High concentration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in prostate.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for toxoplasmosis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controversial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as may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clinical signs but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not clear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CNS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eye.</w:t>
            </w:r>
            <w:r w:rsidR="00766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7B8D">
              <w:rPr>
                <w:rFonts w:ascii="Arial" w:hAnsi="Arial" w:cs="Arial"/>
                <w:sz w:val="20"/>
                <w:szCs w:val="20"/>
              </w:rPr>
              <w:t>Erythromycin and chloramphenicol</w:t>
            </w:r>
          </w:p>
          <w:p w14:paraId="72778D7E" w14:textId="77777777" w:rsidR="00DF37E7" w:rsidRPr="007D6168" w:rsidRDefault="00DF37E7" w:rsidP="001B51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7B8D">
              <w:rPr>
                <w:rFonts w:ascii="Arial" w:hAnsi="Arial" w:cs="Arial"/>
                <w:sz w:val="20"/>
                <w:szCs w:val="20"/>
              </w:rPr>
              <w:t>are antagonistic.</w:t>
            </w:r>
          </w:p>
        </w:tc>
      </w:tr>
    </w:tbl>
    <w:p w14:paraId="1C54DD85" w14:textId="220EDB7E" w:rsidR="00793E33" w:rsidRDefault="00793E33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E87B896" w14:textId="79351A08" w:rsidR="00BF756F" w:rsidRDefault="00630F48" w:rsidP="00630F48">
      <w:pPr>
        <w:pStyle w:val="Heading3"/>
      </w:pPr>
      <w:r>
        <w:t xml:space="preserve">Drug Class: </w:t>
      </w:r>
      <w:proofErr w:type="spellStart"/>
      <w:r>
        <w:t>Phenicols</w:t>
      </w:r>
      <w:proofErr w:type="spellEnd"/>
    </w:p>
    <w:tbl>
      <w:tblPr>
        <w:tblStyle w:val="TableGrid"/>
        <w:tblpPr w:leftFromText="180" w:rightFromText="180" w:vertAnchor="page" w:horzAnchor="margin" w:tblpY="7126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B56F4" w:rsidRPr="0010670F" w14:paraId="21CA6588" w14:textId="77777777" w:rsidTr="00630F48">
        <w:tc>
          <w:tcPr>
            <w:tcW w:w="2122" w:type="dxa"/>
          </w:tcPr>
          <w:p w14:paraId="49D12151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76F7F6F7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5F65E2">
              <w:rPr>
                <w:rFonts w:ascii="Arial" w:hAnsi="Arial" w:cs="Arial"/>
                <w:sz w:val="20"/>
                <w:szCs w:val="20"/>
              </w:rPr>
              <w:t>Chloramphenicol</w:t>
            </w:r>
          </w:p>
        </w:tc>
      </w:tr>
      <w:tr w:rsidR="00AB56F4" w:rsidRPr="0010670F" w14:paraId="1436510B" w14:textId="77777777" w:rsidTr="00630F48">
        <w:tc>
          <w:tcPr>
            <w:tcW w:w="2122" w:type="dxa"/>
          </w:tcPr>
          <w:p w14:paraId="6CA5D95C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31909F26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5F65E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AB56F4" w:rsidRPr="0010670F" w14:paraId="2036B351" w14:textId="77777777" w:rsidTr="00630F48">
        <w:tc>
          <w:tcPr>
            <w:tcW w:w="2122" w:type="dxa"/>
          </w:tcPr>
          <w:p w14:paraId="02CFDD7B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7B7059EC" w14:textId="77777777" w:rsidR="00AB56F4" w:rsidRPr="007D6168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65E2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F65E2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F65E2">
              <w:rPr>
                <w:rFonts w:ascii="Arial" w:hAnsi="Arial" w:cs="Arial"/>
                <w:sz w:val="20"/>
                <w:szCs w:val="20"/>
              </w:rPr>
              <w:t>IM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F65E2">
              <w:rPr>
                <w:rFonts w:ascii="Arial" w:hAnsi="Arial" w:cs="Arial"/>
                <w:sz w:val="20"/>
                <w:szCs w:val="20"/>
              </w:rPr>
              <w:t>Topical</w:t>
            </w:r>
          </w:p>
        </w:tc>
      </w:tr>
      <w:tr w:rsidR="00AB56F4" w:rsidRPr="0010670F" w14:paraId="5DF567AC" w14:textId="77777777" w:rsidTr="00630F48">
        <w:tc>
          <w:tcPr>
            <w:tcW w:w="2122" w:type="dxa"/>
          </w:tcPr>
          <w:p w14:paraId="6D89E94A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5EC7A4EE" w14:textId="77777777" w:rsidR="00AB56F4" w:rsidRPr="001A085F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085F">
              <w:rPr>
                <w:rFonts w:ascii="Arial" w:hAnsi="Arial" w:cs="Arial"/>
                <w:sz w:val="20"/>
                <w:szCs w:val="20"/>
              </w:rPr>
              <w:t>Dogs: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40-50mg/kg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q6-8h</w:t>
            </w:r>
          </w:p>
          <w:p w14:paraId="2C0F31C7" w14:textId="77777777" w:rsidR="00AB56F4" w:rsidRPr="0010670F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  <w:sz w:val="20"/>
                <w:szCs w:val="20"/>
              </w:rPr>
              <w:t>Cats: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12.5-20mg/kg q12h</w:t>
            </w:r>
          </w:p>
        </w:tc>
      </w:tr>
      <w:tr w:rsidR="00AB56F4" w:rsidRPr="0010670F" w14:paraId="612C2A05" w14:textId="77777777" w:rsidTr="00630F48">
        <w:tc>
          <w:tcPr>
            <w:tcW w:w="2122" w:type="dxa"/>
          </w:tcPr>
          <w:p w14:paraId="2A971D28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246620C" w14:textId="77777777" w:rsidR="00AB56F4" w:rsidRPr="007D6168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085F">
              <w:rPr>
                <w:rFonts w:ascii="Arial" w:hAnsi="Arial" w:cs="Arial"/>
                <w:sz w:val="20"/>
                <w:szCs w:val="20"/>
              </w:rPr>
              <w:t>Anorexia,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hypersalivation,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vomiting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systemic use.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Dose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reversible bone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marrow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suppression 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prolonged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A085F">
              <w:rPr>
                <w:rFonts w:ascii="Arial" w:hAnsi="Arial" w:cs="Arial"/>
                <w:sz w:val="20"/>
                <w:szCs w:val="20"/>
              </w:rPr>
              <w:t>usually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resolves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within days.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Cats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more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susceptible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A085F">
              <w:rPr>
                <w:rFonts w:ascii="Arial" w:hAnsi="Arial" w:cs="Arial"/>
                <w:sz w:val="20"/>
                <w:szCs w:val="20"/>
              </w:rPr>
              <w:t>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weeks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of treatment.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Wear gloves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mask when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handling medication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idiosyncratic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aplastic anaemia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can develop in people handling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85F">
              <w:rPr>
                <w:rFonts w:ascii="Arial" w:hAnsi="Arial" w:cs="Arial"/>
                <w:sz w:val="20"/>
                <w:szCs w:val="20"/>
              </w:rPr>
              <w:t>this drug.</w:t>
            </w:r>
          </w:p>
        </w:tc>
      </w:tr>
      <w:tr w:rsidR="00AB56F4" w:rsidRPr="0010670F" w14:paraId="3FA1348C" w14:textId="77777777" w:rsidTr="00630F48">
        <w:tc>
          <w:tcPr>
            <w:tcW w:w="2122" w:type="dxa"/>
          </w:tcPr>
          <w:p w14:paraId="7654DC7B" w14:textId="77777777" w:rsidR="00AB56F4" w:rsidRPr="0010670F" w:rsidRDefault="00AB56F4" w:rsidP="00630F48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309B4349" w14:textId="77777777" w:rsidR="00AB56F4" w:rsidRPr="00E8249E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49E">
              <w:rPr>
                <w:rFonts w:ascii="Arial" w:hAnsi="Arial" w:cs="Arial"/>
                <w:sz w:val="20"/>
                <w:szCs w:val="20"/>
              </w:rPr>
              <w:t>Mostly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topically.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systemically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multidrug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E8249E">
              <w:rPr>
                <w:rFonts w:ascii="Arial" w:hAnsi="Arial" w:cs="Arial"/>
                <w:sz w:val="20"/>
                <w:szCs w:val="20"/>
              </w:rPr>
              <w:t>esistant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organisms.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Broad spectrum.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Avoid systemic use in cases with hepatic</w:t>
            </w:r>
            <w:r>
              <w:rPr>
                <w:rFonts w:ascii="Arial" w:hAnsi="Arial" w:cs="Arial"/>
                <w:sz w:val="20"/>
                <w:szCs w:val="20"/>
              </w:rPr>
              <w:t xml:space="preserve"> failure</w:t>
            </w:r>
            <w:r w:rsidRPr="00E8249E">
              <w:rPr>
                <w:rFonts w:ascii="Arial" w:hAnsi="Arial" w:cs="Arial"/>
                <w:sz w:val="20"/>
                <w:szCs w:val="20"/>
              </w:rPr>
              <w:t>, renal failure, pre-existing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haematologic abnormalities, pregnancy,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lactation and in young animals.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Eliminated by glucuronidation mechanisms,</w:t>
            </w:r>
          </w:p>
          <w:p w14:paraId="4F7110E0" w14:textId="77777777" w:rsidR="00AB56F4" w:rsidRPr="007D6168" w:rsidRDefault="00AB56F4" w:rsidP="00630F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49E">
              <w:rPr>
                <w:rFonts w:ascii="Arial" w:hAnsi="Arial" w:cs="Arial"/>
                <w:sz w:val="20"/>
                <w:szCs w:val="20"/>
              </w:rPr>
              <w:t>cats excrete higher proportion unchanged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in urine than dogs.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Potent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inhibitor of P450 enzymes reduced hepatic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Clearance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phenobarbital,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49E">
              <w:rPr>
                <w:rFonts w:ascii="Arial" w:hAnsi="Arial" w:cs="Arial"/>
                <w:sz w:val="20"/>
                <w:szCs w:val="20"/>
              </w:rPr>
              <w:t>pentobarbital.</w:t>
            </w:r>
          </w:p>
        </w:tc>
      </w:tr>
    </w:tbl>
    <w:p w14:paraId="2A0BADAB" w14:textId="77777777" w:rsidR="009C3D81" w:rsidRDefault="009C3D81" w:rsidP="009C3D81">
      <w:pPr>
        <w:pStyle w:val="Heading3"/>
      </w:pPr>
    </w:p>
    <w:p w14:paraId="5D131670" w14:textId="2C468FE9" w:rsidR="009C3D81" w:rsidRDefault="009C3D81" w:rsidP="009C3D81">
      <w:pPr>
        <w:pStyle w:val="Heading3"/>
        <w:rPr>
          <w:rFonts w:cs="Arial"/>
          <w:sz w:val="20"/>
          <w:szCs w:val="20"/>
        </w:rPr>
      </w:pPr>
      <w:r>
        <w:t>Drug Class: Polypeptides</w:t>
      </w:r>
    </w:p>
    <w:p w14:paraId="371C7E14" w14:textId="77777777" w:rsidR="00BF756F" w:rsidRDefault="00BF756F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252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326C" w:rsidRPr="0010670F" w14:paraId="4F578D8D" w14:textId="77777777" w:rsidTr="009C3D81">
        <w:tc>
          <w:tcPr>
            <w:tcW w:w="2122" w:type="dxa"/>
          </w:tcPr>
          <w:p w14:paraId="5F8E381D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6E0BA220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Polymixin</w:t>
            </w:r>
            <w:proofErr w:type="spellEnd"/>
            <w:r>
              <w:rPr>
                <w:rFonts w:ascii="Arial" w:hAnsi="Arial" w:cs="Arial"/>
              </w:rPr>
              <w:t xml:space="preserve"> B</w:t>
            </w:r>
          </w:p>
        </w:tc>
      </w:tr>
      <w:tr w:rsidR="0018326C" w:rsidRPr="0010670F" w14:paraId="3BDE0116" w14:textId="77777777" w:rsidTr="009C3D81">
        <w:tc>
          <w:tcPr>
            <w:tcW w:w="2122" w:type="dxa"/>
          </w:tcPr>
          <w:p w14:paraId="6CDE31A9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23241FA0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18326C" w:rsidRPr="0010670F" w14:paraId="41FE2B37" w14:textId="77777777" w:rsidTr="009C3D81">
        <w:tc>
          <w:tcPr>
            <w:tcW w:w="2122" w:type="dxa"/>
          </w:tcPr>
          <w:p w14:paraId="4EDC792A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7B2127BB" w14:textId="77777777" w:rsidR="0018326C" w:rsidRPr="007D6168" w:rsidRDefault="0018326C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Topical</w:t>
            </w:r>
          </w:p>
        </w:tc>
      </w:tr>
      <w:tr w:rsidR="0018326C" w:rsidRPr="0010670F" w14:paraId="55D3C944" w14:textId="77777777" w:rsidTr="009C3D81">
        <w:tc>
          <w:tcPr>
            <w:tcW w:w="2122" w:type="dxa"/>
          </w:tcPr>
          <w:p w14:paraId="4ECCC79A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21124AFE" w14:textId="77777777" w:rsidR="0018326C" w:rsidRPr="0010670F" w:rsidRDefault="0018326C" w:rsidP="009C3D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8326C" w:rsidRPr="0010670F" w14:paraId="1559F877" w14:textId="77777777" w:rsidTr="009C3D81">
        <w:tc>
          <w:tcPr>
            <w:tcW w:w="2122" w:type="dxa"/>
          </w:tcPr>
          <w:p w14:paraId="38DD0B1F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130080CD" w14:textId="77777777" w:rsidR="0018326C" w:rsidRPr="007D6168" w:rsidRDefault="0018326C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482">
              <w:rPr>
                <w:rFonts w:ascii="Arial" w:hAnsi="Arial" w:cs="Arial"/>
                <w:sz w:val="20"/>
                <w:szCs w:val="20"/>
              </w:rPr>
              <w:t>Nephrotoxic if administered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systemically.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Potentially ototoxic.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Ophthalmic formulations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associated with anaphylaxis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in cats.</w:t>
            </w:r>
          </w:p>
        </w:tc>
      </w:tr>
      <w:tr w:rsidR="0018326C" w:rsidRPr="0010670F" w14:paraId="05560136" w14:textId="77777777" w:rsidTr="009C3D81">
        <w:tc>
          <w:tcPr>
            <w:tcW w:w="2122" w:type="dxa"/>
          </w:tcPr>
          <w:p w14:paraId="379DA55A" w14:textId="77777777" w:rsidR="0018326C" w:rsidRPr="0010670F" w:rsidRDefault="0018326C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35DD4969" w14:textId="77777777" w:rsidR="0018326C" w:rsidRPr="007D6168" w:rsidRDefault="0018326C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93482">
              <w:rPr>
                <w:rFonts w:ascii="Arial" w:hAnsi="Arial" w:cs="Arial"/>
                <w:sz w:val="20"/>
                <w:szCs w:val="20"/>
              </w:rPr>
              <w:t>Used topically for treatment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bacterial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keratitis, otitis externa and skin infections.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Active topically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Pseudomonas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spp. and other 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negatives (except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 xml:space="preserve">Proteus, </w:t>
            </w:r>
            <w:proofErr w:type="spellStart"/>
            <w:r w:rsidRPr="00F93482">
              <w:rPr>
                <w:rFonts w:ascii="Arial" w:hAnsi="Arial" w:cs="Arial"/>
                <w:sz w:val="20"/>
                <w:szCs w:val="20"/>
              </w:rPr>
              <w:t>Morganella</w:t>
            </w:r>
            <w:proofErr w:type="spellEnd"/>
            <w:r w:rsidRPr="00F93482">
              <w:rPr>
                <w:rFonts w:ascii="Arial" w:hAnsi="Arial" w:cs="Arial"/>
                <w:sz w:val="20"/>
                <w:szCs w:val="20"/>
              </w:rPr>
              <w:t xml:space="preserve"> and Serratia spp.).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Inhibited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F93482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presence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purulent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482">
              <w:rPr>
                <w:rFonts w:ascii="Arial" w:hAnsi="Arial" w:cs="Arial"/>
                <w:sz w:val="20"/>
                <w:szCs w:val="20"/>
              </w:rPr>
              <w:t>exudate.</w:t>
            </w:r>
          </w:p>
        </w:tc>
      </w:tr>
    </w:tbl>
    <w:p w14:paraId="4E3DE7C2" w14:textId="28F4B4FB" w:rsidR="00AB56F4" w:rsidRDefault="009C3D81" w:rsidP="009C3D81">
      <w:pPr>
        <w:pStyle w:val="Heading3"/>
      </w:pPr>
      <w:r>
        <w:lastRenderedPageBreak/>
        <w:t>Drug Class: Fluoroquinolones</w:t>
      </w:r>
    </w:p>
    <w:tbl>
      <w:tblPr>
        <w:tblStyle w:val="TableGrid"/>
        <w:tblpPr w:leftFromText="180" w:rightFromText="180" w:vertAnchor="page" w:horzAnchor="margin" w:tblpY="177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862B2" w:rsidRPr="0010670F" w14:paraId="7E58AA97" w14:textId="77777777" w:rsidTr="009C3D81">
        <w:tc>
          <w:tcPr>
            <w:tcW w:w="2122" w:type="dxa"/>
          </w:tcPr>
          <w:p w14:paraId="4D95F658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D18754C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Enrofloxacin</w:t>
            </w:r>
          </w:p>
        </w:tc>
      </w:tr>
      <w:tr w:rsidR="002862B2" w:rsidRPr="0010670F" w14:paraId="157FA5FD" w14:textId="77777777" w:rsidTr="009C3D81">
        <w:tc>
          <w:tcPr>
            <w:tcW w:w="2122" w:type="dxa"/>
          </w:tcPr>
          <w:p w14:paraId="2A9555B9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3E065F37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862B2" w:rsidRPr="0010670F" w14:paraId="511FFFEA" w14:textId="77777777" w:rsidTr="009C3D81">
        <w:tc>
          <w:tcPr>
            <w:tcW w:w="2122" w:type="dxa"/>
          </w:tcPr>
          <w:p w14:paraId="5D0F88B1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37FBC777" w14:textId="77777777" w:rsidR="002862B2" w:rsidRPr="007D6168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PO,IV</w:t>
            </w:r>
          </w:p>
        </w:tc>
      </w:tr>
      <w:tr w:rsidR="002862B2" w:rsidRPr="0010670F" w14:paraId="394E542D" w14:textId="77777777" w:rsidTr="009C3D81">
        <w:tc>
          <w:tcPr>
            <w:tcW w:w="2122" w:type="dxa"/>
          </w:tcPr>
          <w:p w14:paraId="53A98C1F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2A71727B" w14:textId="77777777" w:rsidR="002862B2" w:rsidRPr="007762D8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62D8">
              <w:rPr>
                <w:rFonts w:ascii="Arial" w:hAnsi="Arial" w:cs="Arial"/>
                <w:sz w:val="20"/>
                <w:szCs w:val="20"/>
              </w:rPr>
              <w:t>Dogs: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2D8">
              <w:rPr>
                <w:rFonts w:ascii="Arial" w:hAnsi="Arial" w:cs="Arial"/>
                <w:sz w:val="20"/>
                <w:szCs w:val="20"/>
              </w:rPr>
              <w:t>5-20mg/kg q24h</w:t>
            </w:r>
          </w:p>
          <w:p w14:paraId="5D419DC4" w14:textId="77777777" w:rsidR="002862B2" w:rsidRPr="0010670F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62D8">
              <w:rPr>
                <w:rFonts w:ascii="Arial" w:hAnsi="Arial" w:cs="Arial"/>
                <w:sz w:val="20"/>
                <w:szCs w:val="20"/>
              </w:rPr>
              <w:t>Cats: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2D8">
              <w:rPr>
                <w:rFonts w:ascii="Arial" w:hAnsi="Arial" w:cs="Arial"/>
                <w:sz w:val="20"/>
                <w:szCs w:val="20"/>
              </w:rPr>
              <w:t>5mg/kg q24h,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2D8">
              <w:rPr>
                <w:rFonts w:ascii="Arial" w:hAnsi="Arial" w:cs="Arial"/>
                <w:sz w:val="20"/>
                <w:szCs w:val="20"/>
              </w:rPr>
              <w:t>SLOW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2D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2862B2" w:rsidRPr="0010670F" w14:paraId="2981EEE3" w14:textId="77777777" w:rsidTr="009C3D81">
        <w:tc>
          <w:tcPr>
            <w:tcW w:w="2122" w:type="dxa"/>
          </w:tcPr>
          <w:p w14:paraId="0D001260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56CDA00D" w14:textId="77777777" w:rsidR="002862B2" w:rsidRPr="007D6168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78F9">
              <w:rPr>
                <w:rFonts w:ascii="Arial" w:hAnsi="Arial" w:cs="Arial"/>
                <w:sz w:val="20"/>
                <w:szCs w:val="20"/>
              </w:rPr>
              <w:t>Blindness, due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 retinal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detachment,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neurological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signs in cats.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Not always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associated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or route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administration,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however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greater </w:t>
            </w:r>
            <w:r>
              <w:rPr>
                <w:rFonts w:ascii="Arial" w:hAnsi="Arial" w:cs="Arial"/>
                <w:sz w:val="20"/>
                <w:szCs w:val="20"/>
              </w:rPr>
              <w:t>risk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advancing age.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Anorexia,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vomiting,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diarrhoea.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CN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D78F9">
              <w:rPr>
                <w:rFonts w:ascii="Arial" w:hAnsi="Arial" w:cs="Arial"/>
                <w:sz w:val="20"/>
                <w:szCs w:val="20"/>
              </w:rPr>
              <w:t>effects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wit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1D78F9">
              <w:rPr>
                <w:rFonts w:ascii="Arial" w:hAnsi="Arial" w:cs="Arial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doses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rapid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Caution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prone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seizures.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Canine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toxic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1D78F9">
              <w:rPr>
                <w:rFonts w:ascii="Arial" w:hAnsi="Arial" w:cs="Arial"/>
                <w:sz w:val="20"/>
                <w:szCs w:val="20"/>
              </w:rPr>
              <w:t>hoc</w:t>
            </w:r>
            <w:r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Pr="001D78F9">
              <w:rPr>
                <w:rFonts w:ascii="Arial" w:hAnsi="Arial" w:cs="Arial"/>
                <w:sz w:val="20"/>
                <w:szCs w:val="20"/>
              </w:rPr>
              <w:t>syndrome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D78F9">
              <w:rPr>
                <w:rFonts w:ascii="Arial" w:hAnsi="Arial" w:cs="Arial"/>
                <w:sz w:val="20"/>
                <w:szCs w:val="20"/>
              </w:rPr>
              <w:t>ecrotizing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fasciitis caused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1D78F9">
              <w:rPr>
                <w:rFonts w:ascii="Arial" w:hAnsi="Arial" w:cs="Arial"/>
                <w:sz w:val="20"/>
                <w:szCs w:val="20"/>
              </w:rPr>
              <w:t>luoroquinolone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Streptococcus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D78F9">
              <w:rPr>
                <w:rFonts w:ascii="Arial" w:hAnsi="Arial" w:cs="Arial"/>
                <w:sz w:val="20"/>
                <w:szCs w:val="20"/>
              </w:rPr>
              <w:t>anis</w:t>
            </w:r>
            <w:proofErr w:type="spellEnd"/>
            <w:r w:rsidRPr="001D78F9">
              <w:rPr>
                <w:rFonts w:ascii="Arial" w:hAnsi="Arial" w:cs="Arial"/>
                <w:sz w:val="20"/>
                <w:szCs w:val="20"/>
              </w:rPr>
              <w:t xml:space="preserve"> infections.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Arthropathy in dogs during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growth,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small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dogs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&lt;8</w:t>
            </w:r>
            <w:r w:rsidRPr="001D78F9">
              <w:rPr>
                <w:rFonts w:ascii="Arial" w:hAnsi="Arial" w:cs="Arial"/>
                <w:sz w:val="20"/>
                <w:szCs w:val="20"/>
              </w:rPr>
              <w:tab/>
              <w:t>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old,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large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breeds less than 12-18 months.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Avoid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cats - especially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D78F9">
              <w:rPr>
                <w:rFonts w:ascii="Arial" w:hAnsi="Arial" w:cs="Arial"/>
                <w:sz w:val="20"/>
                <w:szCs w:val="20"/>
              </w:rPr>
              <w:t>hose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with renal disease.</w:t>
            </w:r>
          </w:p>
        </w:tc>
      </w:tr>
      <w:tr w:rsidR="002862B2" w:rsidRPr="0010670F" w14:paraId="5B7DDF64" w14:textId="77777777" w:rsidTr="009C3D81">
        <w:tc>
          <w:tcPr>
            <w:tcW w:w="2122" w:type="dxa"/>
          </w:tcPr>
          <w:p w14:paraId="78B63DF9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02746C8D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78F9">
              <w:rPr>
                <w:rFonts w:ascii="Arial" w:hAnsi="Arial" w:cs="Arial"/>
                <w:sz w:val="20"/>
                <w:szCs w:val="20"/>
              </w:rPr>
              <w:t>2</w:t>
            </w:r>
            <w:r w:rsidRPr="00634C0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generation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fluoroquinolone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active against Pasteurella spp.,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Gram-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D78F9">
              <w:rPr>
                <w:rFonts w:ascii="Arial" w:hAnsi="Arial" w:cs="Arial"/>
                <w:sz w:val="20"/>
                <w:szCs w:val="20"/>
              </w:rPr>
              <w:t>egative enteric bacilli,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Staphylococci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(highe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1D78F9">
              <w:rPr>
                <w:rFonts w:ascii="Arial" w:hAnsi="Arial" w:cs="Arial"/>
                <w:sz w:val="20"/>
                <w:szCs w:val="20"/>
              </w:rPr>
              <w:t>MIC).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Variable activity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Pseudomonas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Aeruginosa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(highest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MIC).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Poor activity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streptococci,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enterococci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anaerobes.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indicated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superficial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pyoderma.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Reserve** for </w:t>
            </w:r>
            <w:r>
              <w:rPr>
                <w:rFonts w:ascii="Arial" w:hAnsi="Arial" w:cs="Arial"/>
                <w:sz w:val="20"/>
                <w:szCs w:val="20"/>
              </w:rPr>
              <w:t>infections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culture and susceptibility indicate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D78F9">
              <w:rPr>
                <w:rFonts w:ascii="Arial" w:hAnsi="Arial" w:cs="Arial"/>
                <w:sz w:val="20"/>
                <w:szCs w:val="20"/>
              </w:rPr>
              <w:t>lternative.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Use is a known risk factor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selection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methicillin</w:t>
            </w:r>
            <w:r>
              <w:rPr>
                <w:rFonts w:ascii="Arial" w:hAnsi="Arial" w:cs="Arial"/>
                <w:sz w:val="20"/>
                <w:szCs w:val="20"/>
              </w:rPr>
              <w:t>-r</w:t>
            </w:r>
            <w:r w:rsidRPr="001D78F9">
              <w:rPr>
                <w:rFonts w:ascii="Arial" w:hAnsi="Arial" w:cs="Arial"/>
                <w:sz w:val="20"/>
                <w:szCs w:val="20"/>
              </w:rPr>
              <w:t>esistant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staphylococci.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organism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resistant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fluoroquinolone,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typically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resistant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 all (cross-resistance).</w:t>
            </w:r>
          </w:p>
          <w:p w14:paraId="477510B3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78F9">
              <w:rPr>
                <w:rFonts w:ascii="Arial" w:hAnsi="Arial" w:cs="Arial"/>
                <w:sz w:val="20"/>
                <w:szCs w:val="20"/>
              </w:rPr>
              <w:t>Good distribution to bone, prostate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skin.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Concentrated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urine,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and within phagocytic cells.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Enrofloxacin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partially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(~20%)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E74B3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78F9">
              <w:rPr>
                <w:rFonts w:ascii="Arial" w:hAnsi="Arial" w:cs="Arial"/>
                <w:sz w:val="20"/>
                <w:szCs w:val="20"/>
              </w:rPr>
              <w:t>de-ethylated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ciprofloxacin.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Oral absorption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inhibited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antacids,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sucralfate,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supplements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containing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aluminium,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 xml:space="preserve">calcium, iron and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D78F9">
              <w:rPr>
                <w:rFonts w:ascii="Arial" w:hAnsi="Arial" w:cs="Arial"/>
                <w:sz w:val="20"/>
                <w:szCs w:val="20"/>
              </w:rPr>
              <w:t>inc.</w:t>
            </w:r>
            <w:r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1D78F9">
              <w:rPr>
                <w:rFonts w:ascii="Arial" w:hAnsi="Arial" w:cs="Arial"/>
                <w:sz w:val="20"/>
                <w:szCs w:val="20"/>
              </w:rPr>
              <w:t>elation/precipitation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fluids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with calcium or magnesium.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Reduced hepatic clearance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theophylline.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8F9">
              <w:rPr>
                <w:rFonts w:ascii="Arial" w:hAnsi="Arial" w:cs="Arial"/>
                <w:sz w:val="20"/>
                <w:szCs w:val="20"/>
              </w:rPr>
              <w:t>Antagonism with chloramphenicol,</w:t>
            </w:r>
          </w:p>
          <w:p w14:paraId="529FE76B" w14:textId="77777777" w:rsidR="002862B2" w:rsidRPr="007D6168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78F9">
              <w:rPr>
                <w:rFonts w:ascii="Arial" w:hAnsi="Arial" w:cs="Arial"/>
                <w:sz w:val="20"/>
                <w:szCs w:val="20"/>
              </w:rPr>
              <w:t>rifampicin.</w:t>
            </w:r>
          </w:p>
        </w:tc>
      </w:tr>
      <w:tr w:rsidR="002862B2" w:rsidRPr="0010670F" w14:paraId="07B46003" w14:textId="77777777" w:rsidTr="009C3D81">
        <w:tc>
          <w:tcPr>
            <w:tcW w:w="2122" w:type="dxa"/>
          </w:tcPr>
          <w:p w14:paraId="06EFF246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3E2E0CF8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Marbofloxacin</w:t>
            </w:r>
          </w:p>
        </w:tc>
      </w:tr>
      <w:tr w:rsidR="002862B2" w:rsidRPr="0010670F" w14:paraId="30EF2379" w14:textId="77777777" w:rsidTr="009C3D81">
        <w:tc>
          <w:tcPr>
            <w:tcW w:w="2122" w:type="dxa"/>
          </w:tcPr>
          <w:p w14:paraId="2DD4055E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39DEBC6B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F5A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2862B2" w:rsidRPr="0010670F" w14:paraId="40A256BD" w14:textId="77777777" w:rsidTr="009C3D81">
        <w:tc>
          <w:tcPr>
            <w:tcW w:w="2122" w:type="dxa"/>
          </w:tcPr>
          <w:p w14:paraId="6130A130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21A48C2D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2862B2" w:rsidRPr="0010670F" w14:paraId="7787E0D9" w14:textId="77777777" w:rsidTr="009C3D81">
        <w:tc>
          <w:tcPr>
            <w:tcW w:w="2122" w:type="dxa"/>
          </w:tcPr>
          <w:p w14:paraId="2EE679F0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5AE0A788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0AA1">
              <w:rPr>
                <w:rFonts w:ascii="Arial" w:hAnsi="Arial" w:cs="Arial"/>
                <w:sz w:val="20"/>
                <w:szCs w:val="20"/>
              </w:rPr>
              <w:t>2.75-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70AA1">
              <w:rPr>
                <w:rFonts w:ascii="Arial" w:hAnsi="Arial" w:cs="Arial"/>
                <w:sz w:val="20"/>
                <w:szCs w:val="20"/>
              </w:rPr>
              <w:t>.5mg/kg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AA1">
              <w:rPr>
                <w:rFonts w:ascii="Arial" w:hAnsi="Arial" w:cs="Arial"/>
                <w:sz w:val="20"/>
                <w:szCs w:val="20"/>
              </w:rPr>
              <w:t>q24h</w:t>
            </w:r>
          </w:p>
        </w:tc>
      </w:tr>
      <w:tr w:rsidR="002862B2" w:rsidRPr="0010670F" w14:paraId="243223FA" w14:textId="77777777" w:rsidTr="009C3D81">
        <w:tc>
          <w:tcPr>
            <w:tcW w:w="2122" w:type="dxa"/>
          </w:tcPr>
          <w:p w14:paraId="32C9D9DF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04B80F5D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CC6">
              <w:rPr>
                <w:rFonts w:ascii="Arial" w:hAnsi="Arial" w:cs="Arial"/>
                <w:sz w:val="20"/>
                <w:szCs w:val="20"/>
              </w:rPr>
              <w:t>Anorexia,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vomiting,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diarrhoea.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effects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wit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A40CC6">
              <w:rPr>
                <w:rFonts w:ascii="Arial" w:hAnsi="Arial" w:cs="Arial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doses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rapi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A40CC6">
              <w:rPr>
                <w:rFonts w:ascii="Arial" w:hAnsi="Arial" w:cs="Arial"/>
                <w:sz w:val="20"/>
                <w:szCs w:val="20"/>
              </w:rPr>
              <w:t>IV.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Caution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animals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prone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seizures.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Arthropathy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immature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animals.</w:t>
            </w:r>
          </w:p>
        </w:tc>
      </w:tr>
      <w:tr w:rsidR="002862B2" w:rsidRPr="0010670F" w14:paraId="05525805" w14:textId="77777777" w:rsidTr="009C3D81">
        <w:tc>
          <w:tcPr>
            <w:tcW w:w="2122" w:type="dxa"/>
          </w:tcPr>
          <w:p w14:paraId="329AE259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7AEA3078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CC6">
              <w:rPr>
                <w:rFonts w:ascii="Arial" w:hAnsi="Arial" w:cs="Arial"/>
                <w:sz w:val="20"/>
                <w:szCs w:val="20"/>
              </w:rPr>
              <w:t>2</w:t>
            </w:r>
            <w:r w:rsidRPr="008F77D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generatio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40CC6">
              <w:rPr>
                <w:rFonts w:ascii="Arial" w:hAnsi="Arial" w:cs="Arial"/>
                <w:sz w:val="20"/>
                <w:szCs w:val="20"/>
              </w:rPr>
              <w:t>fluoroquinolone.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Reserve** for infections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culture and susceptibility indicate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40CC6">
              <w:rPr>
                <w:rFonts w:ascii="Arial" w:hAnsi="Arial" w:cs="Arial"/>
                <w:sz w:val="20"/>
                <w:szCs w:val="20"/>
              </w:rPr>
              <w:t>ffective alternative.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Similar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activity,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tissue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distribution,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drug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interactions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enrofloxacin.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Concentrated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A40CC6">
              <w:rPr>
                <w:rFonts w:ascii="Arial" w:hAnsi="Arial" w:cs="Arial"/>
                <w:sz w:val="20"/>
                <w:szCs w:val="20"/>
              </w:rPr>
              <w:t>urine,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A40CC6">
              <w:rPr>
                <w:rFonts w:ascii="Arial" w:hAnsi="Arial" w:cs="Arial"/>
                <w:sz w:val="20"/>
                <w:szCs w:val="20"/>
              </w:rPr>
              <w:t>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confirmed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pyelonephritis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cats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based on susceptibility testing.</w:t>
            </w:r>
          </w:p>
        </w:tc>
      </w:tr>
      <w:tr w:rsidR="002862B2" w:rsidRPr="0010670F" w14:paraId="45B86AF2" w14:textId="77777777" w:rsidTr="009C3D81">
        <w:tc>
          <w:tcPr>
            <w:tcW w:w="2122" w:type="dxa"/>
          </w:tcPr>
          <w:p w14:paraId="43076500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0DBA78C9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Pradofloxacin</w:t>
            </w:r>
          </w:p>
        </w:tc>
      </w:tr>
      <w:tr w:rsidR="002862B2" w:rsidRPr="0010670F" w14:paraId="1471694D" w14:textId="77777777" w:rsidTr="009C3D81">
        <w:tc>
          <w:tcPr>
            <w:tcW w:w="2122" w:type="dxa"/>
          </w:tcPr>
          <w:p w14:paraId="4EEB9B08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3FA768EF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2862B2" w:rsidRPr="0010670F" w14:paraId="3BD41F93" w14:textId="77777777" w:rsidTr="009C3D81">
        <w:tc>
          <w:tcPr>
            <w:tcW w:w="2122" w:type="dxa"/>
          </w:tcPr>
          <w:p w14:paraId="5DE16598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Route</w:t>
            </w:r>
          </w:p>
        </w:tc>
        <w:tc>
          <w:tcPr>
            <w:tcW w:w="6894" w:type="dxa"/>
          </w:tcPr>
          <w:p w14:paraId="2B036205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2862B2" w:rsidRPr="0010670F" w14:paraId="71F99BF6" w14:textId="77777777" w:rsidTr="009C3D81">
        <w:tc>
          <w:tcPr>
            <w:tcW w:w="2122" w:type="dxa"/>
          </w:tcPr>
          <w:p w14:paraId="53CC285D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5A354915" w14:textId="77777777" w:rsidR="002862B2" w:rsidRPr="00D70AA1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0AA1">
              <w:rPr>
                <w:rFonts w:ascii="Arial" w:hAnsi="Arial" w:cs="Arial"/>
                <w:sz w:val="20"/>
                <w:szCs w:val="20"/>
              </w:rPr>
              <w:t>Dogs: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AA1">
              <w:rPr>
                <w:rFonts w:ascii="Arial" w:hAnsi="Arial" w:cs="Arial"/>
                <w:sz w:val="20"/>
                <w:szCs w:val="20"/>
              </w:rPr>
              <w:t>3-5mg/kg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AA1">
              <w:rPr>
                <w:rFonts w:ascii="Arial" w:hAnsi="Arial" w:cs="Arial"/>
                <w:sz w:val="20"/>
                <w:szCs w:val="20"/>
              </w:rPr>
              <w:t>q24h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1878A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0AA1">
              <w:rPr>
                <w:rFonts w:ascii="Arial" w:hAnsi="Arial" w:cs="Arial"/>
                <w:sz w:val="20"/>
                <w:szCs w:val="20"/>
              </w:rPr>
              <w:t>Cats: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0AA1">
              <w:rPr>
                <w:rFonts w:ascii="Arial" w:hAnsi="Arial" w:cs="Arial"/>
                <w:sz w:val="20"/>
                <w:szCs w:val="20"/>
              </w:rPr>
              <w:t>5-10mg/kg q24h</w:t>
            </w:r>
          </w:p>
        </w:tc>
      </w:tr>
      <w:tr w:rsidR="002862B2" w:rsidRPr="0010670F" w14:paraId="65E5FA89" w14:textId="77777777" w:rsidTr="009C3D81">
        <w:tc>
          <w:tcPr>
            <w:tcW w:w="2122" w:type="dxa"/>
          </w:tcPr>
          <w:p w14:paraId="0FE11C9D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4A136A68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CC6">
              <w:rPr>
                <w:rFonts w:ascii="Arial" w:hAnsi="Arial" w:cs="Arial"/>
                <w:sz w:val="20"/>
                <w:szCs w:val="20"/>
              </w:rPr>
              <w:t>Higher doses in dogs associated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A40CC6">
              <w:rPr>
                <w:rFonts w:ascii="Arial" w:hAnsi="Arial" w:cs="Arial"/>
                <w:sz w:val="20"/>
                <w:szCs w:val="20"/>
              </w:rPr>
              <w:t>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myelosuppression.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Do not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dogs less than 1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of age, or in pregnant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lactating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animals.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Gastrointestinal disturbances.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Caution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animals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prone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0CC6">
              <w:rPr>
                <w:rFonts w:ascii="Arial" w:hAnsi="Arial" w:cs="Arial"/>
                <w:sz w:val="20"/>
                <w:szCs w:val="20"/>
              </w:rPr>
              <w:t>seizures.</w:t>
            </w:r>
          </w:p>
        </w:tc>
      </w:tr>
      <w:tr w:rsidR="002862B2" w:rsidRPr="0010670F" w14:paraId="5569A76A" w14:textId="77777777" w:rsidTr="009C3D81">
        <w:tc>
          <w:tcPr>
            <w:tcW w:w="2122" w:type="dxa"/>
          </w:tcPr>
          <w:p w14:paraId="42C9430B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3E1DDEB4" w14:textId="77777777" w:rsidR="002862B2" w:rsidRPr="008F77DB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77DB">
              <w:rPr>
                <w:rFonts w:ascii="Arial" w:hAnsi="Arial" w:cs="Arial"/>
                <w:sz w:val="20"/>
                <w:szCs w:val="20"/>
              </w:rPr>
              <w:t>3</w:t>
            </w:r>
            <w:r w:rsidRPr="000E52F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generation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fluoroquinolone.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Reserve** for infections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culture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susceptibility indicate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no effective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alternative.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Greater activity against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Gram-positive cocci and anaerobes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than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fluoroquinolones.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573D6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77DB">
              <w:rPr>
                <w:rFonts w:ascii="Arial" w:hAnsi="Arial" w:cs="Arial"/>
                <w:sz w:val="20"/>
                <w:szCs w:val="20"/>
              </w:rPr>
              <w:t>Similar</w:t>
            </w:r>
            <w:r w:rsidRPr="008F77DB">
              <w:rPr>
                <w:rFonts w:ascii="Arial" w:hAnsi="Arial" w:cs="Arial"/>
                <w:sz w:val="20"/>
                <w:szCs w:val="20"/>
              </w:rPr>
              <w:tab/>
              <w:t>drug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interactions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enrofloxacin.</w:t>
            </w:r>
          </w:p>
        </w:tc>
      </w:tr>
      <w:tr w:rsidR="002862B2" w:rsidRPr="0010670F" w14:paraId="5626724C" w14:textId="77777777" w:rsidTr="009C3D81">
        <w:tc>
          <w:tcPr>
            <w:tcW w:w="2122" w:type="dxa"/>
          </w:tcPr>
          <w:p w14:paraId="51488312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Antibiotic</w:t>
            </w:r>
          </w:p>
        </w:tc>
        <w:tc>
          <w:tcPr>
            <w:tcW w:w="6894" w:type="dxa"/>
          </w:tcPr>
          <w:p w14:paraId="65D92327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Ciprofloxacin</w:t>
            </w:r>
          </w:p>
        </w:tc>
      </w:tr>
      <w:tr w:rsidR="002862B2" w:rsidRPr="0010670F" w14:paraId="0EFBFCBF" w14:textId="77777777" w:rsidTr="009C3D81">
        <w:tc>
          <w:tcPr>
            <w:tcW w:w="2122" w:type="dxa"/>
          </w:tcPr>
          <w:p w14:paraId="1BFBB35D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Importance Rating</w:t>
            </w:r>
          </w:p>
        </w:tc>
        <w:tc>
          <w:tcPr>
            <w:tcW w:w="6894" w:type="dxa"/>
          </w:tcPr>
          <w:p w14:paraId="221CC3E3" w14:textId="77777777" w:rsidR="002862B2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4493B1C8" w14:textId="77777777" w:rsidR="002862B2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1182915" w14:textId="77777777" w:rsidR="002862B2" w:rsidRPr="00441E21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441E21">
              <w:rPr>
                <w:rFonts w:ascii="Arial" w:hAnsi="Arial" w:cs="Arial"/>
                <w:sz w:val="20"/>
                <w:szCs w:val="20"/>
              </w:rPr>
              <w:t>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importance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antibiotics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for use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animals that 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avoided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ONLY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exceptional 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D0C41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1E21">
              <w:rPr>
                <w:rFonts w:ascii="Arial" w:hAnsi="Arial" w:cs="Arial"/>
                <w:sz w:val="20"/>
                <w:szCs w:val="20"/>
              </w:rPr>
              <w:lastRenderedPageBreak/>
              <w:t>** Exceptional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circumstances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defined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441E21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susceptibility,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where there is no effective alternative therapy and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21">
              <w:rPr>
                <w:rFonts w:ascii="Arial" w:hAnsi="Arial" w:cs="Arial"/>
                <w:sz w:val="20"/>
                <w:szCs w:val="20"/>
              </w:rPr>
              <w:t>reasonable chance of survival.</w:t>
            </w:r>
          </w:p>
        </w:tc>
      </w:tr>
      <w:tr w:rsidR="002862B2" w:rsidRPr="0010670F" w14:paraId="28DE7616" w14:textId="77777777" w:rsidTr="009C3D81">
        <w:tc>
          <w:tcPr>
            <w:tcW w:w="2122" w:type="dxa"/>
          </w:tcPr>
          <w:p w14:paraId="741BEAC6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lastRenderedPageBreak/>
              <w:t>Route</w:t>
            </w:r>
          </w:p>
        </w:tc>
        <w:tc>
          <w:tcPr>
            <w:tcW w:w="6894" w:type="dxa"/>
          </w:tcPr>
          <w:p w14:paraId="6E0AA164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62E2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2862B2" w:rsidRPr="0010670F" w14:paraId="531FDBD2" w14:textId="77777777" w:rsidTr="009C3D81">
        <w:tc>
          <w:tcPr>
            <w:tcW w:w="2122" w:type="dxa"/>
          </w:tcPr>
          <w:p w14:paraId="7964EE19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Drug Dose</w:t>
            </w:r>
          </w:p>
        </w:tc>
        <w:tc>
          <w:tcPr>
            <w:tcW w:w="6894" w:type="dxa"/>
          </w:tcPr>
          <w:p w14:paraId="300F398E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0CC6">
              <w:rPr>
                <w:rFonts w:ascii="Arial" w:hAnsi="Arial" w:cs="Arial"/>
                <w:sz w:val="20"/>
                <w:szCs w:val="20"/>
              </w:rPr>
              <w:t>25mg/kg</w:t>
            </w:r>
          </w:p>
        </w:tc>
      </w:tr>
      <w:tr w:rsidR="002862B2" w:rsidRPr="0010670F" w14:paraId="1A9F2255" w14:textId="77777777" w:rsidTr="009C3D81">
        <w:tc>
          <w:tcPr>
            <w:tcW w:w="2122" w:type="dxa"/>
          </w:tcPr>
          <w:p w14:paraId="0840DBF6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Adverse Reactions</w:t>
            </w:r>
          </w:p>
        </w:tc>
        <w:tc>
          <w:tcPr>
            <w:tcW w:w="6894" w:type="dxa"/>
          </w:tcPr>
          <w:p w14:paraId="3B432996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2B2" w:rsidRPr="0010670F" w14:paraId="46A109E3" w14:textId="77777777" w:rsidTr="009C3D81">
        <w:tc>
          <w:tcPr>
            <w:tcW w:w="2122" w:type="dxa"/>
          </w:tcPr>
          <w:p w14:paraId="65F4CB40" w14:textId="77777777" w:rsidR="002862B2" w:rsidRPr="0010670F" w:rsidRDefault="002862B2" w:rsidP="009C3D81">
            <w:pPr>
              <w:rPr>
                <w:rFonts w:ascii="Arial" w:hAnsi="Arial" w:cs="Arial"/>
              </w:rPr>
            </w:pPr>
            <w:r w:rsidRPr="0010670F">
              <w:rPr>
                <w:rFonts w:ascii="Arial" w:hAnsi="Arial" w:cs="Arial"/>
              </w:rPr>
              <w:t>Clinical Pearls</w:t>
            </w:r>
          </w:p>
        </w:tc>
        <w:tc>
          <w:tcPr>
            <w:tcW w:w="6894" w:type="dxa"/>
          </w:tcPr>
          <w:p w14:paraId="7B26552D" w14:textId="77777777" w:rsidR="002862B2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77DB">
              <w:rPr>
                <w:rFonts w:ascii="Arial" w:hAnsi="Arial" w:cs="Arial"/>
                <w:sz w:val="20"/>
                <w:szCs w:val="20"/>
              </w:rPr>
              <w:t>Avoid. Oral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absorption in dogs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highly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variable (~50%), lower than humans.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8F77DB">
              <w:rPr>
                <w:rFonts w:ascii="Arial" w:hAnsi="Arial" w:cs="Arial"/>
                <w:sz w:val="20"/>
                <w:szCs w:val="20"/>
              </w:rPr>
              <w:t>nly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reaches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therapeutic targets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bacteria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MIC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≤0.0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F77DB">
              <w:rPr>
                <w:rFonts w:ascii="Arial" w:hAnsi="Arial" w:cs="Arial"/>
                <w:sz w:val="20"/>
                <w:szCs w:val="20"/>
              </w:rPr>
              <w:t>µg/ml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9E9404" w14:textId="77777777" w:rsidR="002862B2" w:rsidRPr="001D78F9" w:rsidRDefault="002862B2" w:rsidP="009C3D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77DB">
              <w:rPr>
                <w:rFonts w:ascii="Arial" w:hAnsi="Arial" w:cs="Arial"/>
                <w:sz w:val="20"/>
                <w:szCs w:val="20"/>
              </w:rPr>
              <w:t>(v</w:t>
            </w:r>
            <w:r>
              <w:rPr>
                <w:rFonts w:ascii="Arial" w:hAnsi="Arial" w:cs="Arial"/>
                <w:sz w:val="20"/>
                <w:szCs w:val="20"/>
              </w:rPr>
              <w:t xml:space="preserve">s  </w:t>
            </w:r>
            <w:r w:rsidRPr="008F77DB">
              <w:rPr>
                <w:rFonts w:ascii="Arial" w:hAnsi="Arial" w:cs="Arial"/>
                <w:sz w:val="20"/>
                <w:szCs w:val="20"/>
              </w:rPr>
              <w:t>≤1µg/ml in humans).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Generally not effective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staphylococci or P. aeruginosa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77DB">
              <w:rPr>
                <w:rFonts w:ascii="Arial" w:hAnsi="Arial" w:cs="Arial"/>
                <w:sz w:val="20"/>
                <w:szCs w:val="20"/>
              </w:rPr>
              <w:t>dogs and cats.</w:t>
            </w:r>
          </w:p>
        </w:tc>
      </w:tr>
    </w:tbl>
    <w:p w14:paraId="0D53CE78" w14:textId="77777777" w:rsidR="002862B2" w:rsidRDefault="002862B2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756B2729" w14:textId="72B10D30" w:rsidR="00010F60" w:rsidRDefault="00010F60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B0B06">
        <w:rPr>
          <w:rFonts w:ascii="Arial" w:hAnsi="Arial" w:cs="Arial"/>
          <w:sz w:val="20"/>
          <w:szCs w:val="20"/>
        </w:rPr>
        <w:t>NB.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Many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recommendations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guide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represent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off-label use of antimicrobials.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Compliance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jurisdiction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responsibility.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Recommendations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only apply to dogs and cats and cannot be safely extrapolated to other</w:t>
      </w:r>
      <w:r>
        <w:rPr>
          <w:rFonts w:ascii="Arial" w:hAnsi="Arial" w:cs="Arial"/>
          <w:sz w:val="20"/>
          <w:szCs w:val="20"/>
        </w:rPr>
        <w:t xml:space="preserve"> </w:t>
      </w:r>
      <w:r w:rsidRPr="00AB0B06">
        <w:rPr>
          <w:rFonts w:ascii="Arial" w:hAnsi="Arial" w:cs="Arial"/>
          <w:sz w:val="20"/>
          <w:szCs w:val="20"/>
        </w:rPr>
        <w:t>small animal species.</w:t>
      </w:r>
    </w:p>
    <w:p w14:paraId="3FC00260" w14:textId="45421192" w:rsidR="009519E9" w:rsidRDefault="009519E9" w:rsidP="00016A6A">
      <w:pPr>
        <w:pStyle w:val="Heading2"/>
      </w:pPr>
      <w:r w:rsidRPr="00E35D63">
        <w:t xml:space="preserve">Page </w:t>
      </w:r>
      <w:r>
        <w:t>13</w:t>
      </w:r>
      <w:r w:rsidRPr="00E35D63">
        <w:t>:</w:t>
      </w:r>
    </w:p>
    <w:p w14:paraId="12A8E209" w14:textId="12281049" w:rsidR="009519E9" w:rsidRPr="00016A6A" w:rsidRDefault="009519E9" w:rsidP="009519E9">
      <w:pPr>
        <w:rPr>
          <w:rFonts w:ascii="Arial" w:hAnsi="Arial" w:cs="Arial"/>
          <w:bCs/>
          <w:sz w:val="24"/>
          <w:szCs w:val="24"/>
        </w:rPr>
      </w:pPr>
      <w:r w:rsidRPr="00016A6A">
        <w:rPr>
          <w:rFonts w:ascii="Arial" w:hAnsi="Arial" w:cs="Arial"/>
          <w:bCs/>
          <w:sz w:val="24"/>
          <w:szCs w:val="24"/>
        </w:rPr>
        <w:t>IMAGE of MRSP dermatology fact sheet</w:t>
      </w:r>
    </w:p>
    <w:p w14:paraId="0B069729" w14:textId="77777777" w:rsidR="00256AEE" w:rsidRDefault="00256AEE" w:rsidP="00016A6A">
      <w:pPr>
        <w:pStyle w:val="Heading2"/>
      </w:pPr>
    </w:p>
    <w:p w14:paraId="6A53DAF2" w14:textId="7CF9823F" w:rsidR="009519E9" w:rsidRDefault="009519E9" w:rsidP="00016A6A">
      <w:pPr>
        <w:pStyle w:val="Heading2"/>
      </w:pPr>
      <w:r>
        <w:t>Page 14</w:t>
      </w:r>
      <w:r w:rsidR="004A00E3">
        <w:t>(</w:t>
      </w:r>
      <w:r w:rsidR="00A10FF6">
        <w:t>back cover</w:t>
      </w:r>
      <w:r w:rsidR="004A00E3">
        <w:t>)</w:t>
      </w:r>
      <w:r>
        <w:t xml:space="preserve">: </w:t>
      </w:r>
    </w:p>
    <w:p w14:paraId="6AF55AD7" w14:textId="721FEAB8" w:rsidR="00ED6F78" w:rsidRDefault="00ED6F78" w:rsidP="00ED6F78">
      <w:pPr>
        <w:pStyle w:val="Caption"/>
      </w:pPr>
      <w:r>
        <w:rPr>
          <w:noProof/>
        </w:rPr>
        <w:drawing>
          <wp:inline distT="0" distB="0" distL="0" distR="0" wp14:anchorId="5BEE41E6" wp14:editId="7FE4E078">
            <wp:extent cx="1224501" cy="123153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1900" cy="12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F78">
        <w:t xml:space="preserve"> </w:t>
      </w: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 Grey and green Not all Bugs need Drugs logo</w:t>
      </w:r>
    </w:p>
    <w:p w14:paraId="667DC0CB" w14:textId="182E2CDF" w:rsidR="004A00E3" w:rsidRPr="00256AEE" w:rsidRDefault="004A00E3" w:rsidP="009519E9">
      <w:pPr>
        <w:rPr>
          <w:rFonts w:ascii="Arial" w:hAnsi="Arial" w:cs="Arial"/>
          <w:bCs/>
          <w:sz w:val="24"/>
          <w:szCs w:val="24"/>
        </w:rPr>
      </w:pPr>
      <w:r w:rsidRPr="00256AEE">
        <w:rPr>
          <w:rFonts w:ascii="Arial" w:hAnsi="Arial" w:cs="Arial"/>
          <w:bCs/>
          <w:sz w:val="24"/>
          <w:szCs w:val="24"/>
        </w:rPr>
        <w:t xml:space="preserve">Play your part in preventing antibiotic resistant infections. </w:t>
      </w:r>
    </w:p>
    <w:p w14:paraId="698E459A" w14:textId="3F7B8EAF" w:rsidR="00BA328B" w:rsidRDefault="00BA328B" w:rsidP="00BA328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E35D63">
        <w:rPr>
          <w:rFonts w:ascii="Arial" w:hAnsi="Arial" w:cs="Arial"/>
          <w:sz w:val="24"/>
          <w:szCs w:val="24"/>
        </w:rPr>
        <w:t>For more information visit</w:t>
      </w:r>
      <w:r w:rsidR="00256AEE">
        <w:rPr>
          <w:rFonts w:ascii="Arial" w:hAnsi="Arial" w:cs="Arial"/>
          <w:sz w:val="24"/>
          <w:szCs w:val="24"/>
        </w:rPr>
        <w:t xml:space="preserve"> the Antimicrobial resistant infections page of the A</w:t>
      </w:r>
      <w:r w:rsidR="003A494C">
        <w:rPr>
          <w:rFonts w:ascii="Arial" w:hAnsi="Arial" w:cs="Arial"/>
          <w:sz w:val="24"/>
          <w:szCs w:val="24"/>
        </w:rPr>
        <w:t>griculture Victoria website at agriculture.vic.gov.au/</w:t>
      </w:r>
      <w:proofErr w:type="spellStart"/>
      <w:r w:rsidR="003A494C">
        <w:rPr>
          <w:rFonts w:ascii="Arial" w:hAnsi="Arial" w:cs="Arial"/>
          <w:sz w:val="24"/>
          <w:szCs w:val="24"/>
        </w:rPr>
        <w:t>amr</w:t>
      </w:r>
      <w:proofErr w:type="spellEnd"/>
    </w:p>
    <w:sectPr w:rsidR="00BA328B" w:rsidSect="006A38D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4574C" w14:textId="77777777" w:rsidR="00D74563" w:rsidRDefault="00D74563" w:rsidP="00B5191B">
      <w:pPr>
        <w:spacing w:after="0" w:line="240" w:lineRule="auto"/>
      </w:pPr>
      <w:r>
        <w:separator/>
      </w:r>
    </w:p>
  </w:endnote>
  <w:endnote w:type="continuationSeparator" w:id="0">
    <w:p w14:paraId="3AB84216" w14:textId="77777777" w:rsidR="00D74563" w:rsidRDefault="00D74563" w:rsidP="00B5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EC3F" w14:textId="77777777" w:rsidR="00D74563" w:rsidRDefault="00D74563" w:rsidP="00B5191B">
      <w:pPr>
        <w:spacing w:after="0" w:line="240" w:lineRule="auto"/>
      </w:pPr>
      <w:r>
        <w:separator/>
      </w:r>
    </w:p>
  </w:footnote>
  <w:footnote w:type="continuationSeparator" w:id="0">
    <w:p w14:paraId="355D41A5" w14:textId="77777777" w:rsidR="00D74563" w:rsidRDefault="00D74563" w:rsidP="00B51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58C"/>
    <w:multiLevelType w:val="hybridMultilevel"/>
    <w:tmpl w:val="53C2C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68AC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F6110"/>
    <w:multiLevelType w:val="hybridMultilevel"/>
    <w:tmpl w:val="D80CD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389E"/>
    <w:multiLevelType w:val="hybridMultilevel"/>
    <w:tmpl w:val="00401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933E1"/>
    <w:multiLevelType w:val="hybridMultilevel"/>
    <w:tmpl w:val="DB665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63"/>
    <w:rsid w:val="0000623E"/>
    <w:rsid w:val="00010F60"/>
    <w:rsid w:val="00016A6A"/>
    <w:rsid w:val="00047131"/>
    <w:rsid w:val="00051260"/>
    <w:rsid w:val="00064087"/>
    <w:rsid w:val="00084E68"/>
    <w:rsid w:val="000957BB"/>
    <w:rsid w:val="00097AC9"/>
    <w:rsid w:val="000A0949"/>
    <w:rsid w:val="000A2F57"/>
    <w:rsid w:val="000B7068"/>
    <w:rsid w:val="000D1B01"/>
    <w:rsid w:val="000E52F2"/>
    <w:rsid w:val="000F33E8"/>
    <w:rsid w:val="000F6F85"/>
    <w:rsid w:val="00102AAB"/>
    <w:rsid w:val="00102C2A"/>
    <w:rsid w:val="00103343"/>
    <w:rsid w:val="00131730"/>
    <w:rsid w:val="00162C42"/>
    <w:rsid w:val="00165E61"/>
    <w:rsid w:val="001679BB"/>
    <w:rsid w:val="00180F07"/>
    <w:rsid w:val="0018326C"/>
    <w:rsid w:val="001A085F"/>
    <w:rsid w:val="001B1597"/>
    <w:rsid w:val="001B246C"/>
    <w:rsid w:val="001D517F"/>
    <w:rsid w:val="001D78F9"/>
    <w:rsid w:val="001E149B"/>
    <w:rsid w:val="001E7DC6"/>
    <w:rsid w:val="001F30DE"/>
    <w:rsid w:val="001F4887"/>
    <w:rsid w:val="001F7E07"/>
    <w:rsid w:val="002178C8"/>
    <w:rsid w:val="00224479"/>
    <w:rsid w:val="00245DFA"/>
    <w:rsid w:val="00256AEE"/>
    <w:rsid w:val="002578F2"/>
    <w:rsid w:val="0027100B"/>
    <w:rsid w:val="002862B2"/>
    <w:rsid w:val="00287D7F"/>
    <w:rsid w:val="00293F42"/>
    <w:rsid w:val="00297859"/>
    <w:rsid w:val="002C0785"/>
    <w:rsid w:val="00300282"/>
    <w:rsid w:val="00307C59"/>
    <w:rsid w:val="00310042"/>
    <w:rsid w:val="003374B4"/>
    <w:rsid w:val="00340A67"/>
    <w:rsid w:val="00372752"/>
    <w:rsid w:val="00377ED3"/>
    <w:rsid w:val="003A3C82"/>
    <w:rsid w:val="003A494C"/>
    <w:rsid w:val="003B3075"/>
    <w:rsid w:val="003D7CAB"/>
    <w:rsid w:val="003F26C6"/>
    <w:rsid w:val="003F4149"/>
    <w:rsid w:val="0041281C"/>
    <w:rsid w:val="004240C9"/>
    <w:rsid w:val="00431A09"/>
    <w:rsid w:val="00441E21"/>
    <w:rsid w:val="004477C6"/>
    <w:rsid w:val="00461594"/>
    <w:rsid w:val="00483932"/>
    <w:rsid w:val="004A00E3"/>
    <w:rsid w:val="004A39BE"/>
    <w:rsid w:val="004A4519"/>
    <w:rsid w:val="004E0507"/>
    <w:rsid w:val="004E137F"/>
    <w:rsid w:val="005223BD"/>
    <w:rsid w:val="00544AD7"/>
    <w:rsid w:val="00560C33"/>
    <w:rsid w:val="00587212"/>
    <w:rsid w:val="00590115"/>
    <w:rsid w:val="005B62E2"/>
    <w:rsid w:val="005B6F5A"/>
    <w:rsid w:val="005D7D49"/>
    <w:rsid w:val="005F244C"/>
    <w:rsid w:val="005F46DF"/>
    <w:rsid w:val="005F65E2"/>
    <w:rsid w:val="00600F97"/>
    <w:rsid w:val="00603046"/>
    <w:rsid w:val="006054A3"/>
    <w:rsid w:val="00605553"/>
    <w:rsid w:val="00630F48"/>
    <w:rsid w:val="00634C07"/>
    <w:rsid w:val="00651594"/>
    <w:rsid w:val="00680E86"/>
    <w:rsid w:val="006840EC"/>
    <w:rsid w:val="006A38D2"/>
    <w:rsid w:val="006C7E5A"/>
    <w:rsid w:val="007031A5"/>
    <w:rsid w:val="00710743"/>
    <w:rsid w:val="00720336"/>
    <w:rsid w:val="0073542A"/>
    <w:rsid w:val="00766443"/>
    <w:rsid w:val="00766BE7"/>
    <w:rsid w:val="007762D8"/>
    <w:rsid w:val="007811F7"/>
    <w:rsid w:val="00793E33"/>
    <w:rsid w:val="007C36A7"/>
    <w:rsid w:val="007D4D43"/>
    <w:rsid w:val="007F2063"/>
    <w:rsid w:val="00875C16"/>
    <w:rsid w:val="0088227E"/>
    <w:rsid w:val="008954E3"/>
    <w:rsid w:val="008D08F4"/>
    <w:rsid w:val="008F77DB"/>
    <w:rsid w:val="00903FDD"/>
    <w:rsid w:val="00914F37"/>
    <w:rsid w:val="009335E1"/>
    <w:rsid w:val="00941347"/>
    <w:rsid w:val="009519E9"/>
    <w:rsid w:val="0095704B"/>
    <w:rsid w:val="009840D3"/>
    <w:rsid w:val="00990EFC"/>
    <w:rsid w:val="00992AFB"/>
    <w:rsid w:val="009B6CFF"/>
    <w:rsid w:val="009C14CF"/>
    <w:rsid w:val="009C3D81"/>
    <w:rsid w:val="009C6122"/>
    <w:rsid w:val="009F5FB7"/>
    <w:rsid w:val="00A10FF6"/>
    <w:rsid w:val="00A21483"/>
    <w:rsid w:val="00A40CC6"/>
    <w:rsid w:val="00A40E87"/>
    <w:rsid w:val="00AB0B06"/>
    <w:rsid w:val="00AB51CF"/>
    <w:rsid w:val="00AB56F4"/>
    <w:rsid w:val="00AD3615"/>
    <w:rsid w:val="00AD4D41"/>
    <w:rsid w:val="00AF2B3A"/>
    <w:rsid w:val="00AF67B2"/>
    <w:rsid w:val="00B15AD1"/>
    <w:rsid w:val="00B2173F"/>
    <w:rsid w:val="00B23AA1"/>
    <w:rsid w:val="00B45E7C"/>
    <w:rsid w:val="00B46561"/>
    <w:rsid w:val="00B5191B"/>
    <w:rsid w:val="00B64745"/>
    <w:rsid w:val="00B759C7"/>
    <w:rsid w:val="00BA328B"/>
    <w:rsid w:val="00BE1FF9"/>
    <w:rsid w:val="00BF756F"/>
    <w:rsid w:val="00BF7B8D"/>
    <w:rsid w:val="00C2770F"/>
    <w:rsid w:val="00C321A4"/>
    <w:rsid w:val="00C512F0"/>
    <w:rsid w:val="00CD6F91"/>
    <w:rsid w:val="00CF56E0"/>
    <w:rsid w:val="00D10F42"/>
    <w:rsid w:val="00D157B9"/>
    <w:rsid w:val="00D27FBA"/>
    <w:rsid w:val="00D35112"/>
    <w:rsid w:val="00D676E7"/>
    <w:rsid w:val="00D70AA1"/>
    <w:rsid w:val="00D7152B"/>
    <w:rsid w:val="00D74563"/>
    <w:rsid w:val="00DB4E11"/>
    <w:rsid w:val="00DC0C79"/>
    <w:rsid w:val="00DC1DCD"/>
    <w:rsid w:val="00DF37E7"/>
    <w:rsid w:val="00E068E9"/>
    <w:rsid w:val="00E21F5A"/>
    <w:rsid w:val="00E35D63"/>
    <w:rsid w:val="00E443F8"/>
    <w:rsid w:val="00E56D17"/>
    <w:rsid w:val="00E63F2C"/>
    <w:rsid w:val="00E760B2"/>
    <w:rsid w:val="00E8249E"/>
    <w:rsid w:val="00E87BBF"/>
    <w:rsid w:val="00EC061E"/>
    <w:rsid w:val="00ED6F78"/>
    <w:rsid w:val="00F02614"/>
    <w:rsid w:val="00F10059"/>
    <w:rsid w:val="00F9219E"/>
    <w:rsid w:val="00F93482"/>
    <w:rsid w:val="00FA027A"/>
    <w:rsid w:val="00FA1475"/>
    <w:rsid w:val="00FD5183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C4F7"/>
  <w15:chartTrackingRefBased/>
  <w15:docId w15:val="{B0334B9A-8F70-418C-A0BA-2186CEB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3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23E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94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2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328B"/>
    <w:pPr>
      <w:ind w:left="720"/>
      <w:contextualSpacing/>
    </w:pPr>
  </w:style>
  <w:style w:type="table" w:styleId="TableGrid">
    <w:name w:val="Table Grid"/>
    <w:basedOn w:val="TableNormal"/>
    <w:uiPriority w:val="39"/>
    <w:rsid w:val="004A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623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623E"/>
    <w:rPr>
      <w:rFonts w:ascii="Arial" w:eastAsiaTheme="majorEastAsia" w:hAnsi="Arial" w:cstheme="majorBidi"/>
      <w:sz w:val="28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65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A0949"/>
    <w:rPr>
      <w:rFonts w:ascii="Arial" w:eastAsiaTheme="majorEastAsia" w:hAnsi="Arial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1B"/>
  </w:style>
  <w:style w:type="paragraph" w:styleId="Footer">
    <w:name w:val="footer"/>
    <w:basedOn w:val="Normal"/>
    <w:link w:val="FooterChar"/>
    <w:uiPriority w:val="99"/>
    <w:unhideWhenUsed/>
    <w:rsid w:val="00B5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5" ma:contentTypeDescription="DEDJTR Document" ma:contentTypeScope="" ma:versionID="2978287465bbaedeaebc0af76c30a074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292159ec8742dc3ccebc1a34bb56225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E4C74-155D-45ED-A661-E52C8A975E0D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2.xml><?xml version="1.0" encoding="utf-8"?>
<ds:datastoreItem xmlns:ds="http://schemas.openxmlformats.org/officeDocument/2006/customXml" ds:itemID="{EED62FC1-EF7E-405E-80F3-59DF89E09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BA4BE-975F-40D7-BE3A-E0EBC751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 Kelly (DEDJTR)</dc:creator>
  <cp:keywords/>
  <dc:description/>
  <cp:lastModifiedBy>Susan Heale (DJPR)</cp:lastModifiedBy>
  <cp:revision>2</cp:revision>
  <dcterms:created xsi:type="dcterms:W3CDTF">2020-11-04T22:11:00Z</dcterms:created>
  <dcterms:modified xsi:type="dcterms:W3CDTF">2020-11-04T22:11:00Z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</Properties>
</file>