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9235" w14:textId="4880E50F" w:rsidR="003910FB" w:rsidRDefault="0091341D" w:rsidP="00E55644">
      <w:pPr>
        <w:pStyle w:val="AgVic-InlineObject"/>
      </w:pPr>
      <w:bookmarkStart w:id="0" w:name="_GoBack"/>
      <w:bookmarkEnd w:id="0"/>
      <w:r>
        <w:drawing>
          <wp:inline distT="0" distB="0" distL="0" distR="0" wp14:anchorId="13E05921" wp14:editId="3F62DA40">
            <wp:extent cx="5255895" cy="344142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2729"/>
                    <a:stretch/>
                  </pic:blipFill>
                  <pic:spPr bwMode="auto">
                    <a:xfrm>
                      <a:off x="0" y="0"/>
                      <a:ext cx="5255895" cy="3441429"/>
                    </a:xfrm>
                    <a:prstGeom prst="rect">
                      <a:avLst/>
                    </a:prstGeom>
                    <a:noFill/>
                    <a:ln>
                      <a:noFill/>
                    </a:ln>
                    <a:extLst>
                      <a:ext uri="{53640926-AAD7-44D8-BBD7-CCE9431645EC}">
                        <a14:shadowObscured xmlns:a14="http://schemas.microsoft.com/office/drawing/2010/main"/>
                      </a:ext>
                    </a:extLst>
                  </pic:spPr>
                </pic:pic>
              </a:graphicData>
            </a:graphic>
          </wp:inline>
        </w:drawing>
      </w:r>
    </w:p>
    <w:p w14:paraId="5A651492" w14:textId="3CFD4BB2" w:rsidR="00E01105" w:rsidRPr="00AB0415" w:rsidRDefault="00D161B0" w:rsidP="00AB0415">
      <w:pPr>
        <w:pStyle w:val="AgVic-Caption"/>
      </w:pPr>
      <w:bookmarkStart w:id="1" w:name="_Hlk25142908"/>
      <w:r>
        <w:t>Caption</w:t>
      </w:r>
      <w:r w:rsidR="00E01105">
        <w:t xml:space="preserve">: </w:t>
      </w:r>
      <w:proofErr w:type="spellStart"/>
      <w:r w:rsidR="003910FB">
        <w:t>Tallangatta</w:t>
      </w:r>
      <w:proofErr w:type="spellEnd"/>
      <w:r w:rsidR="00D23F4C">
        <w:t xml:space="preserve"> </w:t>
      </w:r>
      <w:proofErr w:type="spellStart"/>
      <w:r w:rsidR="00D23F4C">
        <w:t>BetterBeef</w:t>
      </w:r>
      <w:proofErr w:type="spellEnd"/>
      <w:r w:rsidR="00E01105">
        <w:t xml:space="preserve"> Group,</w:t>
      </w:r>
      <w:r w:rsidR="00E70A35">
        <w:t xml:space="preserve"> </w:t>
      </w:r>
      <w:r w:rsidR="0091341D">
        <w:t>Wal Wood’s property, Georges Creek</w:t>
      </w:r>
      <w:r w:rsidR="009F7EBF">
        <w:t xml:space="preserve">, </w:t>
      </w:r>
      <w:r w:rsidR="00E01105">
        <w:t>2019</w:t>
      </w:r>
    </w:p>
    <w:bookmarkEnd w:id="1"/>
    <w:p w14:paraId="72D31222" w14:textId="77777777" w:rsidR="002E2A7A" w:rsidRDefault="002E2A7A" w:rsidP="00F948BC">
      <w:pPr>
        <w:pStyle w:val="AgVic-InlineObject"/>
      </w:pPr>
      <w:r w:rsidRPr="002E2A7A">
        <mc:AlternateContent>
          <mc:Choice Requires="wps">
            <w:drawing>
              <wp:inline distT="0" distB="0" distL="0" distR="0" wp14:anchorId="60F49D28" wp14:editId="233DE019">
                <wp:extent cx="5398135" cy="1404620"/>
                <wp:effectExtent l="0" t="0" r="0" b="6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404620"/>
                        </a:xfrm>
                        <a:prstGeom prst="rect">
                          <a:avLst/>
                        </a:prstGeom>
                        <a:solidFill>
                          <a:schemeClr val="accent4">
                            <a:lumMod val="20000"/>
                            <a:lumOff val="80000"/>
                          </a:schemeClr>
                        </a:solidFill>
                        <a:ln w="9525">
                          <a:noFill/>
                          <a:miter lim="800000"/>
                          <a:headEnd/>
                          <a:tailEnd/>
                        </a:ln>
                      </wps:spPr>
                      <wps:txbx>
                        <w:txbxContent>
                          <w:p w14:paraId="65D1DAF6" w14:textId="379B23DA" w:rsidR="002E2A7A" w:rsidRDefault="002E2A7A" w:rsidP="002E2A7A">
                            <w:pPr>
                              <w:pStyle w:val="AgVic-SnapshotBody"/>
                            </w:pPr>
                            <w:r w:rsidRPr="0063423C">
                              <w:rPr>
                                <w:b/>
                                <w:bCs/>
                              </w:rPr>
                              <w:t>Coordinator</w:t>
                            </w:r>
                            <w:r w:rsidRPr="0063423C">
                              <w:t xml:space="preserve"> – </w:t>
                            </w:r>
                            <w:r w:rsidR="003910FB">
                              <w:t>Phil Shannon</w:t>
                            </w:r>
                          </w:p>
                          <w:p w14:paraId="3ECA0441" w14:textId="19944CEB" w:rsidR="007C44C1" w:rsidRPr="0063423C" w:rsidRDefault="007C44C1" w:rsidP="002E2A7A">
                            <w:pPr>
                              <w:pStyle w:val="AgVic-SnapshotBody"/>
                            </w:pPr>
                            <w:r w:rsidRPr="0063423C">
                              <w:rPr>
                                <w:b/>
                                <w:bCs/>
                              </w:rPr>
                              <w:t>Group</w:t>
                            </w:r>
                            <w:r w:rsidRPr="0063423C">
                              <w:t xml:space="preserve"> – </w:t>
                            </w:r>
                            <w:proofErr w:type="spellStart"/>
                            <w:r w:rsidR="003910FB">
                              <w:t>Tallangatta</w:t>
                            </w:r>
                            <w:proofErr w:type="spellEnd"/>
                          </w:p>
                          <w:p w14:paraId="6712193D" w14:textId="0834D41F" w:rsidR="002E2A7A" w:rsidRDefault="003F0E47" w:rsidP="004804A5">
                            <w:pPr>
                              <w:pStyle w:val="AgVic-SnapshotBullets"/>
                            </w:pPr>
                            <w:r>
                              <w:t>11</w:t>
                            </w:r>
                            <w:r w:rsidR="003910FB">
                              <w:t xml:space="preserve"> businesses </w:t>
                            </w:r>
                            <w:r>
                              <w:t xml:space="preserve">from Chiltern to Upper </w:t>
                            </w:r>
                            <w:proofErr w:type="spellStart"/>
                            <w:r>
                              <w:t>Tallangatta</w:t>
                            </w:r>
                            <w:proofErr w:type="spellEnd"/>
                            <w:r>
                              <w:t xml:space="preserve"> Valley, Georges Creek and </w:t>
                            </w:r>
                            <w:proofErr w:type="spellStart"/>
                            <w:r>
                              <w:t>T</w:t>
                            </w:r>
                            <w:r w:rsidR="003123E0">
                              <w:t>algar</w:t>
                            </w:r>
                            <w:r>
                              <w:t>no</w:t>
                            </w:r>
                            <w:proofErr w:type="spellEnd"/>
                            <w:r w:rsidR="00D23F4C" w:rsidRPr="00D23F4C">
                              <w:t xml:space="preserve"> </w:t>
                            </w:r>
                          </w:p>
                          <w:p w14:paraId="279C4AD6" w14:textId="77777777" w:rsidR="002E2A7A" w:rsidRPr="00A80441" w:rsidRDefault="002E2A7A" w:rsidP="002E2A7A">
                            <w:pPr>
                              <w:pStyle w:val="AgVic-SnapshotBody"/>
                              <w:rPr>
                                <w:b/>
                                <w:bCs/>
                              </w:rPr>
                            </w:pPr>
                            <w:r w:rsidRPr="00A80441">
                              <w:rPr>
                                <w:b/>
                                <w:bCs/>
                              </w:rPr>
                              <w:t>Enterprise mix</w:t>
                            </w:r>
                          </w:p>
                          <w:p w14:paraId="54C6204C" w14:textId="7EDE436C" w:rsidR="00F948BC" w:rsidRPr="002E2A7A" w:rsidRDefault="003F0E47" w:rsidP="00356F50">
                            <w:pPr>
                              <w:pStyle w:val="AgVic-SnapshotBullets"/>
                            </w:pPr>
                            <w:r>
                              <w:t xml:space="preserve">Mainly beef production, </w:t>
                            </w:r>
                            <w:r w:rsidR="0091341D">
                              <w:t xml:space="preserve">with </w:t>
                            </w:r>
                            <w:r w:rsidR="00C209BA">
                              <w:t>spring and autumn calving enterprises</w:t>
                            </w:r>
                            <w:r w:rsidR="008B1CEA">
                              <w:t xml:space="preserve">, </w:t>
                            </w:r>
                            <w:r w:rsidR="00B83824">
                              <w:t xml:space="preserve">and some sheep enterprises </w:t>
                            </w:r>
                            <w:r w:rsidR="00B14435">
                              <w:t xml:space="preserve">producing prime lambs </w:t>
                            </w:r>
                            <w:r w:rsidR="00B83824">
                              <w:t>as well</w:t>
                            </w:r>
                            <w:r w:rsidR="0091341D">
                              <w:t xml:space="preserve">. </w:t>
                            </w:r>
                            <w:r w:rsidR="00083BB3">
                              <w:t xml:space="preserve">The group also has a member supplying </w:t>
                            </w:r>
                            <w:r w:rsidR="00B86F4C">
                              <w:t xml:space="preserve">cattle for </w:t>
                            </w:r>
                            <w:proofErr w:type="spellStart"/>
                            <w:r w:rsidR="0091341D">
                              <w:t>Greenham’s</w:t>
                            </w:r>
                            <w:proofErr w:type="spellEnd"/>
                            <w:r w:rsidR="0091341D">
                              <w:t xml:space="preserve"> certified grass-fed progra</w:t>
                            </w:r>
                            <w:r w:rsidR="008B1CEA">
                              <w:t>m.</w:t>
                            </w:r>
                          </w:p>
                        </w:txbxContent>
                      </wps:txbx>
                      <wps:bodyPr rot="0" vert="horz" wrap="square" lIns="72000" tIns="72000" rIns="72000" bIns="72000" anchor="t" anchorCtr="0">
                        <a:spAutoFit/>
                      </wps:bodyPr>
                    </wps:wsp>
                  </a:graphicData>
                </a:graphic>
              </wp:inline>
            </w:drawing>
          </mc:Choice>
          <mc:Fallback>
            <w:pict>
              <v:shapetype w14:anchorId="60F49D28" id="_x0000_t202" coordsize="21600,21600" o:spt="202" path="m,l,21600r21600,l21600,xe">
                <v:stroke joinstyle="miter"/>
                <v:path gradientshapeok="t" o:connecttype="rect"/>
              </v:shapetype>
              <v:shape id="Text Box 2" o:spid="_x0000_s1026" type="#_x0000_t202" style="width:42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" fillcolor="#d8d8d8 [663]" stroked="f">
                <v:textbox style="mso-fit-shape-to-text:t" inset="2mm,2mm,2mm,2mm">
                  <w:txbxContent>
                    <w:p w14:paraId="65D1DAF6" w14:textId="379B23DA" w:rsidR="002E2A7A" w:rsidRDefault="002E2A7A" w:rsidP="002E2A7A">
                      <w:pPr>
                        <w:pStyle w:val="AgVic-SnapshotBody"/>
                      </w:pPr>
                      <w:r w:rsidRPr="0063423C">
                        <w:rPr>
                          <w:b/>
                          <w:bCs/>
                        </w:rPr>
                        <w:t>Coordinator</w:t>
                      </w:r>
                      <w:r w:rsidRPr="0063423C">
                        <w:t xml:space="preserve"> – </w:t>
                      </w:r>
                      <w:r w:rsidR="003910FB">
                        <w:t>Phil Shannon</w:t>
                      </w:r>
                    </w:p>
                    <w:p w14:paraId="3ECA0441" w14:textId="19944CEB" w:rsidR="007C44C1" w:rsidRPr="0063423C" w:rsidRDefault="007C44C1" w:rsidP="002E2A7A">
                      <w:pPr>
                        <w:pStyle w:val="AgVic-SnapshotBody"/>
                      </w:pPr>
                      <w:r w:rsidRPr="0063423C">
                        <w:rPr>
                          <w:b/>
                          <w:bCs/>
                        </w:rPr>
                        <w:t>Group</w:t>
                      </w:r>
                      <w:r w:rsidRPr="0063423C">
                        <w:t xml:space="preserve"> – </w:t>
                      </w:r>
                      <w:proofErr w:type="spellStart"/>
                      <w:r w:rsidR="003910FB">
                        <w:t>Tallangatta</w:t>
                      </w:r>
                      <w:proofErr w:type="spellEnd"/>
                    </w:p>
                    <w:p w14:paraId="6712193D" w14:textId="0834D41F" w:rsidR="002E2A7A" w:rsidRDefault="003F0E47" w:rsidP="004804A5">
                      <w:pPr>
                        <w:pStyle w:val="AgVic-SnapshotBullets"/>
                      </w:pPr>
                      <w:r>
                        <w:t>11</w:t>
                      </w:r>
                      <w:r w:rsidR="003910FB">
                        <w:t xml:space="preserve"> businesses </w:t>
                      </w:r>
                      <w:r>
                        <w:t xml:space="preserve">from Chiltern to Upper </w:t>
                      </w:r>
                      <w:proofErr w:type="spellStart"/>
                      <w:r>
                        <w:t>Tallangatta</w:t>
                      </w:r>
                      <w:proofErr w:type="spellEnd"/>
                      <w:r>
                        <w:t xml:space="preserve"> Valley, Georges Creek and </w:t>
                      </w:r>
                      <w:proofErr w:type="spellStart"/>
                      <w:r>
                        <w:t>T</w:t>
                      </w:r>
                      <w:r w:rsidR="003123E0">
                        <w:t>algar</w:t>
                      </w:r>
                      <w:r>
                        <w:t>no</w:t>
                      </w:r>
                      <w:proofErr w:type="spellEnd"/>
                      <w:r w:rsidR="00D23F4C" w:rsidRPr="00D23F4C">
                        <w:t xml:space="preserve"> </w:t>
                      </w:r>
                    </w:p>
                    <w:p w14:paraId="279C4AD6" w14:textId="77777777" w:rsidR="002E2A7A" w:rsidRPr="00A80441" w:rsidRDefault="002E2A7A" w:rsidP="002E2A7A">
                      <w:pPr>
                        <w:pStyle w:val="AgVic-SnapshotBody"/>
                        <w:rPr>
                          <w:b/>
                          <w:bCs/>
                        </w:rPr>
                      </w:pPr>
                      <w:r w:rsidRPr="00A80441">
                        <w:rPr>
                          <w:b/>
                          <w:bCs/>
                        </w:rPr>
                        <w:t>Enterprise mix</w:t>
                      </w:r>
                    </w:p>
                    <w:p w14:paraId="54C6204C" w14:textId="7EDE436C" w:rsidR="00F948BC" w:rsidRPr="002E2A7A" w:rsidRDefault="003F0E47" w:rsidP="00356F50">
                      <w:pPr>
                        <w:pStyle w:val="AgVic-SnapshotBullets"/>
                      </w:pPr>
                      <w:r>
                        <w:t xml:space="preserve">Mainly beef production, </w:t>
                      </w:r>
                      <w:r w:rsidR="0091341D">
                        <w:t xml:space="preserve">with </w:t>
                      </w:r>
                      <w:r w:rsidR="00C209BA">
                        <w:t>spring and autumn calving enterprises</w:t>
                      </w:r>
                      <w:r w:rsidR="008B1CEA">
                        <w:t xml:space="preserve">, </w:t>
                      </w:r>
                      <w:r w:rsidR="00B83824">
                        <w:t xml:space="preserve">and some sheep enterprises </w:t>
                      </w:r>
                      <w:r w:rsidR="00B14435">
                        <w:t xml:space="preserve">producing prime lambs </w:t>
                      </w:r>
                      <w:r w:rsidR="00B83824">
                        <w:t>as well</w:t>
                      </w:r>
                      <w:r w:rsidR="0091341D">
                        <w:t xml:space="preserve">. </w:t>
                      </w:r>
                      <w:r w:rsidR="00083BB3">
                        <w:t xml:space="preserve">The group also has a member supplying </w:t>
                      </w:r>
                      <w:r w:rsidR="00B86F4C">
                        <w:t xml:space="preserve">cattle for </w:t>
                      </w:r>
                      <w:proofErr w:type="spellStart"/>
                      <w:r w:rsidR="0091341D">
                        <w:t>Greenham’s</w:t>
                      </w:r>
                      <w:proofErr w:type="spellEnd"/>
                      <w:r w:rsidR="0091341D">
                        <w:t xml:space="preserve"> certified grass-fed progra</w:t>
                      </w:r>
                      <w:r w:rsidR="008B1CEA">
                        <w:t>m.</w:t>
                      </w:r>
                    </w:p>
                  </w:txbxContent>
                </v:textbox>
                <w10:anchorlock/>
              </v:shape>
            </w:pict>
          </mc:Fallback>
        </mc:AlternateContent>
      </w:r>
    </w:p>
    <w:p w14:paraId="266B8E2D" w14:textId="2CCABE50" w:rsidR="0063423C" w:rsidRDefault="00C26E25" w:rsidP="00A80441">
      <w:pPr>
        <w:pStyle w:val="AgVic-HeadingA"/>
        <w:rPr>
          <w:sz w:val="20"/>
          <w:szCs w:val="20"/>
        </w:rPr>
      </w:pPr>
      <w:bookmarkStart w:id="2" w:name="_Hlk25141961"/>
      <w:r>
        <w:t>Increas</w:t>
      </w:r>
      <w:r w:rsidR="00F63D84">
        <w:t>ing</w:t>
      </w:r>
      <w:r>
        <w:t xml:space="preserve"> feed </w:t>
      </w:r>
      <w:r w:rsidR="00406F86">
        <w:t xml:space="preserve">supply </w:t>
      </w:r>
      <w:r w:rsidR="00375AB3">
        <w:t>through</w:t>
      </w:r>
      <w:r>
        <w:t xml:space="preserve"> grazing management</w:t>
      </w:r>
    </w:p>
    <w:bookmarkEnd w:id="2"/>
    <w:p w14:paraId="339D4D74" w14:textId="5EC5F195" w:rsidR="00364858" w:rsidRDefault="00364858" w:rsidP="00AB0415">
      <w:pPr>
        <w:pStyle w:val="AgVic-Body"/>
      </w:pPr>
      <w:r>
        <w:t xml:space="preserve">An ongoing discussion </w:t>
      </w:r>
      <w:r w:rsidR="00B34F3F">
        <w:t>with the</w:t>
      </w:r>
      <w:r w:rsidR="00C26E25">
        <w:t xml:space="preserve"> Tallangatta </w:t>
      </w:r>
      <w:proofErr w:type="spellStart"/>
      <w:r w:rsidR="00C26E25">
        <w:t>Better</w:t>
      </w:r>
      <w:r w:rsidR="00B34F3F">
        <w:t>Beef</w:t>
      </w:r>
      <w:proofErr w:type="spellEnd"/>
      <w:r w:rsidR="00B34F3F">
        <w:t xml:space="preserve"> Group </w:t>
      </w:r>
      <w:r w:rsidR="007E5D70">
        <w:t xml:space="preserve">is </w:t>
      </w:r>
      <w:r w:rsidR="00E17118">
        <w:t>achieving the goal of using</w:t>
      </w:r>
      <w:r w:rsidR="008F1706">
        <w:t xml:space="preserve"> grazing management </w:t>
      </w:r>
      <w:r w:rsidR="00E17118">
        <w:t>to</w:t>
      </w:r>
      <w:r>
        <w:t xml:space="preserve"> increas</w:t>
      </w:r>
      <w:r w:rsidR="008F1706">
        <w:t>e</w:t>
      </w:r>
      <w:r>
        <w:t xml:space="preserve"> </w:t>
      </w:r>
      <w:r w:rsidR="008F1706">
        <w:t>farm</w:t>
      </w:r>
      <w:r>
        <w:t>-grown feed supply</w:t>
      </w:r>
      <w:r w:rsidR="007E5D70">
        <w:t>.</w:t>
      </w:r>
      <w:r>
        <w:t xml:space="preserve"> </w:t>
      </w:r>
      <w:r w:rsidR="008F1706">
        <w:t>Differing tools and techniques have been trialled and implemented by some of the group members.</w:t>
      </w:r>
      <w:r>
        <w:t xml:space="preserve"> </w:t>
      </w:r>
    </w:p>
    <w:p w14:paraId="57AED2FC" w14:textId="4F099F86" w:rsidR="007D4C11" w:rsidRDefault="05D8C680" w:rsidP="00AB0415">
      <w:pPr>
        <w:pStyle w:val="AgVic-Body"/>
      </w:pPr>
      <w:r>
        <w:t>A rotational grazing system has been successfully set up by group member Des Varker, who operates a beef operation in Chiltern. Des and Christine have invested both time and money in subdividing the family farm to more manageable paddock sizes. Not only has this involved lots of fencing they have also upgraded their reticulated water system</w:t>
      </w:r>
      <w:r w:rsidR="0056508E">
        <w:t>,</w:t>
      </w:r>
      <w:r>
        <w:t xml:space="preserve"> so stock have access to troughs in each paddock. </w:t>
      </w:r>
    </w:p>
    <w:p w14:paraId="2DA5F000" w14:textId="39614D44" w:rsidR="00AC1895" w:rsidRDefault="05D8C680" w:rsidP="00AB0415">
      <w:pPr>
        <w:pStyle w:val="AgVic-Body"/>
      </w:pPr>
      <w:r>
        <w:t xml:space="preserve">Des has a solar pump on one large storage dam that supplies a network of troughs. Another dam is spring-fed and relies on gravity feed to the connected troughs. Their weaning yards are within this system so Des will “cart a bit of water to get us through”, until he can move the cattle elsewhere on their property. Des has observed their cattle “do a lot better on better water”. Studies show that lower quality stock water can suppress dietary intake, and thus growth rates. </w:t>
      </w:r>
    </w:p>
    <w:p w14:paraId="31C829CF" w14:textId="64DE04E4" w:rsidR="00E67CEF" w:rsidRDefault="00E67CEF" w:rsidP="00AB0415">
      <w:pPr>
        <w:pStyle w:val="AgVic-Body"/>
      </w:pPr>
      <w:r>
        <w:lastRenderedPageBreak/>
        <w:t>Since implementing the improved grazing system</w:t>
      </w:r>
      <w:r w:rsidR="007D4C11">
        <w:t>,</w:t>
      </w:r>
      <w:r>
        <w:t xml:space="preserve"> Des has achieved his goal of </w:t>
      </w:r>
      <w:r w:rsidR="00B34F3F">
        <w:t>conserving more fodder in spring</w:t>
      </w:r>
      <w:r w:rsidR="009E5584">
        <w:t xml:space="preserve"> and lowering his cost of production</w:t>
      </w:r>
      <w:r>
        <w:t>.</w:t>
      </w:r>
      <w:r w:rsidR="007145BB">
        <w:t xml:space="preserve"> </w:t>
      </w:r>
      <w:r w:rsidR="00E93AFB">
        <w:t>The business</w:t>
      </w:r>
      <w:r w:rsidR="00E93AFB" w:rsidDel="00C53751">
        <w:t xml:space="preserve"> </w:t>
      </w:r>
      <w:r w:rsidR="00C53751">
        <w:t>principle</w:t>
      </w:r>
      <w:r w:rsidR="00E93AFB">
        <w:t xml:space="preserve"> for Des is “green feed is the cheapest feed”. </w:t>
      </w:r>
      <w:r w:rsidR="007D4C11">
        <w:t>He currently plans to buy hay, however “if</w:t>
      </w:r>
      <w:r w:rsidR="00E93AFB">
        <w:t xml:space="preserve"> there is a good spring and </w:t>
      </w:r>
      <w:r w:rsidR="007D4C11">
        <w:t xml:space="preserve">we have </w:t>
      </w:r>
      <w:r w:rsidR="00E93AFB">
        <w:t xml:space="preserve">a spare paddock </w:t>
      </w:r>
      <w:r w:rsidR="007D4C11">
        <w:t>we’</w:t>
      </w:r>
      <w:r w:rsidR="00E93AFB">
        <w:t xml:space="preserve">ll cut </w:t>
      </w:r>
      <w:r w:rsidR="007D4C11">
        <w:t>our</w:t>
      </w:r>
      <w:r w:rsidR="00E93AFB">
        <w:t xml:space="preserve"> own</w:t>
      </w:r>
      <w:r w:rsidR="007D4C11">
        <w:t xml:space="preserve">”. </w:t>
      </w:r>
      <w:r>
        <w:t>H</w:t>
      </w:r>
      <w:r w:rsidR="00B34F3F">
        <w:t>e aims to build a hay storage shed as part of this strategy</w:t>
      </w:r>
      <w:r w:rsidR="007D4C11">
        <w:t xml:space="preserve">, and </w:t>
      </w:r>
      <w:r w:rsidR="00EA191D">
        <w:t xml:space="preserve">then </w:t>
      </w:r>
      <w:r w:rsidR="007D4C11">
        <w:t>‘bank’</w:t>
      </w:r>
      <w:r w:rsidR="007D4C11" w:rsidRPr="007D4C11">
        <w:t xml:space="preserve"> </w:t>
      </w:r>
      <w:r w:rsidR="007D4C11">
        <w:t>a 12-month supply.</w:t>
      </w:r>
    </w:p>
    <w:p w14:paraId="618BDF96" w14:textId="42F4164F" w:rsidR="00C0438D" w:rsidRDefault="00282B33" w:rsidP="00AB0415">
      <w:pPr>
        <w:pStyle w:val="AgVic-Body"/>
      </w:pPr>
      <w:r>
        <w:t>T</w:t>
      </w:r>
      <w:r w:rsidR="05D8C680">
        <w:t xml:space="preserve">he goal of fodder conservation is not one made in isolation from other farm business decisions. For example, with the </w:t>
      </w:r>
      <w:proofErr w:type="spellStart"/>
      <w:r w:rsidR="05D8C680">
        <w:t>Varker’s</w:t>
      </w:r>
      <w:proofErr w:type="spellEnd"/>
      <w:r w:rsidR="05D8C680">
        <w:t xml:space="preserve"> business the steer weaners become trade cattle selling at optimum time. The decision to sell is based on the seasonal conditions (amount of conserved feed, prices, paddock feed, seasonal prospects for rain etc). Usually around August, Des assesses the trigger point for fodder conservation and adjusts his carrying capacity based on the outlook. </w:t>
      </w:r>
    </w:p>
    <w:p w14:paraId="6CF92E2B" w14:textId="61A1F8E5" w:rsidR="00E67CEF" w:rsidRPr="00406F86" w:rsidRDefault="00233866" w:rsidP="00406F86">
      <w:pPr>
        <w:pStyle w:val="AgVic-HeadingA"/>
        <w:rPr>
          <w:sz w:val="20"/>
          <w:szCs w:val="20"/>
        </w:rPr>
      </w:pPr>
      <w:r>
        <w:t>Improving</w:t>
      </w:r>
      <w:r w:rsidR="00406F86">
        <w:t xml:space="preserve"> </w:t>
      </w:r>
      <w:r w:rsidR="00C0438D">
        <w:t xml:space="preserve">soils and </w:t>
      </w:r>
      <w:r w:rsidR="00406F86">
        <w:t xml:space="preserve">pasture quality </w:t>
      </w:r>
    </w:p>
    <w:p w14:paraId="40535280" w14:textId="3E7FF795" w:rsidR="00596D15" w:rsidRDefault="05D8C680" w:rsidP="00AB0415">
      <w:pPr>
        <w:pStyle w:val="AgVic-Body"/>
      </w:pPr>
      <w:r>
        <w:t xml:space="preserve">Group discussions on improving feed supply with grazing management are also linked to improving soils and pasture quality. Des is emphatic that, for him, the most significant learning from being a member of the Tallangatta </w:t>
      </w:r>
      <w:proofErr w:type="spellStart"/>
      <w:r>
        <w:t>BetterBeef</w:t>
      </w:r>
      <w:proofErr w:type="spellEnd"/>
      <w:r>
        <w:t xml:space="preserve"> Group has been the value of soil testing for the strategic use of fertiliser and lime. </w:t>
      </w:r>
    </w:p>
    <w:p w14:paraId="37B38A7C" w14:textId="59E96F33" w:rsidR="00C0438D" w:rsidRDefault="00C0438D" w:rsidP="00AB0415">
      <w:pPr>
        <w:pStyle w:val="AgVic-Body"/>
      </w:pPr>
      <w:r>
        <w:t>Des</w:t>
      </w:r>
      <w:r w:rsidR="008678B2">
        <w:t xml:space="preserve"> now</w:t>
      </w:r>
      <w:r>
        <w:t xml:space="preserve"> </w:t>
      </w:r>
      <w:r w:rsidR="00B933F4">
        <w:t>has an</w:t>
      </w:r>
      <w:r>
        <w:t xml:space="preserve"> annual soil testing program to monitor soil pH, Olsen P and aluminium levels. He has 10 to 20 samples analysed per year</w:t>
      </w:r>
      <w:r w:rsidR="00522B73">
        <w:t>,</w:t>
      </w:r>
      <w:r w:rsidR="001439DF">
        <w:t xml:space="preserve"> aiming</w:t>
      </w:r>
      <w:r>
        <w:t xml:space="preserve"> to lift his soil pH to 5.5 and the phosphorus levels to an Olsen P of 16 across the farm. Additions of urea, liquid nitrogen and </w:t>
      </w:r>
      <w:r w:rsidR="00CF5933">
        <w:t>gibber</w:t>
      </w:r>
      <w:r w:rsidR="00327435">
        <w:t>ellic acid</w:t>
      </w:r>
      <w:r w:rsidR="00CF5933">
        <w:t xml:space="preserve"> </w:t>
      </w:r>
      <w:r>
        <w:t>are used when and where it will be cost effective to boost pasture growth.</w:t>
      </w:r>
      <w:r w:rsidR="00596D15">
        <w:t xml:space="preserve"> </w:t>
      </w:r>
    </w:p>
    <w:p w14:paraId="3787025F" w14:textId="114DE261" w:rsidR="00233866" w:rsidRDefault="05D8C680" w:rsidP="00AB0415">
      <w:pPr>
        <w:pStyle w:val="AgVic-Body"/>
      </w:pPr>
      <w:r>
        <w:t xml:space="preserve">Des has a plan to clean up paddocks and establish more phalaris and sub clover. </w:t>
      </w:r>
      <w:r w:rsidR="00A31ED7">
        <w:t>Paddock renovation</w:t>
      </w:r>
      <w:r w:rsidR="00D01CC2">
        <w:t xml:space="preserve"> usually</w:t>
      </w:r>
      <w:r w:rsidR="00517C35">
        <w:t xml:space="preserve"> involves sp</w:t>
      </w:r>
      <w:r w:rsidR="000352BF">
        <w:t xml:space="preserve">raying weeds in </w:t>
      </w:r>
      <w:r w:rsidR="00590617">
        <w:t>a</w:t>
      </w:r>
      <w:r w:rsidR="000352BF">
        <w:t xml:space="preserve">utumn, then sowing </w:t>
      </w:r>
      <w:r w:rsidR="0079408D">
        <w:t>annual rye grass or oa</w:t>
      </w:r>
      <w:r w:rsidR="00C622C7">
        <w:t>t</w:t>
      </w:r>
      <w:r w:rsidR="00C319B2">
        <w:t>s</w:t>
      </w:r>
      <w:r w:rsidR="00136B8F">
        <w:t xml:space="preserve"> and</w:t>
      </w:r>
      <w:r w:rsidR="00DC328F">
        <w:t xml:space="preserve"> cutting </w:t>
      </w:r>
      <w:r w:rsidR="00127727">
        <w:t>that for hay or silage before seed se</w:t>
      </w:r>
      <w:r w:rsidR="003220AE">
        <w:t>t</w:t>
      </w:r>
      <w:r w:rsidR="00136B8F">
        <w:t xml:space="preserve">. </w:t>
      </w:r>
      <w:r w:rsidR="000A7749">
        <w:t>Only w</w:t>
      </w:r>
      <w:r w:rsidR="00136B8F">
        <w:t xml:space="preserve">hen </w:t>
      </w:r>
      <w:r w:rsidR="00474AD9">
        <w:t>he considers the</w:t>
      </w:r>
      <w:r w:rsidR="00136B8F">
        <w:t xml:space="preserve"> paddock is</w:t>
      </w:r>
      <w:r w:rsidR="00F80A87">
        <w:t xml:space="preserve"> </w:t>
      </w:r>
      <w:r w:rsidR="00C81DEB">
        <w:t>free of</w:t>
      </w:r>
      <w:r w:rsidR="007B6AAD">
        <w:t xml:space="preserve"> </w:t>
      </w:r>
      <w:r w:rsidR="00F80A87">
        <w:t>weed</w:t>
      </w:r>
      <w:r w:rsidR="007B6AAD">
        <w:t>s</w:t>
      </w:r>
      <w:r w:rsidR="001B16F6">
        <w:t xml:space="preserve">, </w:t>
      </w:r>
      <w:r w:rsidR="00226079">
        <w:t>will</w:t>
      </w:r>
      <w:r w:rsidR="00F2068F">
        <w:t xml:space="preserve"> </w:t>
      </w:r>
      <w:r w:rsidR="00EA5718">
        <w:t>Des</w:t>
      </w:r>
      <w:r w:rsidR="0027059F">
        <w:t xml:space="preserve"> sow the phalaris</w:t>
      </w:r>
      <w:r w:rsidR="00ED2B8E">
        <w:t xml:space="preserve">. </w:t>
      </w:r>
      <w:r w:rsidR="000C5CF8">
        <w:t>As a young plant it does not like competition.</w:t>
      </w:r>
    </w:p>
    <w:p w14:paraId="1B9E3ABB" w14:textId="278C4E23" w:rsidR="00C0438D" w:rsidRDefault="05D8C680" w:rsidP="00ED7723">
      <w:pPr>
        <w:pStyle w:val="AgVic-Body"/>
      </w:pPr>
      <w:r>
        <w:t>Seeing how others are working their farm and enterprises can be one of the main benefits of being in a network group.</w:t>
      </w:r>
      <w:r w:rsidR="003D4717">
        <w:t xml:space="preserve"> Des said</w:t>
      </w:r>
      <w:r w:rsidR="00EF008F">
        <w:t>,</w:t>
      </w:r>
      <w:r w:rsidR="00D161B0">
        <w:t xml:space="preserve"> </w:t>
      </w:r>
      <w:r w:rsidR="00EF008F">
        <w:t>“Y</w:t>
      </w:r>
      <w:r>
        <w:t>ou get to see both sides of it, what works where and what doesn’t</w:t>
      </w:r>
      <w:r w:rsidR="00B66E46">
        <w:t xml:space="preserve"> – </w:t>
      </w:r>
      <w:r>
        <w:t>and none of us are too proud, we all lay it out on the table.</w:t>
      </w:r>
      <w:r w:rsidR="00EF008F">
        <w:t>”</w:t>
      </w:r>
      <w:r>
        <w:t xml:space="preserve"> </w:t>
      </w:r>
      <w:r w:rsidR="00EF008F">
        <w:t>“</w:t>
      </w:r>
      <w:r>
        <w:t>It’s a good group, and you get to hear from fellow farmers, and down-to-earth practical consultants.</w:t>
      </w:r>
      <w:r w:rsidR="00D161B0">
        <w:t>”</w:t>
      </w:r>
      <w:r>
        <w:t xml:space="preserve"> </w:t>
      </w:r>
      <w:r w:rsidR="00D161B0">
        <w:t xml:space="preserve"> “</w:t>
      </w:r>
      <w:r>
        <w:t>It’s given me confidence</w:t>
      </w:r>
      <w:r w:rsidR="00D161B0">
        <w:t xml:space="preserve">, </w:t>
      </w:r>
      <w:r>
        <w:t>with farm improvements, when you see what others are doing and find out about the science behind it.</w:t>
      </w:r>
      <w:r w:rsidR="00EF008F">
        <w:t>”</w:t>
      </w:r>
    </w:p>
    <w:p w14:paraId="2EAAF2DA" w14:textId="142A0515" w:rsidR="00E70A40" w:rsidRPr="00AB0415" w:rsidRDefault="00B933F4" w:rsidP="00ED7723">
      <w:pPr>
        <w:pStyle w:val="AgVic-Body"/>
      </w:pPr>
      <w:r>
        <w:rPr>
          <w:noProof/>
        </w:rPr>
        <w:drawing>
          <wp:inline distT="0" distB="0" distL="0" distR="0" wp14:anchorId="3787AA70" wp14:editId="23A0E841">
            <wp:extent cx="5255260" cy="24098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9052" b="9830"/>
                    <a:stretch/>
                  </pic:blipFill>
                  <pic:spPr bwMode="auto">
                    <a:xfrm>
                      <a:off x="0" y="0"/>
                      <a:ext cx="5255895" cy="2410116"/>
                    </a:xfrm>
                    <a:prstGeom prst="rect">
                      <a:avLst/>
                    </a:prstGeom>
                    <a:noFill/>
                    <a:ln>
                      <a:noFill/>
                    </a:ln>
                    <a:extLst>
                      <a:ext uri="{53640926-AAD7-44D8-BBD7-CCE9431645EC}">
                        <a14:shadowObscured xmlns:a14="http://schemas.microsoft.com/office/drawing/2010/main"/>
                      </a:ext>
                    </a:extLst>
                  </pic:spPr>
                </pic:pic>
              </a:graphicData>
            </a:graphic>
          </wp:inline>
        </w:drawing>
      </w:r>
      <w:r w:rsidR="00E70A40">
        <w:t xml:space="preserve">  </w:t>
      </w:r>
      <w:r w:rsidR="00ED7723">
        <w:t xml:space="preserve">      </w:t>
      </w:r>
      <w:r w:rsidR="00D161B0">
        <w:rPr>
          <w:i/>
          <w:iCs/>
          <w:sz w:val="16"/>
          <w:szCs w:val="16"/>
          <w:lang w:val="en-US"/>
        </w:rPr>
        <w:t>Caption</w:t>
      </w:r>
      <w:r w:rsidR="00E70A40" w:rsidRPr="00ED7723">
        <w:rPr>
          <w:i/>
          <w:iCs/>
          <w:sz w:val="16"/>
          <w:szCs w:val="16"/>
          <w:lang w:val="en-US"/>
        </w:rPr>
        <w:t xml:space="preserve">: </w:t>
      </w:r>
      <w:r w:rsidR="001439DF" w:rsidRPr="00ED7723">
        <w:rPr>
          <w:i/>
          <w:iCs/>
          <w:sz w:val="16"/>
          <w:szCs w:val="16"/>
          <w:lang w:val="en-US"/>
        </w:rPr>
        <w:t xml:space="preserve">Pasture treated with liquid nitrogen, gibberellic acid and broad-leaf herbicide, </w:t>
      </w:r>
      <w:r w:rsidR="00E70A40" w:rsidRPr="00ED7723">
        <w:rPr>
          <w:i/>
          <w:iCs/>
          <w:sz w:val="16"/>
          <w:szCs w:val="16"/>
          <w:lang w:val="en-US"/>
        </w:rPr>
        <w:t>2019</w:t>
      </w:r>
    </w:p>
    <w:sectPr w:rsidR="00E70A40" w:rsidRPr="00AB0415" w:rsidSect="00042875">
      <w:headerReference w:type="default" r:id="rId12"/>
      <w:headerReference w:type="first" r:id="rId13"/>
      <w:pgSz w:w="11906" w:h="16838"/>
      <w:pgMar w:top="1474" w:right="340" w:bottom="1701" w:left="328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8F7A" w14:textId="77777777" w:rsidR="00814A69" w:rsidRDefault="00814A69" w:rsidP="000A7F3F">
      <w:pPr>
        <w:spacing w:after="0" w:line="240" w:lineRule="auto"/>
      </w:pPr>
      <w:r>
        <w:separator/>
      </w:r>
    </w:p>
  </w:endnote>
  <w:endnote w:type="continuationSeparator" w:id="0">
    <w:p w14:paraId="7BC7F1CD" w14:textId="77777777" w:rsidR="00814A69" w:rsidRDefault="00814A69" w:rsidP="000A7F3F">
      <w:pPr>
        <w:spacing w:after="0" w:line="240" w:lineRule="auto"/>
      </w:pPr>
      <w:r>
        <w:continuationSeparator/>
      </w:r>
    </w:p>
  </w:endnote>
  <w:endnote w:type="continuationNotice" w:id="1">
    <w:p w14:paraId="111428B0" w14:textId="77777777" w:rsidR="00814A69" w:rsidRDefault="00814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BD9B" w14:textId="77777777" w:rsidR="00814A69" w:rsidRDefault="00814A69" w:rsidP="000A7F3F">
      <w:pPr>
        <w:spacing w:after="0" w:line="240" w:lineRule="auto"/>
      </w:pPr>
      <w:r>
        <w:separator/>
      </w:r>
    </w:p>
  </w:footnote>
  <w:footnote w:type="continuationSeparator" w:id="0">
    <w:p w14:paraId="044830CF" w14:textId="77777777" w:rsidR="00814A69" w:rsidRDefault="00814A69" w:rsidP="000A7F3F">
      <w:pPr>
        <w:spacing w:after="0" w:line="240" w:lineRule="auto"/>
      </w:pPr>
      <w:r>
        <w:continuationSeparator/>
      </w:r>
    </w:p>
  </w:footnote>
  <w:footnote w:type="continuationNotice" w:id="1">
    <w:p w14:paraId="6CD2C4E9" w14:textId="77777777" w:rsidR="00814A69" w:rsidRDefault="00814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F9E6" w14:textId="6B718FD6" w:rsidR="008F08A5" w:rsidRDefault="004804A5" w:rsidP="008F08A5">
    <w:pPr>
      <w:pStyle w:val="AgVic-MainHeading"/>
      <w:rPr>
        <w:noProof/>
      </w:rPr>
    </w:pPr>
    <w:r>
      <w:rPr>
        <w:noProof/>
      </w:rPr>
      <w:drawing>
        <wp:anchor distT="0" distB="0" distL="114300" distR="114300" simplePos="0" relativeHeight="251658241" behindDoc="1" locked="0" layoutInCell="1" allowOverlap="1" wp14:anchorId="58469568" wp14:editId="034E30A2">
          <wp:simplePos x="0" y="0"/>
          <wp:positionH relativeFrom="page">
            <wp:posOffset>1905</wp:posOffset>
          </wp:positionH>
          <wp:positionV relativeFrom="page">
            <wp:posOffset>0</wp:posOffset>
          </wp:positionV>
          <wp:extent cx="7554595" cy="10684510"/>
          <wp:effectExtent l="0" t="0" r="8255"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684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822">
      <w:t>BetterBeef</w:t>
    </w:r>
    <w:proofErr w:type="spellEnd"/>
    <w:r w:rsidR="003910FB">
      <w:t xml:space="preserve"> – Increas</w:t>
    </w:r>
    <w:r w:rsidR="00D027E5">
      <w:t>ing</w:t>
    </w:r>
    <w:r w:rsidR="003910FB">
      <w:t xml:space="preserve"> feed with grazing control</w:t>
    </w:r>
  </w:p>
  <w:p w14:paraId="2954CA11" w14:textId="67638702" w:rsidR="000A7F3F" w:rsidRPr="00D23F4C" w:rsidRDefault="00850581" w:rsidP="008F08A5">
    <w:pPr>
      <w:pStyle w:val="AgVic-MainSubheading"/>
      <w:rPr>
        <w:outline/>
        <w:color w:val="000000"/>
        <w14:textOutline w14:w="9525" w14:cap="flat" w14:cmpd="sng" w14:algn="ctr">
          <w14:solidFill>
            <w14:srgbClr w14:val="000000"/>
          </w14:solidFill>
          <w14:prstDash w14:val="solid"/>
          <w14:round/>
        </w14:textOutline>
        <w14:textFill>
          <w14:noFill/>
        </w14:textFill>
      </w:rPr>
    </w:pPr>
    <w:r w:rsidRPr="002E2A7A">
      <w:rPr>
        <w:b/>
        <w:bCs/>
        <w:noProof/>
      </w:rPr>
      <mc:AlternateContent>
        <mc:Choice Requires="wps">
          <w:drawing>
            <wp:anchor distT="0" distB="0" distL="114300" distR="114300" simplePos="0" relativeHeight="251658242" behindDoc="0" locked="0" layoutInCell="1" allowOverlap="1" wp14:anchorId="2204A992" wp14:editId="48C0A498">
              <wp:simplePos x="0" y="0"/>
              <wp:positionH relativeFrom="page">
                <wp:posOffset>146304</wp:posOffset>
              </wp:positionH>
              <wp:positionV relativeFrom="page">
                <wp:posOffset>1261872</wp:posOffset>
              </wp:positionV>
              <wp:extent cx="1800000" cy="9287383"/>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9287383"/>
                      </a:xfrm>
                      <a:prstGeom prst="rect">
                        <a:avLst/>
                      </a:prstGeom>
                      <a:noFill/>
                      <a:ln w="9525">
                        <a:noFill/>
                        <a:miter lim="800000"/>
                        <a:headEnd/>
                        <a:tailEnd/>
                      </a:ln>
                    </wps:spPr>
                    <wps:txbx>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1D9BAC9C" w:rsidR="00850581" w:rsidRPr="002E2A7A" w:rsidRDefault="00850581" w:rsidP="00850581">
                          <w:pPr>
                            <w:pStyle w:val="AgVic-Imprint"/>
                            <w:spacing w:after="0"/>
                          </w:pPr>
                          <w:r>
                            <w:t xml:space="preserve">Issued </w:t>
                          </w:r>
                          <w:r w:rsidR="002D42D5">
                            <w:t>February</w:t>
                          </w:r>
                          <w:r>
                            <w:t xml:space="preserve"> 20</w:t>
                          </w:r>
                          <w:r w:rsidR="002D42D5">
                            <w:t>20</w:t>
                          </w:r>
                          <w:r>
                            <w:t>.</w:t>
                          </w:r>
                        </w:p>
                      </w:txbxContent>
                    </wps:txbx>
                    <wps:bodyPr rot="0" vert="horz" wrap="square" lIns="72000" tIns="72000" rIns="72000" bIns="72000" anchor="b" anchorCtr="0">
                      <a:noAutofit/>
                    </wps:bodyPr>
                  </wps:wsp>
                </a:graphicData>
              </a:graphic>
              <wp14:sizeRelH relativeFrom="page">
                <wp14:pctWidth>0</wp14:pctWidth>
              </wp14:sizeRelH>
              <wp14:sizeRelV relativeFrom="page">
                <wp14:pctHeight>0</wp14:pctHeight>
              </wp14:sizeRelV>
            </wp:anchor>
          </w:drawing>
        </mc:Choice>
        <mc:Fallback>
          <w:pict>
            <v:shapetype w14:anchorId="2204A992" id="_x0000_t202" coordsize="21600,21600" o:spt="202" path="m,l,21600r21600,l21600,xe">
              <v:stroke joinstyle="miter"/>
              <v:path gradientshapeok="t" o:connecttype="rect"/>
            </v:shapetype>
            <v:shape id="_x0000_s1027" type="#_x0000_t202" style="position:absolute;left:0;text-align:left;margin-left:11.5pt;margin-top:99.35pt;width:141.75pt;height:731.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" filled="f" stroked="f">
              <v:textbox inset="2mm,2mm,2mm,2mm">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1D9BAC9C" w:rsidR="00850581" w:rsidRPr="002E2A7A" w:rsidRDefault="00850581" w:rsidP="00850581">
                    <w:pPr>
                      <w:pStyle w:val="AgVic-Imprint"/>
                      <w:spacing w:after="0"/>
                    </w:pPr>
                    <w:r>
                      <w:t xml:space="preserve">Issued </w:t>
                    </w:r>
                    <w:r w:rsidR="002D42D5">
                      <w:t>February</w:t>
                    </w:r>
                    <w:r>
                      <w:t xml:space="preserve"> 20</w:t>
                    </w:r>
                    <w:r w:rsidR="002D42D5">
                      <w:t>20</w:t>
                    </w:r>
                    <w:r>
                      <w:t>.</w:t>
                    </w:r>
                  </w:p>
                </w:txbxContent>
              </v:textbox>
              <w10:wrap anchorx="page" anchory="page"/>
            </v:shape>
          </w:pict>
        </mc:Fallback>
      </mc:AlternateContent>
    </w:r>
    <w:proofErr w:type="spellStart"/>
    <w:r w:rsidR="003910FB">
      <w:t>Tallangatta</w:t>
    </w:r>
    <w:proofErr w:type="spellEnd"/>
    <w:r w:rsidR="003910FB">
      <w:t xml:space="preserve"> Group, December</w:t>
    </w:r>
    <w:r w:rsidR="008F08A5" w:rsidRPr="00042875">
      <w:t xml:space="preserv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27D0" w14:textId="5A79E91D" w:rsidR="00042875" w:rsidRDefault="000A7F3F" w:rsidP="00042875">
    <w:pPr>
      <w:pStyle w:val="AgVic-MainHeading"/>
    </w:pPr>
    <w:r w:rsidRPr="00042875">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439B52B8" wp14:editId="36D60BA9">
          <wp:simplePos x="0" y="0"/>
          <wp:positionH relativeFrom="page">
            <wp:posOffset>2399</wp:posOffset>
          </wp:positionH>
          <wp:positionV relativeFrom="page">
            <wp:posOffset>0</wp:posOffset>
          </wp:positionV>
          <wp:extent cx="7555201" cy="10684800"/>
          <wp:effectExtent l="0" t="0" r="825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01" cy="1068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C44C1">
      <w:t>BetterBeef</w:t>
    </w:r>
    <w:proofErr w:type="spellEnd"/>
    <w:r w:rsidR="007C44C1">
      <w:t xml:space="preserve"> – </w:t>
    </w:r>
    <w:bookmarkStart w:id="3" w:name="_Hlk22209265"/>
    <w:r w:rsidR="003910FB">
      <w:t>Increas</w:t>
    </w:r>
    <w:r w:rsidR="00D027E5">
      <w:t>ing</w:t>
    </w:r>
    <w:r w:rsidR="003910FB">
      <w:t xml:space="preserve"> feed </w:t>
    </w:r>
    <w:r w:rsidR="00375AB3">
      <w:t>with</w:t>
    </w:r>
    <w:r w:rsidR="003910FB">
      <w:t xml:space="preserve"> grazing control</w:t>
    </w:r>
  </w:p>
  <w:bookmarkEnd w:id="3"/>
  <w:p w14:paraId="42AE5D82" w14:textId="23DE2EEC" w:rsidR="000A7F3F" w:rsidRPr="00D23F4C" w:rsidRDefault="003910FB" w:rsidP="00A80441">
    <w:pPr>
      <w:pStyle w:val="AgVic-MainSubheading"/>
      <w:rPr>
        <w:outline/>
        <w:color w:val="000000"/>
        <w14:textOutline w14:w="9525" w14:cap="flat" w14:cmpd="sng" w14:algn="ctr">
          <w14:solidFill>
            <w14:srgbClr w14:val="000000"/>
          </w14:solidFill>
          <w14:prstDash w14:val="solid"/>
          <w14:round/>
        </w14:textOutline>
        <w14:textFill>
          <w14:noFill/>
        </w14:textFill>
      </w:rPr>
    </w:pPr>
    <w:proofErr w:type="spellStart"/>
    <w:r>
      <w:t>Tallangat</w:t>
    </w:r>
    <w:r w:rsidR="00D027E5">
      <w:t>t</w:t>
    </w:r>
    <w:r>
      <w:t>a</w:t>
    </w:r>
    <w:proofErr w:type="spellEnd"/>
    <w:r>
      <w:t xml:space="preserve"> Group, </w:t>
    </w:r>
    <w:r w:rsidR="002D42D5">
      <w:t>February</w:t>
    </w:r>
    <w:r w:rsidR="00E01105" w:rsidRPr="00042875">
      <w:t xml:space="preserve"> 20</w:t>
    </w:r>
    <w:r w:rsidR="002D42D5">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676"/>
    <w:multiLevelType w:val="hybridMultilevel"/>
    <w:tmpl w:val="2E0A9A18"/>
    <w:lvl w:ilvl="0" w:tplc="43625276">
      <w:start w:val="1"/>
      <w:numFmt w:val="bullet"/>
      <w:pStyle w:val="AgVic-SnapshotBulletsLast"/>
      <w:lvlText w:val="●"/>
      <w:lvlJc w:val="left"/>
      <w:pPr>
        <w:ind w:left="1098" w:hanging="360"/>
      </w:pPr>
      <w:rPr>
        <w:rFonts w:ascii="Arial" w:hAnsi="Aria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1" w15:restartNumberingAfterBreak="0">
    <w:nsid w:val="34B24833"/>
    <w:multiLevelType w:val="hybridMultilevel"/>
    <w:tmpl w:val="EE523D8A"/>
    <w:lvl w:ilvl="0" w:tplc="3B884734">
      <w:start w:val="1"/>
      <w:numFmt w:val="bullet"/>
      <w:pStyle w:val="AgVic-Bullets"/>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F816BCB"/>
    <w:multiLevelType w:val="hybridMultilevel"/>
    <w:tmpl w:val="2F6A3F08"/>
    <w:lvl w:ilvl="0" w:tplc="13F2859E">
      <w:start w:val="1"/>
      <w:numFmt w:val="bullet"/>
      <w:pStyle w:val="AgVic-Snapsho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B4306C"/>
    <w:multiLevelType w:val="hybridMultilevel"/>
    <w:tmpl w:val="BD78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B018BA"/>
    <w:multiLevelType w:val="hybridMultilevel"/>
    <w:tmpl w:val="9FD8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0E"/>
    <w:rsid w:val="00002B8F"/>
    <w:rsid w:val="00007C0C"/>
    <w:rsid w:val="000128FD"/>
    <w:rsid w:val="00020822"/>
    <w:rsid w:val="00021420"/>
    <w:rsid w:val="000231EC"/>
    <w:rsid w:val="000352BF"/>
    <w:rsid w:val="000356AC"/>
    <w:rsid w:val="00042875"/>
    <w:rsid w:val="0005022E"/>
    <w:rsid w:val="00056957"/>
    <w:rsid w:val="00065EA6"/>
    <w:rsid w:val="00083BB3"/>
    <w:rsid w:val="000869E1"/>
    <w:rsid w:val="0009235F"/>
    <w:rsid w:val="000A7749"/>
    <w:rsid w:val="000A7F3F"/>
    <w:rsid w:val="000C5CF8"/>
    <w:rsid w:val="000E2731"/>
    <w:rsid w:val="000E2CB3"/>
    <w:rsid w:val="000E4E82"/>
    <w:rsid w:val="001130C6"/>
    <w:rsid w:val="00126269"/>
    <w:rsid w:val="00127727"/>
    <w:rsid w:val="00130CE4"/>
    <w:rsid w:val="001317F6"/>
    <w:rsid w:val="00136440"/>
    <w:rsid w:val="00136B8F"/>
    <w:rsid w:val="001439DF"/>
    <w:rsid w:val="001654D2"/>
    <w:rsid w:val="00175A5F"/>
    <w:rsid w:val="00180DA7"/>
    <w:rsid w:val="00184BF1"/>
    <w:rsid w:val="00184EE6"/>
    <w:rsid w:val="001A66ED"/>
    <w:rsid w:val="001B0A7B"/>
    <w:rsid w:val="001B16F6"/>
    <w:rsid w:val="001B71D8"/>
    <w:rsid w:val="001C267E"/>
    <w:rsid w:val="001D4C9A"/>
    <w:rsid w:val="001D7BC6"/>
    <w:rsid w:val="001E5D59"/>
    <w:rsid w:val="001F4708"/>
    <w:rsid w:val="001F5C87"/>
    <w:rsid w:val="002159B3"/>
    <w:rsid w:val="00225AF9"/>
    <w:rsid w:val="00226079"/>
    <w:rsid w:val="00233866"/>
    <w:rsid w:val="00237933"/>
    <w:rsid w:val="00254720"/>
    <w:rsid w:val="0025551D"/>
    <w:rsid w:val="0026689A"/>
    <w:rsid w:val="00267B94"/>
    <w:rsid w:val="0027059F"/>
    <w:rsid w:val="0027500E"/>
    <w:rsid w:val="00275853"/>
    <w:rsid w:val="00282B33"/>
    <w:rsid w:val="00287A3F"/>
    <w:rsid w:val="00296468"/>
    <w:rsid w:val="002C11F0"/>
    <w:rsid w:val="002D16BD"/>
    <w:rsid w:val="002D2CC0"/>
    <w:rsid w:val="002D42D5"/>
    <w:rsid w:val="002D7867"/>
    <w:rsid w:val="002E251B"/>
    <w:rsid w:val="002E2A7A"/>
    <w:rsid w:val="002E74C9"/>
    <w:rsid w:val="002F5F19"/>
    <w:rsid w:val="002F699C"/>
    <w:rsid w:val="00301C5D"/>
    <w:rsid w:val="00306251"/>
    <w:rsid w:val="003070CB"/>
    <w:rsid w:val="00311089"/>
    <w:rsid w:val="003123E0"/>
    <w:rsid w:val="00313F56"/>
    <w:rsid w:val="003220AE"/>
    <w:rsid w:val="00327435"/>
    <w:rsid w:val="00337123"/>
    <w:rsid w:val="0035182F"/>
    <w:rsid w:val="0035410F"/>
    <w:rsid w:val="00356F50"/>
    <w:rsid w:val="00361E61"/>
    <w:rsid w:val="0036237F"/>
    <w:rsid w:val="00364858"/>
    <w:rsid w:val="00364B90"/>
    <w:rsid w:val="00365A4E"/>
    <w:rsid w:val="00375AB3"/>
    <w:rsid w:val="003808F9"/>
    <w:rsid w:val="00382928"/>
    <w:rsid w:val="00384AAF"/>
    <w:rsid w:val="003910FB"/>
    <w:rsid w:val="003C64BF"/>
    <w:rsid w:val="003D4717"/>
    <w:rsid w:val="003F0E47"/>
    <w:rsid w:val="003F6310"/>
    <w:rsid w:val="003F7361"/>
    <w:rsid w:val="004026AC"/>
    <w:rsid w:val="00406F86"/>
    <w:rsid w:val="00412190"/>
    <w:rsid w:val="00414339"/>
    <w:rsid w:val="00432F35"/>
    <w:rsid w:val="00433000"/>
    <w:rsid w:val="004350C1"/>
    <w:rsid w:val="00436347"/>
    <w:rsid w:val="004423FE"/>
    <w:rsid w:val="004434B1"/>
    <w:rsid w:val="00450270"/>
    <w:rsid w:val="00452108"/>
    <w:rsid w:val="00474AD9"/>
    <w:rsid w:val="004804A5"/>
    <w:rsid w:val="00490860"/>
    <w:rsid w:val="004A74DC"/>
    <w:rsid w:val="004B4A06"/>
    <w:rsid w:val="004D74C1"/>
    <w:rsid w:val="004E0AD3"/>
    <w:rsid w:val="004F38A0"/>
    <w:rsid w:val="004F38EA"/>
    <w:rsid w:val="00517C35"/>
    <w:rsid w:val="00522B73"/>
    <w:rsid w:val="00563B7B"/>
    <w:rsid w:val="0056508E"/>
    <w:rsid w:val="00571CD7"/>
    <w:rsid w:val="0058276B"/>
    <w:rsid w:val="0058352C"/>
    <w:rsid w:val="00590617"/>
    <w:rsid w:val="00590E8F"/>
    <w:rsid w:val="00595EC4"/>
    <w:rsid w:val="00596D15"/>
    <w:rsid w:val="005A3BE6"/>
    <w:rsid w:val="005C72FB"/>
    <w:rsid w:val="005D4E72"/>
    <w:rsid w:val="005F7DB1"/>
    <w:rsid w:val="006160BC"/>
    <w:rsid w:val="0061686D"/>
    <w:rsid w:val="00627A8B"/>
    <w:rsid w:val="00630222"/>
    <w:rsid w:val="0063423C"/>
    <w:rsid w:val="00642808"/>
    <w:rsid w:val="00645652"/>
    <w:rsid w:val="00694514"/>
    <w:rsid w:val="00696273"/>
    <w:rsid w:val="006A0B3D"/>
    <w:rsid w:val="006A3783"/>
    <w:rsid w:val="006B4ED8"/>
    <w:rsid w:val="006C046C"/>
    <w:rsid w:val="006E0F0F"/>
    <w:rsid w:val="006E296A"/>
    <w:rsid w:val="006E488A"/>
    <w:rsid w:val="007145BB"/>
    <w:rsid w:val="00715281"/>
    <w:rsid w:val="00722DA8"/>
    <w:rsid w:val="0073327A"/>
    <w:rsid w:val="00743DF6"/>
    <w:rsid w:val="0074786E"/>
    <w:rsid w:val="00755B38"/>
    <w:rsid w:val="00765F44"/>
    <w:rsid w:val="007879C1"/>
    <w:rsid w:val="0079408D"/>
    <w:rsid w:val="007A0F12"/>
    <w:rsid w:val="007B6AAD"/>
    <w:rsid w:val="007C44C1"/>
    <w:rsid w:val="007D4C11"/>
    <w:rsid w:val="007E06D5"/>
    <w:rsid w:val="007E5D70"/>
    <w:rsid w:val="007F0B35"/>
    <w:rsid w:val="007F0C1B"/>
    <w:rsid w:val="00814A69"/>
    <w:rsid w:val="0082538F"/>
    <w:rsid w:val="00832A9D"/>
    <w:rsid w:val="00834A19"/>
    <w:rsid w:val="008425EC"/>
    <w:rsid w:val="00843465"/>
    <w:rsid w:val="00850581"/>
    <w:rsid w:val="008678B2"/>
    <w:rsid w:val="00867B2C"/>
    <w:rsid w:val="00870D57"/>
    <w:rsid w:val="0087215E"/>
    <w:rsid w:val="0088048C"/>
    <w:rsid w:val="008B1CEA"/>
    <w:rsid w:val="008B28D4"/>
    <w:rsid w:val="008C2836"/>
    <w:rsid w:val="008E25E0"/>
    <w:rsid w:val="008F08A5"/>
    <w:rsid w:val="008F1706"/>
    <w:rsid w:val="0090257F"/>
    <w:rsid w:val="0091341D"/>
    <w:rsid w:val="00913B93"/>
    <w:rsid w:val="009163E9"/>
    <w:rsid w:val="00925824"/>
    <w:rsid w:val="00937BD1"/>
    <w:rsid w:val="00950A5C"/>
    <w:rsid w:val="0095634B"/>
    <w:rsid w:val="009701F2"/>
    <w:rsid w:val="009742F9"/>
    <w:rsid w:val="00982518"/>
    <w:rsid w:val="00987845"/>
    <w:rsid w:val="00997007"/>
    <w:rsid w:val="009A63FE"/>
    <w:rsid w:val="009B370A"/>
    <w:rsid w:val="009D1D68"/>
    <w:rsid w:val="009D47B8"/>
    <w:rsid w:val="009E5584"/>
    <w:rsid w:val="009F7EBF"/>
    <w:rsid w:val="00A14FFE"/>
    <w:rsid w:val="00A31ED7"/>
    <w:rsid w:val="00A3517C"/>
    <w:rsid w:val="00A35521"/>
    <w:rsid w:val="00A47675"/>
    <w:rsid w:val="00A53546"/>
    <w:rsid w:val="00A54E37"/>
    <w:rsid w:val="00A57069"/>
    <w:rsid w:val="00A80441"/>
    <w:rsid w:val="00A842D1"/>
    <w:rsid w:val="00A87C8F"/>
    <w:rsid w:val="00A92532"/>
    <w:rsid w:val="00A95C4E"/>
    <w:rsid w:val="00AB0415"/>
    <w:rsid w:val="00AB7C9E"/>
    <w:rsid w:val="00AC1895"/>
    <w:rsid w:val="00AC1CAE"/>
    <w:rsid w:val="00AF5C1C"/>
    <w:rsid w:val="00B002BC"/>
    <w:rsid w:val="00B0211A"/>
    <w:rsid w:val="00B04946"/>
    <w:rsid w:val="00B10138"/>
    <w:rsid w:val="00B14435"/>
    <w:rsid w:val="00B26316"/>
    <w:rsid w:val="00B34F3F"/>
    <w:rsid w:val="00B46B83"/>
    <w:rsid w:val="00B50059"/>
    <w:rsid w:val="00B66E46"/>
    <w:rsid w:val="00B730F8"/>
    <w:rsid w:val="00B81770"/>
    <w:rsid w:val="00B83824"/>
    <w:rsid w:val="00B8411D"/>
    <w:rsid w:val="00B86F4C"/>
    <w:rsid w:val="00B933F4"/>
    <w:rsid w:val="00B934A1"/>
    <w:rsid w:val="00BB10F8"/>
    <w:rsid w:val="00BB12F6"/>
    <w:rsid w:val="00BD2F81"/>
    <w:rsid w:val="00BD4BB3"/>
    <w:rsid w:val="00BE17C4"/>
    <w:rsid w:val="00BE7447"/>
    <w:rsid w:val="00C0438D"/>
    <w:rsid w:val="00C15E3A"/>
    <w:rsid w:val="00C15EDD"/>
    <w:rsid w:val="00C1740B"/>
    <w:rsid w:val="00C209BA"/>
    <w:rsid w:val="00C26E25"/>
    <w:rsid w:val="00C319B2"/>
    <w:rsid w:val="00C34744"/>
    <w:rsid w:val="00C504C1"/>
    <w:rsid w:val="00C53751"/>
    <w:rsid w:val="00C622C7"/>
    <w:rsid w:val="00C65381"/>
    <w:rsid w:val="00C81DEB"/>
    <w:rsid w:val="00C8428A"/>
    <w:rsid w:val="00CB26D4"/>
    <w:rsid w:val="00CB3077"/>
    <w:rsid w:val="00CC095D"/>
    <w:rsid w:val="00CC616C"/>
    <w:rsid w:val="00CD3B31"/>
    <w:rsid w:val="00CD7736"/>
    <w:rsid w:val="00CF12ED"/>
    <w:rsid w:val="00CF5933"/>
    <w:rsid w:val="00D01CC2"/>
    <w:rsid w:val="00D027E5"/>
    <w:rsid w:val="00D1029B"/>
    <w:rsid w:val="00D161B0"/>
    <w:rsid w:val="00D23F4C"/>
    <w:rsid w:val="00D35896"/>
    <w:rsid w:val="00D61C73"/>
    <w:rsid w:val="00D701C1"/>
    <w:rsid w:val="00D770F8"/>
    <w:rsid w:val="00D9272F"/>
    <w:rsid w:val="00DA0201"/>
    <w:rsid w:val="00DA7381"/>
    <w:rsid w:val="00DB4770"/>
    <w:rsid w:val="00DB5B87"/>
    <w:rsid w:val="00DC0918"/>
    <w:rsid w:val="00DC328F"/>
    <w:rsid w:val="00DD6958"/>
    <w:rsid w:val="00DE792F"/>
    <w:rsid w:val="00E01105"/>
    <w:rsid w:val="00E03C79"/>
    <w:rsid w:val="00E1461E"/>
    <w:rsid w:val="00E15826"/>
    <w:rsid w:val="00E17118"/>
    <w:rsid w:val="00E274F1"/>
    <w:rsid w:val="00E46A67"/>
    <w:rsid w:val="00E55644"/>
    <w:rsid w:val="00E67CEF"/>
    <w:rsid w:val="00E70A35"/>
    <w:rsid w:val="00E70A40"/>
    <w:rsid w:val="00E93AFB"/>
    <w:rsid w:val="00E95C99"/>
    <w:rsid w:val="00EA191D"/>
    <w:rsid w:val="00EA5718"/>
    <w:rsid w:val="00EA7BD9"/>
    <w:rsid w:val="00EB0040"/>
    <w:rsid w:val="00EB2B12"/>
    <w:rsid w:val="00EB2FC7"/>
    <w:rsid w:val="00EB62E3"/>
    <w:rsid w:val="00EC204D"/>
    <w:rsid w:val="00ED2B8E"/>
    <w:rsid w:val="00ED7723"/>
    <w:rsid w:val="00EF008F"/>
    <w:rsid w:val="00F00EE4"/>
    <w:rsid w:val="00F11095"/>
    <w:rsid w:val="00F1278B"/>
    <w:rsid w:val="00F13B31"/>
    <w:rsid w:val="00F15E61"/>
    <w:rsid w:val="00F1756E"/>
    <w:rsid w:val="00F202C4"/>
    <w:rsid w:val="00F2068F"/>
    <w:rsid w:val="00F45F35"/>
    <w:rsid w:val="00F537F8"/>
    <w:rsid w:val="00F63D84"/>
    <w:rsid w:val="00F65844"/>
    <w:rsid w:val="00F80A87"/>
    <w:rsid w:val="00F85591"/>
    <w:rsid w:val="00F948BC"/>
    <w:rsid w:val="00F9503A"/>
    <w:rsid w:val="00FA4229"/>
    <w:rsid w:val="00FC65CA"/>
    <w:rsid w:val="00FD552D"/>
    <w:rsid w:val="00FE2ABA"/>
    <w:rsid w:val="00FF04FF"/>
    <w:rsid w:val="05D8C6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1E33"/>
  <w15:chartTrackingRefBased/>
  <w15:docId w15:val="{78B2F248-5126-46D3-A5F8-DE61585B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8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581"/>
  </w:style>
  <w:style w:type="paragraph" w:styleId="Footer">
    <w:name w:val="footer"/>
    <w:basedOn w:val="Normal"/>
    <w:link w:val="FooterChar"/>
    <w:uiPriority w:val="99"/>
    <w:unhideWhenUsed/>
    <w:rsid w:val="00850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581"/>
  </w:style>
  <w:style w:type="paragraph" w:customStyle="1" w:styleId="AgVic-InlineObject">
    <w:name w:val="AgVic - Inline Object"/>
    <w:basedOn w:val="Normal"/>
    <w:qFormat/>
    <w:rsid w:val="00E55644"/>
    <w:pPr>
      <w:spacing w:after="60"/>
      <w:ind w:left="-113"/>
    </w:pPr>
    <w:rPr>
      <w:rFonts w:ascii="Arial" w:hAnsi="Arial"/>
      <w:noProof/>
    </w:rPr>
  </w:style>
  <w:style w:type="paragraph" w:customStyle="1" w:styleId="AgVic-Caption">
    <w:name w:val="AgVic - Caption"/>
    <w:basedOn w:val="Normal"/>
    <w:uiPriority w:val="99"/>
    <w:rsid w:val="00AB0415"/>
    <w:pPr>
      <w:suppressAutoHyphens/>
      <w:autoSpaceDE w:val="0"/>
      <w:autoSpaceDN w:val="0"/>
      <w:adjustRightInd w:val="0"/>
      <w:spacing w:after="320" w:line="288" w:lineRule="auto"/>
      <w:textAlignment w:val="center"/>
    </w:pPr>
    <w:rPr>
      <w:rFonts w:ascii="Arial" w:hAnsi="Arial" w:cs="Arial"/>
      <w:i/>
      <w:iCs/>
      <w:color w:val="000000"/>
      <w:sz w:val="16"/>
      <w:szCs w:val="16"/>
      <w:lang w:val="en-US"/>
    </w:rPr>
  </w:style>
  <w:style w:type="paragraph" w:customStyle="1" w:styleId="AgVic-MainHeading">
    <w:name w:val="AgVic - Main 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14:textOutline w14:w="9525" w14:cap="flat" w14:cmpd="sng" w14:algn="ctr">
        <w14:noFill/>
        <w14:prstDash w14:val="solid"/>
        <w14:round/>
      </w14:textOutline>
    </w:rPr>
  </w:style>
  <w:style w:type="paragraph" w:customStyle="1" w:styleId="AgVic-MainSubheading">
    <w:name w:val="AgVic - Main Sub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color w:val="FFFFFF" w:themeColor="background1"/>
      <w:sz w:val="28"/>
      <w:szCs w:val="28"/>
      <w:lang w:val="en-US"/>
      <w14:textOutline w14:w="9525" w14:cap="flat" w14:cmpd="sng" w14:algn="ctr">
        <w14:noFill/>
        <w14:prstDash w14:val="solid"/>
        <w14:round/>
      </w14:textOutline>
    </w:rPr>
  </w:style>
  <w:style w:type="paragraph" w:customStyle="1" w:styleId="AgVic-Bullets">
    <w:name w:val="AgVic - Bullets"/>
    <w:basedOn w:val="Normal"/>
    <w:qFormat/>
    <w:rsid w:val="004F38A0"/>
    <w:pPr>
      <w:numPr>
        <w:numId w:val="1"/>
      </w:numPr>
      <w:suppressAutoHyphens/>
      <w:autoSpaceDE w:val="0"/>
      <w:autoSpaceDN w:val="0"/>
      <w:adjustRightInd w:val="0"/>
      <w:spacing w:after="40" w:line="288" w:lineRule="auto"/>
      <w:ind w:left="587"/>
      <w:textAlignment w:val="center"/>
    </w:pPr>
    <w:rPr>
      <w:rFonts w:ascii="Arial" w:hAnsi="Arial" w:cs="Arial"/>
      <w:sz w:val="20"/>
      <w:szCs w:val="20"/>
      <w:lang w:val="en-US"/>
    </w:rPr>
  </w:style>
  <w:style w:type="paragraph" w:customStyle="1" w:styleId="AgVic-HeadingA">
    <w:name w:val="AgVic - Heading A"/>
    <w:basedOn w:val="Normal"/>
    <w:qFormat/>
    <w:rsid w:val="00A80441"/>
    <w:pPr>
      <w:suppressAutoHyphens/>
      <w:autoSpaceDE w:val="0"/>
      <w:autoSpaceDN w:val="0"/>
      <w:adjustRightInd w:val="0"/>
      <w:spacing w:before="227" w:after="57" w:line="288" w:lineRule="auto"/>
      <w:textAlignment w:val="center"/>
    </w:pPr>
    <w:rPr>
      <w:rFonts w:ascii="Arial" w:hAnsi="Arial" w:cs="Arial"/>
      <w:b/>
      <w:bCs/>
      <w:color w:val="4C7229"/>
      <w:sz w:val="28"/>
      <w:szCs w:val="28"/>
      <w:lang w:val="en-US"/>
    </w:rPr>
  </w:style>
  <w:style w:type="paragraph" w:customStyle="1" w:styleId="AgVic-Body">
    <w:name w:val="AgVic - Body"/>
    <w:basedOn w:val="Normal"/>
    <w:qFormat/>
    <w:rsid w:val="00AB0415"/>
    <w:pPr>
      <w:suppressAutoHyphens/>
      <w:autoSpaceDE w:val="0"/>
      <w:autoSpaceDN w:val="0"/>
      <w:adjustRightInd w:val="0"/>
      <w:spacing w:line="288" w:lineRule="auto"/>
      <w:textAlignment w:val="center"/>
    </w:pPr>
    <w:rPr>
      <w:rFonts w:ascii="Arial" w:hAnsi="Arial" w:cs="Arial"/>
      <w:color w:val="000000"/>
      <w:sz w:val="20"/>
      <w:szCs w:val="20"/>
    </w:rPr>
  </w:style>
  <w:style w:type="paragraph" w:customStyle="1" w:styleId="AgVic-BulletsLast">
    <w:name w:val="AgVic - Bullets Last"/>
    <w:basedOn w:val="AgVic-Bullets"/>
    <w:qFormat/>
    <w:rsid w:val="004F38A0"/>
    <w:pPr>
      <w:spacing w:after="120"/>
    </w:pPr>
  </w:style>
  <w:style w:type="paragraph" w:customStyle="1" w:styleId="AgVic-SnapshotBody">
    <w:name w:val="AgVic - Snapshot Body"/>
    <w:qFormat/>
    <w:rsid w:val="004804A5"/>
    <w:pPr>
      <w:spacing w:after="60"/>
    </w:pPr>
    <w:rPr>
      <w:rFonts w:ascii="Arial" w:hAnsi="Arial" w:cs="Arial"/>
      <w:color w:val="4C7329" w:themeColor="accent1"/>
      <w:sz w:val="20"/>
      <w:szCs w:val="20"/>
      <w:lang w:val="en-US"/>
    </w:rPr>
  </w:style>
  <w:style w:type="paragraph" w:customStyle="1" w:styleId="AgVic-SnapshotBulletsLast">
    <w:name w:val="AgVic - Snapshot Bullets Last"/>
    <w:basedOn w:val="AgVic-SnapshotBody"/>
    <w:qFormat/>
    <w:rsid w:val="004804A5"/>
    <w:pPr>
      <w:numPr>
        <w:numId w:val="5"/>
      </w:numPr>
      <w:spacing w:after="120"/>
      <w:ind w:left="454" w:hanging="227"/>
    </w:pPr>
  </w:style>
  <w:style w:type="paragraph" w:customStyle="1" w:styleId="AgVic-SnapshotBullets">
    <w:name w:val="AgVic - Snapshot Bullets"/>
    <w:qFormat/>
    <w:rsid w:val="004804A5"/>
    <w:pPr>
      <w:numPr>
        <w:numId w:val="4"/>
      </w:numPr>
      <w:spacing w:after="60"/>
      <w:ind w:left="454" w:hanging="227"/>
    </w:pPr>
    <w:rPr>
      <w:rFonts w:ascii="Arial" w:hAnsi="Arial" w:cs="Arial"/>
      <w:color w:val="4C7329" w:themeColor="accent1"/>
      <w:sz w:val="20"/>
      <w:szCs w:val="20"/>
      <w:lang w:val="en-US"/>
    </w:rPr>
  </w:style>
  <w:style w:type="paragraph" w:customStyle="1" w:styleId="AgVic-Imprint">
    <w:name w:val="AgVic - Imprint"/>
    <w:rsid w:val="004804A5"/>
    <w:pPr>
      <w:spacing w:after="60"/>
    </w:pPr>
    <w:rPr>
      <w:rFonts w:ascii="Arial" w:hAnsi="Arial" w:cs="Arial"/>
      <w:color w:val="000000"/>
      <w:sz w:val="16"/>
      <w:szCs w:val="20"/>
      <w:lang w:val="en-US"/>
    </w:rPr>
  </w:style>
  <w:style w:type="paragraph" w:customStyle="1" w:styleId="AgVic-ImprintHeading">
    <w:name w:val="AgVic - Imprint Heading"/>
    <w:basedOn w:val="AgVic-Imprint"/>
    <w:rsid w:val="00FA4229"/>
    <w:pPr>
      <w:spacing w:after="0"/>
    </w:pPr>
    <w:rPr>
      <w:b/>
      <w:bCs/>
    </w:rPr>
  </w:style>
  <w:style w:type="paragraph" w:styleId="BalloonText">
    <w:name w:val="Balloon Text"/>
    <w:basedOn w:val="Normal"/>
    <w:link w:val="BalloonTextChar"/>
    <w:uiPriority w:val="99"/>
    <w:semiHidden/>
    <w:unhideWhenUsed/>
    <w:rsid w:val="0027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E"/>
    <w:rPr>
      <w:rFonts w:ascii="Segoe UI" w:hAnsi="Segoe UI" w:cs="Segoe UI"/>
      <w:sz w:val="18"/>
      <w:szCs w:val="18"/>
    </w:rPr>
  </w:style>
  <w:style w:type="character" w:styleId="Hyperlink">
    <w:name w:val="Hyperlink"/>
    <w:basedOn w:val="DefaultParagraphFont"/>
    <w:uiPriority w:val="99"/>
    <w:unhideWhenUsed/>
    <w:rsid w:val="00870D57"/>
    <w:rPr>
      <w:color w:val="0563C1" w:themeColor="hyperlink"/>
      <w:u w:val="single"/>
    </w:rPr>
  </w:style>
  <w:style w:type="paragraph" w:styleId="ListParagraph">
    <w:name w:val="List Paragraph"/>
    <w:basedOn w:val="Normal"/>
    <w:uiPriority w:val="34"/>
    <w:qFormat/>
    <w:rsid w:val="00870D5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Ag Green">
      <a:dk1>
        <a:sysClr val="windowText" lastClr="000000"/>
      </a:dk1>
      <a:lt1>
        <a:sysClr val="window" lastClr="FFFFFF"/>
      </a:lt1>
      <a:dk2>
        <a:srgbClr val="44546A"/>
      </a:dk2>
      <a:lt2>
        <a:srgbClr val="E5E9DE"/>
      </a:lt2>
      <a:accent1>
        <a:srgbClr val="4C7329"/>
      </a:accent1>
      <a:accent2>
        <a:srgbClr val="283A16"/>
      </a:accent2>
      <a:accent3>
        <a:srgbClr val="708C52"/>
      </a:accent3>
      <a:accent4>
        <a:srgbClr val="3C3C3C"/>
      </a:accent4>
      <a:accent5>
        <a:srgbClr val="9AAE81"/>
      </a:accent5>
      <a:accent6>
        <a:srgbClr val="C5D0B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6F8CC-5E7D-4FF1-B473-B189AC51E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D95D2-7E5F-43F5-891C-3464DE825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15CCCB-633E-4B5C-B033-8965FA584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BetterBeef Tallangatta Group – Increasing feed with grazing control</dc:title>
  <dc:subject/>
  <dc:creator>Judith M Hill (DJPR)</dc:creator>
  <cp:keywords/>
  <dc:description/>
  <cp:lastModifiedBy>Minh Dang (DEDJTR)</cp:lastModifiedBy>
  <cp:revision>3</cp:revision>
  <cp:lastPrinted>2020-02-20T13:24:00Z</cp:lastPrinted>
  <dcterms:created xsi:type="dcterms:W3CDTF">2020-02-24T00:09:00Z</dcterms:created>
  <dcterms:modified xsi:type="dcterms:W3CDTF">2020-02-24T02:47:00Z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