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7B73E" w14:textId="77777777" w:rsidR="006F5988" w:rsidRDefault="006F5988" w:rsidP="006F5988">
      <w:pPr>
        <w:spacing w:after="0" w:line="360" w:lineRule="auto"/>
        <w:ind w:firstLine="720"/>
      </w:pPr>
    </w:p>
    <w:p w14:paraId="632C11EE" w14:textId="3DE3CCCC" w:rsidR="001C74E3" w:rsidRDefault="006F5988" w:rsidP="006F5988">
      <w:pPr>
        <w:pStyle w:val="Agintrotext"/>
      </w:pPr>
      <w:r>
        <w:t xml:space="preserve">Approximately 50 per cent (50 </w:t>
      </w:r>
      <w:r w:rsidR="0066525E">
        <w:t>m</w:t>
      </w:r>
      <w:r>
        <w:t>illion hectares) of the agricultural lands in Australia are considered acidic</w:t>
      </w:r>
      <w:r w:rsidR="00837336">
        <w:t>, with a large proportion</w:t>
      </w:r>
      <w:r>
        <w:t xml:space="preserve"> </w:t>
      </w:r>
      <w:r w:rsidR="00D87594">
        <w:t>located</w:t>
      </w:r>
      <w:r w:rsidR="009B6F3C">
        <w:t xml:space="preserve"> </w:t>
      </w:r>
      <w:r>
        <w:t>in</w:t>
      </w:r>
      <w:r w:rsidDel="00D87594">
        <w:t xml:space="preserve"> </w:t>
      </w:r>
      <w:r>
        <w:t xml:space="preserve">high rainfall regions of </w:t>
      </w:r>
      <w:r w:rsidR="00865254">
        <w:t>s</w:t>
      </w:r>
      <w:r>
        <w:t xml:space="preserve">outh </w:t>
      </w:r>
      <w:r w:rsidR="00865254">
        <w:t>e</w:t>
      </w:r>
      <w:r>
        <w:t xml:space="preserve">astern Australia including Victoria (NLWARA, 2001). Soil acidification is a natural process; however, it has been accelerated under high productive farming systems such as horticulture, dairying and grazing industries. </w:t>
      </w:r>
    </w:p>
    <w:p w14:paraId="782DB0AB" w14:textId="0C85F96A" w:rsidR="006F5988" w:rsidRDefault="006F5988" w:rsidP="008772FE">
      <w:pPr>
        <w:pStyle w:val="Agbodytext"/>
      </w:pPr>
      <w:r>
        <w:t xml:space="preserve">Soil acidity interferes with various soil processes such as nutrient availability, substance toxicity, </w:t>
      </w:r>
      <w:r w:rsidR="00490981">
        <w:t xml:space="preserve">and </w:t>
      </w:r>
      <w:r>
        <w:t xml:space="preserve">microbial activity. As a result, soil acidity can influence the pasture production and pasture suitability of lands that are continually subjected to soil acidification processes. In addition, acidity has the potential to create major off-site environmental issues affecting wider communities unless it is alleviated through adaptation of sustainable farming practices. </w:t>
      </w:r>
    </w:p>
    <w:p w14:paraId="0698D36C" w14:textId="02161F95" w:rsidR="008A7B31" w:rsidRDefault="006F5988" w:rsidP="006F5988">
      <w:pPr>
        <w:pStyle w:val="Agbodytext"/>
      </w:pPr>
      <w:r>
        <w:t xml:space="preserve">Recently completed </w:t>
      </w:r>
      <w:r w:rsidRPr="00D33515">
        <w:t>‘Grazfert’</w:t>
      </w:r>
      <w:r>
        <w:t xml:space="preserve"> and </w:t>
      </w:r>
      <w:r w:rsidRPr="00D33515">
        <w:t>‘Topsoils’</w:t>
      </w:r>
      <w:r>
        <w:t xml:space="preserve"> projects involving grazing industries in South Eastern Victoria have found that the surface soils (i.e. 0 -10 cm depth) of over 60 per cent of grazing land </w:t>
      </w:r>
      <w:r w:rsidR="004B27D8">
        <w:t>is</w:t>
      </w:r>
      <w:r>
        <w:t xml:space="preserve"> acidic with pH</w:t>
      </w:r>
      <w:r w:rsidR="009B6F3C">
        <w:t xml:space="preserve"> </w:t>
      </w:r>
      <w:r>
        <w:t>(CaCl</w:t>
      </w:r>
      <w:r w:rsidRPr="008F19FE">
        <w:rPr>
          <w:vertAlign w:val="subscript"/>
        </w:rPr>
        <w:t>2</w:t>
      </w:r>
      <w:r>
        <w:t xml:space="preserve">) of below 5.0. When soil pH is below 5 it would be recommended that remedial actions need to be adopted without delay. </w:t>
      </w:r>
    </w:p>
    <w:p w14:paraId="0BDF9220" w14:textId="62578B2F" w:rsidR="006F5988" w:rsidRPr="00A6734E" w:rsidRDefault="006F5988" w:rsidP="006F5988">
      <w:pPr>
        <w:pStyle w:val="Agbodytext"/>
        <w:rPr>
          <w:color w:val="FF0000"/>
        </w:rPr>
      </w:pPr>
      <w:r>
        <w:t xml:space="preserve">Acidification is a slow process and the visible symptoms are not clear-cut and </w:t>
      </w:r>
      <w:r w:rsidR="00E83119">
        <w:t xml:space="preserve">can be </w:t>
      </w:r>
      <w:r>
        <w:t xml:space="preserve">confusing because of their variability on soil type, vegetation, climatic factors and fertilizer regimes. Untreated surface soil acidity can move down </w:t>
      </w:r>
      <w:r w:rsidR="00AB5432">
        <w:t xml:space="preserve">the </w:t>
      </w:r>
      <w:r>
        <w:t xml:space="preserve">soil profile to the sub soil layers </w:t>
      </w:r>
      <w:r w:rsidR="00AB5432">
        <w:t xml:space="preserve">making </w:t>
      </w:r>
      <w:r>
        <w:t xml:space="preserve">treating acidity difficult and significantly more expensive. </w:t>
      </w:r>
      <w:bookmarkStart w:id="0" w:name="_Hlk46474804"/>
    </w:p>
    <w:bookmarkEnd w:id="0"/>
    <w:p w14:paraId="1AF58ECC" w14:textId="150B893C" w:rsidR="006F5988" w:rsidRPr="00E81C65" w:rsidRDefault="006F5988" w:rsidP="006F5988">
      <w:pPr>
        <w:pStyle w:val="Agbodytext"/>
        <w:rPr>
          <w:rFonts w:eastAsia="Times New Roman" w:cs="Arial"/>
          <w:lang w:eastAsia="en-AU"/>
        </w:rPr>
      </w:pPr>
      <w:r w:rsidRPr="00E81C65">
        <w:rPr>
          <w:rFonts w:eastAsia="Times New Roman" w:cs="Arial"/>
          <w:lang w:eastAsia="en-AU"/>
        </w:rPr>
        <w:t xml:space="preserve">If </w:t>
      </w:r>
      <w:r w:rsidR="00D56E64">
        <w:rPr>
          <w:rFonts w:eastAsia="Times New Roman" w:cs="Arial"/>
          <w:lang w:eastAsia="en-AU"/>
        </w:rPr>
        <w:t>grazing land</w:t>
      </w:r>
      <w:r>
        <w:rPr>
          <w:rFonts w:eastAsia="Times New Roman" w:cs="Arial"/>
          <w:lang w:eastAsia="en-AU"/>
        </w:rPr>
        <w:t xml:space="preserve"> has not been treated for acidity recently, and it exhibits one or more of the following visible symptoms</w:t>
      </w:r>
      <w:r w:rsidR="001D199F">
        <w:rPr>
          <w:rFonts w:eastAsia="Times New Roman" w:cs="Arial"/>
          <w:lang w:eastAsia="en-AU"/>
        </w:rPr>
        <w:t>,</w:t>
      </w:r>
      <w:r>
        <w:rPr>
          <w:rFonts w:eastAsia="Times New Roman" w:cs="Arial"/>
          <w:lang w:eastAsia="en-AU"/>
        </w:rPr>
        <w:t xml:space="preserve"> it </w:t>
      </w:r>
      <w:r w:rsidR="00FE0585">
        <w:rPr>
          <w:rFonts w:eastAsia="Times New Roman" w:cs="Arial"/>
          <w:lang w:eastAsia="en-AU"/>
        </w:rPr>
        <w:t>could be the</w:t>
      </w:r>
      <w:r>
        <w:rPr>
          <w:rFonts w:eastAsia="Times New Roman" w:cs="Arial"/>
          <w:lang w:eastAsia="en-AU"/>
        </w:rPr>
        <w:t xml:space="preserve"> result of the increasing acidity in soil</w:t>
      </w:r>
      <w:r w:rsidR="00FE0585">
        <w:rPr>
          <w:rFonts w:eastAsia="Times New Roman" w:cs="Arial"/>
          <w:lang w:eastAsia="en-AU"/>
        </w:rPr>
        <w:t>:</w:t>
      </w:r>
    </w:p>
    <w:p w14:paraId="5973F24A" w14:textId="77777777" w:rsidR="006F5988" w:rsidRDefault="006F5988" w:rsidP="006F5988">
      <w:pPr>
        <w:pStyle w:val="Agbulletlist"/>
        <w:rPr>
          <w:lang w:eastAsia="en-AU"/>
        </w:rPr>
      </w:pPr>
      <w:r w:rsidRPr="00D4798C">
        <w:rPr>
          <w:lang w:eastAsia="en-AU"/>
        </w:rPr>
        <w:t>Poor plant vigour</w:t>
      </w:r>
      <w:r>
        <w:rPr>
          <w:lang w:eastAsia="en-AU"/>
        </w:rPr>
        <w:t>, uneven growth</w:t>
      </w:r>
      <w:r w:rsidRPr="00D4798C">
        <w:rPr>
          <w:lang w:eastAsia="en-AU"/>
        </w:rPr>
        <w:t xml:space="preserve">, reduced growth and </w:t>
      </w:r>
      <w:r>
        <w:rPr>
          <w:lang w:eastAsia="en-AU"/>
        </w:rPr>
        <w:t>production</w:t>
      </w:r>
      <w:r w:rsidRPr="00D4798C">
        <w:rPr>
          <w:lang w:eastAsia="en-AU"/>
        </w:rPr>
        <w:t xml:space="preserve"> </w:t>
      </w:r>
    </w:p>
    <w:p w14:paraId="5022D3FA" w14:textId="77777777" w:rsidR="006F5988" w:rsidRDefault="006F5988" w:rsidP="006F5988">
      <w:pPr>
        <w:pStyle w:val="Agbulletlist"/>
        <w:rPr>
          <w:lang w:eastAsia="en-AU"/>
        </w:rPr>
      </w:pPr>
      <w:r>
        <w:rPr>
          <w:lang w:eastAsia="en-AU"/>
        </w:rPr>
        <w:t>P</w:t>
      </w:r>
      <w:r w:rsidRPr="00D4798C">
        <w:rPr>
          <w:lang w:eastAsia="en-AU"/>
        </w:rPr>
        <w:t>oor establishment of pasture species</w:t>
      </w:r>
      <w:r>
        <w:rPr>
          <w:lang w:eastAsia="en-AU"/>
        </w:rPr>
        <w:t xml:space="preserve"> and stunted root growth</w:t>
      </w:r>
    </w:p>
    <w:p w14:paraId="632B0884" w14:textId="77777777" w:rsidR="006F5988" w:rsidRDefault="006F5988" w:rsidP="006F5988">
      <w:pPr>
        <w:pStyle w:val="Agbulletlist"/>
        <w:rPr>
          <w:lang w:eastAsia="en-AU"/>
        </w:rPr>
      </w:pPr>
      <w:r w:rsidRPr="00ED04B1">
        <w:rPr>
          <w:lang w:eastAsia="en-AU"/>
        </w:rPr>
        <w:t xml:space="preserve">Deprived nodulation of legumes </w:t>
      </w:r>
    </w:p>
    <w:p w14:paraId="04F2A2F9" w14:textId="77777777" w:rsidR="006F5988" w:rsidRDefault="006F5988" w:rsidP="006F5988">
      <w:pPr>
        <w:pStyle w:val="Agbulletlist"/>
        <w:rPr>
          <w:lang w:eastAsia="en-AU"/>
        </w:rPr>
      </w:pPr>
      <w:r w:rsidRPr="00ED04B1">
        <w:rPr>
          <w:lang w:eastAsia="en-AU"/>
        </w:rPr>
        <w:t>Persistence of acid tolerant weeds (e.g. sorrel)</w:t>
      </w:r>
    </w:p>
    <w:p w14:paraId="6B62D6F6" w14:textId="5DA9E014" w:rsidR="006F5988" w:rsidRPr="00ED04B1" w:rsidRDefault="006F5988" w:rsidP="006F5988">
      <w:pPr>
        <w:pStyle w:val="Agbulletlist"/>
        <w:rPr>
          <w:lang w:eastAsia="en-AU"/>
        </w:rPr>
      </w:pPr>
      <w:r w:rsidRPr="00ED04B1">
        <w:rPr>
          <w:lang w:eastAsia="en-AU"/>
        </w:rPr>
        <w:t>Increased incidence of diseases in the pastures</w:t>
      </w:r>
      <w:r w:rsidR="00332A7E">
        <w:rPr>
          <w:lang w:eastAsia="en-AU"/>
        </w:rPr>
        <w:t>.</w:t>
      </w:r>
    </w:p>
    <w:p w14:paraId="475C19EF" w14:textId="492035DC" w:rsidR="009B6F3C" w:rsidRDefault="006F5988" w:rsidP="006F5988">
      <w:pPr>
        <w:pStyle w:val="Agbodytext"/>
      </w:pPr>
      <w:r w:rsidRPr="005D1C51">
        <w:t>The effect</w:t>
      </w:r>
      <w:r>
        <w:t>s</w:t>
      </w:r>
      <w:r w:rsidRPr="005D1C51">
        <w:t xml:space="preserve"> </w:t>
      </w:r>
      <w:r>
        <w:t xml:space="preserve">that </w:t>
      </w:r>
      <w:r w:rsidRPr="005D1C51">
        <w:t xml:space="preserve">soil pH </w:t>
      </w:r>
      <w:r>
        <w:t xml:space="preserve">has </w:t>
      </w:r>
      <w:r w:rsidRPr="005D1C51">
        <w:t xml:space="preserve">on plants and soil organisms </w:t>
      </w:r>
      <w:r>
        <w:t xml:space="preserve">is caused by the alteration of chemical reactions within the soil as a result of the increase in the pH of the soil </w:t>
      </w:r>
    </w:p>
    <w:p w14:paraId="6620A97A" w14:textId="77777777" w:rsidR="009B6F3C" w:rsidRPr="00A2040A" w:rsidRDefault="009B6F3C" w:rsidP="009B6F3C">
      <w:pPr>
        <w:pStyle w:val="Agbodytext"/>
        <w:rPr>
          <w:rFonts w:cs="Arial"/>
          <w:szCs w:val="18"/>
        </w:rPr>
      </w:pPr>
      <w:r w:rsidRPr="00A2040A">
        <w:rPr>
          <w:rFonts w:cs="Arial"/>
          <w:szCs w:val="18"/>
        </w:rPr>
        <w:t>When soil acidity is increased, soil will have more H</w:t>
      </w:r>
      <w:r w:rsidRPr="00A2040A">
        <w:rPr>
          <w:rFonts w:cs="Arial"/>
          <w:szCs w:val="18"/>
          <w:vertAlign w:val="superscript"/>
        </w:rPr>
        <w:t xml:space="preserve">+ </w:t>
      </w:r>
      <w:r w:rsidRPr="00A2040A">
        <w:rPr>
          <w:rFonts w:cs="Arial"/>
          <w:szCs w:val="18"/>
        </w:rPr>
        <w:t>ions. However, H</w:t>
      </w:r>
      <w:r w:rsidRPr="00A2040A">
        <w:rPr>
          <w:rFonts w:cs="Arial"/>
          <w:szCs w:val="18"/>
          <w:vertAlign w:val="superscript"/>
        </w:rPr>
        <w:t>+</w:t>
      </w:r>
      <w:r w:rsidRPr="00A2040A">
        <w:rPr>
          <w:rFonts w:cs="Arial"/>
          <w:szCs w:val="18"/>
        </w:rPr>
        <w:t xml:space="preserve"> ions are not the main cause of adverse effects on plants. Increasing concentration and mobility of various elements and their chemical reactions involving crucial nutrients cause the most damaging effects in acidic soils. The most obvious effect comes as a result of the reaction of aluminum (as Al </w:t>
      </w:r>
      <w:r w:rsidRPr="00A2040A">
        <w:rPr>
          <w:rFonts w:cs="Arial"/>
          <w:szCs w:val="18"/>
          <w:vertAlign w:val="superscript"/>
        </w:rPr>
        <w:t>3+</w:t>
      </w:r>
      <w:r w:rsidRPr="00A2040A">
        <w:rPr>
          <w:rFonts w:cs="Arial"/>
          <w:szCs w:val="18"/>
        </w:rPr>
        <w:t xml:space="preserve">) with important nutrients such as phosphorus, calcium, and boron to become non-soluble and reduce their availability. In addition, aluminum and manganese can become toxic to sensitive pastures and crops such as Lucerne, phalaris, barley and canola. Pasture species such as subterranean clover, white clover and perennial ryegrass are moderately tolerant to aluminum. Recently concluded studies in south eastern Victoria clearly demonstrate the relationship of soil pH and aluminium concentrations (Figure 1).   </w:t>
      </w:r>
    </w:p>
    <w:p w14:paraId="517E2FB8" w14:textId="3BCC3F25" w:rsidR="00A9227D" w:rsidRDefault="00A9227D">
      <w:pPr>
        <w:spacing w:after="0" w:line="240" w:lineRule="auto"/>
      </w:pPr>
      <w:r>
        <w:br w:type="page"/>
      </w:r>
    </w:p>
    <w:p w14:paraId="6BB7B753" w14:textId="74D2F22C" w:rsidR="00E053F5" w:rsidRDefault="00E053F5" w:rsidP="006F5988">
      <w:pPr>
        <w:pStyle w:val="Agbodytext"/>
      </w:pPr>
      <w:r>
        <w:rPr>
          <w:noProof/>
        </w:rPr>
        <w:lastRenderedPageBreak/>
        <w:drawing>
          <wp:anchor distT="0" distB="0" distL="114300" distR="114300" simplePos="0" relativeHeight="251658240" behindDoc="0" locked="0" layoutInCell="1" allowOverlap="1" wp14:anchorId="5BA16962" wp14:editId="61D99652">
            <wp:simplePos x="447675" y="-876300"/>
            <wp:positionH relativeFrom="margin">
              <wp:align>center</wp:align>
            </wp:positionH>
            <wp:positionV relativeFrom="margin">
              <wp:align>top</wp:align>
            </wp:positionV>
            <wp:extent cx="4762500" cy="2581275"/>
            <wp:effectExtent l="0" t="0" r="0" b="9525"/>
            <wp:wrapSquare wrapText="bothSides"/>
            <wp:docPr id="6" name="Chart 6" descr="Soil pH versus aluminium percentage. Relationship between soil pH and aluminium in soils tested under the GrazFert project. This graph indicates that as the soil acidity is increased the aluminium percentage is also considerably increased.">
              <a:extLst xmlns:a="http://schemas.openxmlformats.org/drawingml/2006/main">
                <a:ext uri="{FF2B5EF4-FFF2-40B4-BE49-F238E27FC236}">
                  <a16:creationId xmlns:a16="http://schemas.microsoft.com/office/drawing/2014/main" id="{5A60E6C6-FBFE-450C-80C3-542938ED0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4FEFA15" w14:textId="41FF5754" w:rsidR="00E053F5" w:rsidRDefault="00E053F5" w:rsidP="006F5988">
      <w:pPr>
        <w:pStyle w:val="Agbodytext"/>
      </w:pPr>
    </w:p>
    <w:p w14:paraId="761BB153" w14:textId="1F6EB437" w:rsidR="00E053F5" w:rsidRDefault="00E053F5" w:rsidP="006F5988">
      <w:pPr>
        <w:pStyle w:val="Agbodytext"/>
      </w:pPr>
    </w:p>
    <w:p w14:paraId="75046D95" w14:textId="45ECD188" w:rsidR="00E053F5" w:rsidRDefault="00E053F5" w:rsidP="006F5988">
      <w:pPr>
        <w:pStyle w:val="Agbodytext"/>
      </w:pPr>
    </w:p>
    <w:p w14:paraId="292F3788" w14:textId="1372302E" w:rsidR="00E053F5" w:rsidRDefault="00E053F5" w:rsidP="006F5988">
      <w:pPr>
        <w:pStyle w:val="Agbodytext"/>
      </w:pPr>
    </w:p>
    <w:p w14:paraId="1EAF0B09" w14:textId="68AF6E10" w:rsidR="00E053F5" w:rsidRDefault="00E053F5" w:rsidP="006F5988">
      <w:pPr>
        <w:pStyle w:val="Agbodytext"/>
      </w:pPr>
    </w:p>
    <w:p w14:paraId="10912269" w14:textId="2AE1CC3F" w:rsidR="00E053F5" w:rsidRDefault="00E053F5" w:rsidP="006F5988">
      <w:pPr>
        <w:pStyle w:val="Agbodytext"/>
      </w:pPr>
    </w:p>
    <w:p w14:paraId="336545E9" w14:textId="4F37B7E3" w:rsidR="00E053F5" w:rsidRDefault="00E053F5" w:rsidP="006F5988">
      <w:pPr>
        <w:pStyle w:val="Agbodytext"/>
      </w:pPr>
    </w:p>
    <w:p w14:paraId="27965ACE" w14:textId="34CE9911" w:rsidR="00E053F5" w:rsidRDefault="00E053F5" w:rsidP="006F5988">
      <w:pPr>
        <w:pStyle w:val="Agbodytext"/>
      </w:pPr>
    </w:p>
    <w:p w14:paraId="2F8186EE" w14:textId="17222E2F" w:rsidR="00E053F5" w:rsidRDefault="00E053F5" w:rsidP="006F5988">
      <w:pPr>
        <w:pStyle w:val="Agbodytext"/>
      </w:pPr>
    </w:p>
    <w:p w14:paraId="15526CC3" w14:textId="16232459" w:rsidR="00E053F5" w:rsidRDefault="00E053F5" w:rsidP="006F5988">
      <w:pPr>
        <w:pStyle w:val="Agbodytext"/>
      </w:pPr>
    </w:p>
    <w:p w14:paraId="5D3623F3" w14:textId="77777777" w:rsidR="00E053F5" w:rsidRDefault="00E053F5" w:rsidP="006F5988">
      <w:pPr>
        <w:pStyle w:val="Agbodytext"/>
      </w:pPr>
    </w:p>
    <w:p w14:paraId="4A7C28D2" w14:textId="77777777" w:rsidR="00E053F5" w:rsidRDefault="00E053F5" w:rsidP="006F5988">
      <w:pPr>
        <w:spacing w:line="360" w:lineRule="auto"/>
        <w:ind w:firstLine="709"/>
        <w:rPr>
          <w:b/>
          <w:bCs/>
          <w:sz w:val="20"/>
          <w:szCs w:val="20"/>
        </w:rPr>
      </w:pPr>
    </w:p>
    <w:p w14:paraId="19C50649" w14:textId="18DEB7B9" w:rsidR="006F5988" w:rsidRPr="00A65166" w:rsidRDefault="006F5988" w:rsidP="0032669C">
      <w:pPr>
        <w:pStyle w:val="normalbeforebullet"/>
        <w:shd w:val="clear" w:color="auto" w:fill="FFFFFF"/>
        <w:spacing w:before="168" w:beforeAutospacing="0" w:after="0" w:afterAutospacing="0" w:line="360" w:lineRule="auto"/>
        <w:ind w:left="1134" w:hanging="283"/>
        <w:jc w:val="center"/>
        <w:rPr>
          <w:rFonts w:asciiTheme="minorHAnsi" w:hAnsiTheme="minorHAnsi" w:cs="Arial"/>
          <w:b/>
          <w:bCs/>
          <w:color w:val="0D0D0D" w:themeColor="text1" w:themeTint="F2"/>
          <w:sz w:val="20"/>
          <w:szCs w:val="22"/>
        </w:rPr>
      </w:pPr>
      <w:r w:rsidRPr="00A65166">
        <w:rPr>
          <w:rFonts w:asciiTheme="minorHAnsi" w:hAnsiTheme="minorHAnsi" w:cs="Arial"/>
          <w:b/>
          <w:bCs/>
          <w:color w:val="0D0D0D" w:themeColor="text1" w:themeTint="F2"/>
          <w:sz w:val="20"/>
          <w:szCs w:val="22"/>
        </w:rPr>
        <w:t>Figure 1. Relationship between soil pH and Al in soils tested under the GrazFert project</w:t>
      </w:r>
    </w:p>
    <w:p w14:paraId="368ED465" w14:textId="2105DD36" w:rsidR="006F5988" w:rsidRDefault="006F5988" w:rsidP="006F5988">
      <w:pPr>
        <w:pStyle w:val="Agbodytext"/>
      </w:pPr>
      <w:r>
        <w:t xml:space="preserve">Also, studies conducted elsewhere have demonstrated the relationship between changing soil pH and the availability of phosphorus as </w:t>
      </w:r>
      <w:r w:rsidR="00D66BFE">
        <w:t xml:space="preserve">shown </w:t>
      </w:r>
      <w:r>
        <w:t xml:space="preserve">in the diagram below (Figure 2). </w:t>
      </w:r>
    </w:p>
    <w:p w14:paraId="2076F12C" w14:textId="14DE5C28" w:rsidR="006F5988" w:rsidRDefault="006F5988" w:rsidP="006F5988">
      <w:pPr>
        <w:spacing w:line="360" w:lineRule="auto"/>
      </w:pPr>
    </w:p>
    <w:p w14:paraId="0E0EED98" w14:textId="26F68184" w:rsidR="006F5988" w:rsidRDefault="00E053F5" w:rsidP="00A9227D">
      <w:pPr>
        <w:spacing w:line="360" w:lineRule="auto"/>
        <w:jc w:val="center"/>
      </w:pPr>
      <w:bookmarkStart w:id="1" w:name="_GoBack"/>
      <w:r>
        <w:rPr>
          <w:noProof/>
        </w:rPr>
        <w:drawing>
          <wp:inline distT="0" distB="0" distL="0" distR="0" wp14:anchorId="59D37640" wp14:editId="008D701C">
            <wp:extent cx="3517900" cy="2663687"/>
            <wp:effectExtent l="0" t="0" r="0" b="3810"/>
            <wp:docPr id="4" name="Picture 4" descr="Amount of Phosphorus fixation in the soil. Phosphorus availability relative to pH ranges. This graph indicates that when soil becomes less acidic (pH = 6 to7) the soil aluminium concentration is reduced and the availability of phosphorus is incre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akthrough NACHURS ETM Polyamine-based Cation Complexing Technolog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4311" cy="2676113"/>
                    </a:xfrm>
                    <a:prstGeom prst="rect">
                      <a:avLst/>
                    </a:prstGeom>
                    <a:noFill/>
                    <a:ln>
                      <a:noFill/>
                    </a:ln>
                  </pic:spPr>
                </pic:pic>
              </a:graphicData>
            </a:graphic>
          </wp:inline>
        </w:drawing>
      </w:r>
      <w:bookmarkEnd w:id="1"/>
    </w:p>
    <w:p w14:paraId="6DBD9411" w14:textId="77777777" w:rsidR="006F5988" w:rsidRDefault="006F5988" w:rsidP="006F5988">
      <w:pPr>
        <w:pStyle w:val="normalbeforebullet"/>
        <w:shd w:val="clear" w:color="auto" w:fill="FFFFFF"/>
        <w:spacing w:before="168" w:beforeAutospacing="0" w:after="0" w:afterAutospacing="0" w:line="360" w:lineRule="auto"/>
        <w:ind w:left="1134"/>
        <w:rPr>
          <w:rFonts w:asciiTheme="minorHAnsi" w:hAnsiTheme="minorHAnsi" w:cs="Arial"/>
          <w:b/>
          <w:bCs/>
          <w:color w:val="0D0D0D" w:themeColor="text1" w:themeTint="F2"/>
          <w:sz w:val="20"/>
          <w:szCs w:val="22"/>
        </w:rPr>
      </w:pPr>
    </w:p>
    <w:p w14:paraId="75C5DC87" w14:textId="77777777" w:rsidR="006F5988" w:rsidRPr="006A1A43" w:rsidRDefault="006F5988" w:rsidP="0032669C">
      <w:pPr>
        <w:pStyle w:val="normalbeforebullet"/>
        <w:shd w:val="clear" w:color="auto" w:fill="FFFFFF"/>
        <w:spacing w:before="168" w:beforeAutospacing="0" w:after="0" w:afterAutospacing="0" w:line="360" w:lineRule="auto"/>
        <w:ind w:left="1134" w:hanging="283"/>
        <w:jc w:val="center"/>
        <w:rPr>
          <w:rFonts w:asciiTheme="minorHAnsi" w:hAnsiTheme="minorHAnsi" w:cs="Arial"/>
          <w:b/>
          <w:bCs/>
          <w:color w:val="0D0D0D" w:themeColor="text1" w:themeTint="F2"/>
          <w:sz w:val="20"/>
          <w:szCs w:val="22"/>
        </w:rPr>
      </w:pPr>
      <w:r w:rsidRPr="006A1A43">
        <w:rPr>
          <w:rFonts w:asciiTheme="minorHAnsi" w:hAnsiTheme="minorHAnsi" w:cs="Arial"/>
          <w:b/>
          <w:bCs/>
          <w:color w:val="0D0D0D" w:themeColor="text1" w:themeTint="F2"/>
          <w:sz w:val="20"/>
          <w:szCs w:val="22"/>
        </w:rPr>
        <w:t>Figure 2. Phosphorus availability relative to pH ranges (adopted from, www. Nachurs-alpine.com)</w:t>
      </w:r>
    </w:p>
    <w:p w14:paraId="42AA14AA" w14:textId="5C93BA94" w:rsidR="00E053F5" w:rsidRDefault="00E053F5">
      <w:pPr>
        <w:spacing w:after="0" w:line="240" w:lineRule="auto"/>
        <w:rPr>
          <w:rFonts w:cstheme="minorHAnsi"/>
          <w:b/>
          <w:bCs/>
        </w:rPr>
      </w:pPr>
      <w:r>
        <w:rPr>
          <w:rFonts w:cstheme="minorHAnsi"/>
          <w:b/>
          <w:bCs/>
        </w:rPr>
        <w:br w:type="page"/>
      </w:r>
    </w:p>
    <w:p w14:paraId="5F45A14E" w14:textId="71AA30AD" w:rsidR="006F5988" w:rsidRDefault="006F5988" w:rsidP="006F5988">
      <w:pPr>
        <w:pStyle w:val="Heading3"/>
      </w:pPr>
      <w:r>
        <w:lastRenderedPageBreak/>
        <w:t>How</w:t>
      </w:r>
      <w:r w:rsidRPr="0065280E">
        <w:t xml:space="preserve"> </w:t>
      </w:r>
      <w:r w:rsidRPr="00EE2937">
        <w:t>does acidification occur and what can be done about it</w:t>
      </w:r>
      <w:r w:rsidR="00D66BFE">
        <w:t>?</w:t>
      </w:r>
    </w:p>
    <w:p w14:paraId="11E78DB6" w14:textId="291A4560" w:rsidR="006F5988" w:rsidRDefault="006F5988" w:rsidP="006F5988">
      <w:pPr>
        <w:pStyle w:val="Agbodytext"/>
      </w:pPr>
      <w:r>
        <w:t xml:space="preserve">As mentioned earlier, acidification is a natural process occurring in high rainfall regions. The rate of acidification is faster in light-textured sandy and sandy loam soils than in heavy clay and clay loam soils. The soils developed on acidic parent materials such as granite are naturally more acidic than soils developed on limestones. In addition to the above factors, intensive farming practices contribute to soil acidity and those practices must be altered to manage the acidification process. </w:t>
      </w:r>
    </w:p>
    <w:p w14:paraId="7B342B52" w14:textId="21055F81" w:rsidR="006F5988" w:rsidRDefault="006F5988" w:rsidP="006F5988">
      <w:pPr>
        <w:spacing w:line="360" w:lineRule="auto"/>
        <w:rPr>
          <w:rFonts w:cstheme="minorHAnsi"/>
        </w:rPr>
      </w:pPr>
      <w:r>
        <w:rPr>
          <w:rFonts w:cstheme="minorHAnsi"/>
        </w:rPr>
        <w:t xml:space="preserve">The following points are just some of the farming practices </w:t>
      </w:r>
      <w:r w:rsidR="000A3248">
        <w:rPr>
          <w:rFonts w:cstheme="minorHAnsi"/>
        </w:rPr>
        <w:t>that can</w:t>
      </w:r>
      <w:r>
        <w:rPr>
          <w:rFonts w:cstheme="minorHAnsi"/>
        </w:rPr>
        <w:t xml:space="preserve"> be adopted to reduce acidification</w:t>
      </w:r>
      <w:r w:rsidR="009F0CDC">
        <w:rPr>
          <w:rFonts w:cstheme="minorHAnsi"/>
        </w:rPr>
        <w:t>:</w:t>
      </w:r>
    </w:p>
    <w:p w14:paraId="1B6EEF70" w14:textId="151583AB" w:rsidR="006F5988" w:rsidRPr="00E852A1" w:rsidRDefault="006F5988" w:rsidP="006F5988">
      <w:pPr>
        <w:pStyle w:val="Agbulletlist"/>
      </w:pPr>
      <w:r w:rsidRPr="00E852A1">
        <w:rPr>
          <w:shd w:val="clear" w:color="auto" w:fill="FFFFFF"/>
        </w:rPr>
        <w:t>Replace ammonium-based fertilizers such as Ammonium sulphate (21</w:t>
      </w:r>
      <w:r>
        <w:rPr>
          <w:shd w:val="clear" w:color="auto" w:fill="FFFFFF"/>
        </w:rPr>
        <w:t xml:space="preserve"> per cent</w:t>
      </w:r>
      <w:r w:rsidRPr="00E852A1">
        <w:rPr>
          <w:shd w:val="clear" w:color="auto" w:fill="FFFFFF"/>
        </w:rPr>
        <w:t xml:space="preserve"> N) and Mono ammonium phosphate (11.3</w:t>
      </w:r>
      <w:r>
        <w:rPr>
          <w:shd w:val="clear" w:color="auto" w:fill="FFFFFF"/>
        </w:rPr>
        <w:t xml:space="preserve"> per cent</w:t>
      </w:r>
      <w:r w:rsidRPr="00E852A1">
        <w:rPr>
          <w:shd w:val="clear" w:color="auto" w:fill="FFFFFF"/>
        </w:rPr>
        <w:t xml:space="preserve"> N) – Ammonium nitrogen is readily converted to NO</w:t>
      </w:r>
      <w:r w:rsidRPr="00E852A1">
        <w:rPr>
          <w:shd w:val="clear" w:color="auto" w:fill="FFFFFF"/>
          <w:vertAlign w:val="subscript"/>
        </w:rPr>
        <w:t>3</w:t>
      </w:r>
      <w:r w:rsidRPr="00E852A1">
        <w:rPr>
          <w:shd w:val="clear" w:color="auto" w:fill="FFFFFF"/>
          <w:vertAlign w:val="superscript"/>
        </w:rPr>
        <w:t>-</w:t>
      </w:r>
      <w:r w:rsidRPr="00E852A1">
        <w:rPr>
          <w:shd w:val="clear" w:color="auto" w:fill="FFFFFF"/>
        </w:rPr>
        <w:t xml:space="preserve"> and H</w:t>
      </w:r>
      <w:r w:rsidRPr="00E852A1">
        <w:rPr>
          <w:shd w:val="clear" w:color="auto" w:fill="FFFFFF"/>
          <w:vertAlign w:val="superscript"/>
        </w:rPr>
        <w:t>+</w:t>
      </w:r>
      <w:r w:rsidRPr="00E852A1">
        <w:rPr>
          <w:shd w:val="clear" w:color="auto" w:fill="FFFFFF"/>
        </w:rPr>
        <w:t xml:space="preserve"> </w:t>
      </w:r>
      <w:r w:rsidR="004A7124">
        <w:rPr>
          <w:shd w:val="clear" w:color="auto" w:fill="FFFFFF"/>
        </w:rPr>
        <w:t xml:space="preserve">ions </w:t>
      </w:r>
      <w:r w:rsidRPr="00E852A1">
        <w:rPr>
          <w:shd w:val="clear" w:color="auto" w:fill="FFFFFF"/>
        </w:rPr>
        <w:t>and if nitrate is not taken-up by plants, it can leach away from the root zone leaving H</w:t>
      </w:r>
      <w:r w:rsidRPr="00E852A1">
        <w:rPr>
          <w:shd w:val="clear" w:color="auto" w:fill="FFFFFF"/>
          <w:vertAlign w:val="superscript"/>
        </w:rPr>
        <w:t xml:space="preserve">+ </w:t>
      </w:r>
      <w:r w:rsidRPr="00E852A1">
        <w:rPr>
          <w:shd w:val="clear" w:color="auto" w:fill="FFFFFF"/>
        </w:rPr>
        <w:t>to increase soil acidity. Instead, use fertili</w:t>
      </w:r>
      <w:r w:rsidR="00937D1C">
        <w:rPr>
          <w:shd w:val="clear" w:color="auto" w:fill="FFFFFF"/>
        </w:rPr>
        <w:t>s</w:t>
      </w:r>
      <w:r w:rsidRPr="00E852A1">
        <w:rPr>
          <w:shd w:val="clear" w:color="auto" w:fill="FFFFFF"/>
        </w:rPr>
        <w:t>ers such as Potassium nitrate (13</w:t>
      </w:r>
      <w:r>
        <w:rPr>
          <w:shd w:val="clear" w:color="auto" w:fill="FFFFFF"/>
        </w:rPr>
        <w:t xml:space="preserve"> per cent</w:t>
      </w:r>
      <w:r w:rsidRPr="00E852A1">
        <w:rPr>
          <w:shd w:val="clear" w:color="auto" w:fill="FFFFFF"/>
        </w:rPr>
        <w:t xml:space="preserve"> N) and Calcium nitrate (15.5</w:t>
      </w:r>
      <w:r>
        <w:rPr>
          <w:shd w:val="clear" w:color="auto" w:fill="FFFFFF"/>
        </w:rPr>
        <w:t xml:space="preserve"> per cent</w:t>
      </w:r>
      <w:r w:rsidRPr="00E852A1">
        <w:rPr>
          <w:shd w:val="clear" w:color="auto" w:fill="FFFFFF"/>
        </w:rPr>
        <w:t xml:space="preserve"> N) </w:t>
      </w:r>
      <w:r>
        <w:rPr>
          <w:shd w:val="clear" w:color="auto" w:fill="FFFFFF"/>
        </w:rPr>
        <w:t>or</w:t>
      </w:r>
      <w:r w:rsidRPr="00E852A1">
        <w:rPr>
          <w:shd w:val="clear" w:color="auto" w:fill="FFFFFF"/>
        </w:rPr>
        <w:t xml:space="preserve"> composted poultry manure (3</w:t>
      </w:r>
      <w:r>
        <w:rPr>
          <w:shd w:val="clear" w:color="auto" w:fill="FFFFFF"/>
        </w:rPr>
        <w:t xml:space="preserve"> per cent</w:t>
      </w:r>
      <w:r w:rsidRPr="00E852A1">
        <w:rPr>
          <w:shd w:val="clear" w:color="auto" w:fill="FFFFFF"/>
        </w:rPr>
        <w:t xml:space="preserve"> N</w:t>
      </w:r>
      <w:r>
        <w:rPr>
          <w:shd w:val="clear" w:color="auto" w:fill="FFFFFF"/>
        </w:rPr>
        <w:t xml:space="preserve"> approx.</w:t>
      </w:r>
      <w:r w:rsidRPr="00E852A1">
        <w:rPr>
          <w:shd w:val="clear" w:color="auto" w:fill="FFFFFF"/>
        </w:rPr>
        <w:t xml:space="preserve">) </w:t>
      </w:r>
      <w:r>
        <w:rPr>
          <w:shd w:val="clear" w:color="auto" w:fill="FFFFFF"/>
        </w:rPr>
        <w:t xml:space="preserve">which </w:t>
      </w:r>
      <w:r w:rsidRPr="00E852A1">
        <w:rPr>
          <w:shd w:val="clear" w:color="auto" w:fill="FFFFFF"/>
        </w:rPr>
        <w:t>do not acidify the soil</w:t>
      </w:r>
      <w:r>
        <w:rPr>
          <w:shd w:val="clear" w:color="auto" w:fill="FFFFFF"/>
        </w:rPr>
        <w:t xml:space="preserve">, </w:t>
      </w:r>
      <w:r w:rsidRPr="00E852A1">
        <w:rPr>
          <w:shd w:val="clear" w:color="auto" w:fill="FFFFFF"/>
        </w:rPr>
        <w:t>while Urea (46</w:t>
      </w:r>
      <w:r>
        <w:rPr>
          <w:shd w:val="clear" w:color="auto" w:fill="FFFFFF"/>
        </w:rPr>
        <w:t xml:space="preserve"> per cent</w:t>
      </w:r>
      <w:r w:rsidRPr="00E852A1">
        <w:rPr>
          <w:shd w:val="clear" w:color="auto" w:fill="FFFFFF"/>
        </w:rPr>
        <w:t xml:space="preserve"> N) and Ammonium nitrate (34</w:t>
      </w:r>
      <w:r>
        <w:rPr>
          <w:shd w:val="clear" w:color="auto" w:fill="FFFFFF"/>
        </w:rPr>
        <w:t xml:space="preserve"> per cent</w:t>
      </w:r>
      <w:r w:rsidRPr="00E852A1">
        <w:rPr>
          <w:shd w:val="clear" w:color="auto" w:fill="FFFFFF"/>
        </w:rPr>
        <w:t xml:space="preserve"> N) slightly acidify the soil. </w:t>
      </w:r>
    </w:p>
    <w:p w14:paraId="09E45EE7" w14:textId="62227780" w:rsidR="006F5988" w:rsidRPr="00E852A1" w:rsidRDefault="006F5988" w:rsidP="006F5988">
      <w:pPr>
        <w:pStyle w:val="Agbulletlist"/>
      </w:pPr>
      <w:r w:rsidRPr="00E852A1">
        <w:rPr>
          <w:shd w:val="clear" w:color="auto" w:fill="FFFFFF"/>
        </w:rPr>
        <w:t>Reduce the removal of farm produce</w:t>
      </w:r>
      <w:r w:rsidR="00134C95">
        <w:rPr>
          <w:shd w:val="clear" w:color="auto" w:fill="FFFFFF"/>
        </w:rPr>
        <w:t>,</w:t>
      </w:r>
      <w:r w:rsidRPr="00E852A1">
        <w:rPr>
          <w:shd w:val="clear" w:color="auto" w:fill="FFFFFF"/>
        </w:rPr>
        <w:t xml:space="preserve"> primarily hay and silage. These materials are </w:t>
      </w:r>
      <w:r>
        <w:rPr>
          <w:shd w:val="clear" w:color="auto" w:fill="FFFFFF"/>
        </w:rPr>
        <w:t xml:space="preserve">alkaline </w:t>
      </w:r>
      <w:r w:rsidRPr="00E852A1">
        <w:rPr>
          <w:shd w:val="clear" w:color="auto" w:fill="FFFFFF"/>
        </w:rPr>
        <w:t>(i.e.</w:t>
      </w:r>
      <w:r>
        <w:rPr>
          <w:shd w:val="clear" w:color="auto" w:fill="FFFFFF"/>
        </w:rPr>
        <w:t xml:space="preserve"> basic</w:t>
      </w:r>
      <w:r w:rsidRPr="00E852A1">
        <w:rPr>
          <w:shd w:val="clear" w:color="auto" w:fill="FFFFFF"/>
        </w:rPr>
        <w:t xml:space="preserve"> pH above 7) and </w:t>
      </w:r>
      <w:r>
        <w:rPr>
          <w:shd w:val="clear" w:color="auto" w:fill="FFFFFF"/>
        </w:rPr>
        <w:t xml:space="preserve">continual </w:t>
      </w:r>
      <w:r w:rsidRPr="00E852A1">
        <w:rPr>
          <w:shd w:val="clear" w:color="auto" w:fill="FFFFFF"/>
        </w:rPr>
        <w:t xml:space="preserve">removal of </w:t>
      </w:r>
      <w:r>
        <w:rPr>
          <w:shd w:val="clear" w:color="auto" w:fill="FFFFFF"/>
        </w:rPr>
        <w:t>hay, silage or fodder crops</w:t>
      </w:r>
      <w:r w:rsidRPr="00E852A1">
        <w:rPr>
          <w:shd w:val="clear" w:color="auto" w:fill="FFFFFF"/>
        </w:rPr>
        <w:t xml:space="preserve"> will leave H</w:t>
      </w:r>
      <w:r w:rsidRPr="00E852A1">
        <w:rPr>
          <w:shd w:val="clear" w:color="auto" w:fill="FFFFFF"/>
          <w:vertAlign w:val="superscript"/>
        </w:rPr>
        <w:t>+</w:t>
      </w:r>
      <w:r w:rsidRPr="00E852A1">
        <w:rPr>
          <w:shd w:val="clear" w:color="auto" w:fill="FFFFFF"/>
        </w:rPr>
        <w:t xml:space="preserve"> in the soil. If the </w:t>
      </w:r>
      <w:r>
        <w:rPr>
          <w:shd w:val="clear" w:color="auto" w:fill="FFFFFF"/>
        </w:rPr>
        <w:t>soil</w:t>
      </w:r>
      <w:r w:rsidRPr="00E852A1">
        <w:rPr>
          <w:shd w:val="clear" w:color="auto" w:fill="FFFFFF"/>
        </w:rPr>
        <w:t xml:space="preserve"> is already acidic, it is advisable to </w:t>
      </w:r>
      <w:r>
        <w:rPr>
          <w:shd w:val="clear" w:color="auto" w:fill="FFFFFF"/>
        </w:rPr>
        <w:t>feed out</w:t>
      </w:r>
      <w:r w:rsidRPr="00E852A1">
        <w:rPr>
          <w:shd w:val="clear" w:color="auto" w:fill="FFFFFF"/>
        </w:rPr>
        <w:t xml:space="preserve"> hay/silage produced </w:t>
      </w:r>
      <w:r>
        <w:rPr>
          <w:shd w:val="clear" w:color="auto" w:fill="FFFFFF"/>
        </w:rPr>
        <w:t xml:space="preserve">from those paddocks </w:t>
      </w:r>
      <w:r w:rsidRPr="00E852A1">
        <w:rPr>
          <w:shd w:val="clear" w:color="auto" w:fill="FFFFFF"/>
        </w:rPr>
        <w:t xml:space="preserve">to feed cattle within </w:t>
      </w:r>
      <w:r>
        <w:rPr>
          <w:shd w:val="clear" w:color="auto" w:fill="FFFFFF"/>
        </w:rPr>
        <w:t>the same farm or paddocks</w:t>
      </w:r>
      <w:r w:rsidR="00261B4F">
        <w:rPr>
          <w:shd w:val="clear" w:color="auto" w:fill="FFFFFF"/>
        </w:rPr>
        <w:t>,</w:t>
      </w:r>
      <w:r>
        <w:rPr>
          <w:shd w:val="clear" w:color="auto" w:fill="FFFFFF"/>
        </w:rPr>
        <w:t xml:space="preserve"> thus returning the nutrients to the soil. </w:t>
      </w:r>
    </w:p>
    <w:p w14:paraId="191974C6" w14:textId="77777777" w:rsidR="006F5988" w:rsidRPr="00E852A1" w:rsidRDefault="006F5988" w:rsidP="006F5988">
      <w:pPr>
        <w:pStyle w:val="Agbulletlist"/>
      </w:pPr>
      <w:r w:rsidRPr="00E852A1">
        <w:t xml:space="preserve">Test the soil </w:t>
      </w:r>
      <w:r>
        <w:t xml:space="preserve">at </w:t>
      </w:r>
      <w:r w:rsidRPr="00E852A1">
        <w:t>regular intervals and if required apply the right rate of lime to correct</w:t>
      </w:r>
      <w:r>
        <w:t xml:space="preserve"> to increase soil pH to more acceptable levels</w:t>
      </w:r>
      <w:r w:rsidRPr="00E852A1">
        <w:t xml:space="preserve">. Regular soil testing, preferably in a laboratory, is important. Portable pH testing kits may indicate whether your soil is acidic or otherwise, but they do not provide </w:t>
      </w:r>
      <w:r>
        <w:t>the accuracy t</w:t>
      </w:r>
      <w:r w:rsidRPr="00E852A1">
        <w:t xml:space="preserve">hat </w:t>
      </w:r>
      <w:r>
        <w:t>is</w:t>
      </w:r>
      <w:r w:rsidRPr="00E852A1">
        <w:t xml:space="preserve"> required to work out how</w:t>
      </w:r>
      <w:r>
        <w:t xml:space="preserve"> much lime needs to be applied</w:t>
      </w:r>
      <w:r w:rsidRPr="00E852A1">
        <w:t xml:space="preserve">. </w:t>
      </w:r>
    </w:p>
    <w:p w14:paraId="00A193E5" w14:textId="2A1E361D" w:rsidR="006F5988" w:rsidRPr="00E852A1" w:rsidRDefault="006F5988" w:rsidP="006F5988">
      <w:pPr>
        <w:pStyle w:val="Agbulletlist"/>
      </w:pPr>
      <w:r w:rsidRPr="00E852A1">
        <w:t>Minimi</w:t>
      </w:r>
      <w:r w:rsidR="005E3722">
        <w:t>s</w:t>
      </w:r>
      <w:r w:rsidRPr="00E852A1">
        <w:t xml:space="preserve">ing the rate of acidification will maintain long-term soil heath as well as </w:t>
      </w:r>
      <w:r w:rsidR="00326FB7">
        <w:t>increas</w:t>
      </w:r>
      <w:r w:rsidR="00BD767D">
        <w:t>e</w:t>
      </w:r>
      <w:r w:rsidRPr="00E852A1">
        <w:t xml:space="preserve"> the nutrient use efficiency of phosphorus fertilizers.</w:t>
      </w:r>
    </w:p>
    <w:p w14:paraId="51B36200" w14:textId="77777777" w:rsidR="006F5988" w:rsidRDefault="006F5988" w:rsidP="006F5988">
      <w:pPr>
        <w:pStyle w:val="Heading3"/>
      </w:pPr>
      <w:r>
        <w:t>Further reading</w:t>
      </w:r>
    </w:p>
    <w:p w14:paraId="69C3817A" w14:textId="77777777" w:rsidR="006F5988" w:rsidRPr="0019282A" w:rsidRDefault="006F5988" w:rsidP="006F5988">
      <w:pPr>
        <w:pStyle w:val="Agbulletlist"/>
        <w:rPr>
          <w:kern w:val="36"/>
        </w:rPr>
      </w:pPr>
      <w:r>
        <w:t xml:space="preserve">Crawford D M et al (2020) Recent trends in soil fertility across the farms of East Gippsland, Soil Research, </w:t>
      </w:r>
      <w:r w:rsidRPr="00A77659">
        <w:rPr>
          <w:rFonts w:ascii="Calibri" w:hAnsi="Calibri" w:cs="Arial"/>
          <w:szCs w:val="23"/>
          <w:shd w:val="clear" w:color="auto" w:fill="FFFFFF"/>
        </w:rPr>
        <w:t>https://doi.org/10.1071/SR19246</w:t>
      </w:r>
    </w:p>
    <w:p w14:paraId="0C4B04B5" w14:textId="77777777" w:rsidR="006F5988" w:rsidRDefault="006F5988" w:rsidP="006F5988">
      <w:pPr>
        <w:pStyle w:val="Agbulletlist"/>
        <w:rPr>
          <w:color w:val="0D0D0D" w:themeColor="text1" w:themeTint="F2"/>
        </w:rPr>
      </w:pPr>
      <w:r>
        <w:rPr>
          <w:color w:val="0D0D0D" w:themeColor="text1" w:themeTint="F2"/>
        </w:rPr>
        <w:t>Fernando, N and Commins, J (2020) Acidity of grazing soils in East Gippsland, Information Note, Topsoils Project, Agriculture Victoria.</w:t>
      </w:r>
    </w:p>
    <w:p w14:paraId="35004FFF" w14:textId="640ECC1A" w:rsidR="006F5988" w:rsidRDefault="006F5988" w:rsidP="006F5988">
      <w:pPr>
        <w:pStyle w:val="Agbulletlist"/>
        <w:rPr>
          <w:color w:val="0D0D0D" w:themeColor="text1" w:themeTint="F2"/>
        </w:rPr>
      </w:pPr>
      <w:r w:rsidRPr="008F02F0">
        <w:rPr>
          <w:color w:val="0D0D0D" w:themeColor="text1" w:themeTint="F2"/>
        </w:rPr>
        <w:t>Baker F (2014) </w:t>
      </w:r>
      <w:r w:rsidRPr="008F02F0">
        <w:rPr>
          <w:color w:val="0D0D0D" w:themeColor="text1" w:themeTint="F2"/>
          <w:kern w:val="36"/>
        </w:rPr>
        <w:t xml:space="preserve">Manage soil acidity – South West Victoria (Lower), </w:t>
      </w:r>
      <w:r w:rsidRPr="008F02F0">
        <w:rPr>
          <w:color w:val="0D0D0D" w:themeColor="text1" w:themeTint="F2"/>
        </w:rPr>
        <w:t>Ever Graze, Future Farm Industries CRC</w:t>
      </w:r>
    </w:p>
    <w:p w14:paraId="6809C4F9" w14:textId="260C8BF3" w:rsidR="006F5988" w:rsidRPr="00D128F6" w:rsidRDefault="006F5988" w:rsidP="006F5988">
      <w:pPr>
        <w:pStyle w:val="Agbulletlist"/>
        <w:rPr>
          <w:kern w:val="36"/>
        </w:rPr>
      </w:pPr>
      <w:r w:rsidRPr="0019282A">
        <w:t>Caritat P de et al</w:t>
      </w:r>
      <w:r w:rsidRPr="0019282A">
        <w:rPr>
          <w:i/>
          <w:iCs/>
        </w:rPr>
        <w:t xml:space="preserve"> (</w:t>
      </w:r>
      <w:r w:rsidRPr="0019282A">
        <w:t xml:space="preserve">2011) The pH of Australian soils: field results from a national survey </w:t>
      </w:r>
      <w:r w:rsidRPr="0019282A">
        <w:rPr>
          <w:i/>
          <w:iCs/>
        </w:rPr>
        <w:t>Soil Research</w:t>
      </w:r>
      <w:r w:rsidRPr="0019282A">
        <w:t>, 49, 173–182</w:t>
      </w:r>
    </w:p>
    <w:p w14:paraId="59D66E68" w14:textId="1F3F747C" w:rsidR="006F5988" w:rsidRPr="009B2998" w:rsidRDefault="006F5988" w:rsidP="006F5988">
      <w:pPr>
        <w:pStyle w:val="Agbulletlist"/>
        <w:rPr>
          <w:rFonts w:cs="Arial"/>
          <w:color w:val="0D0D0D" w:themeColor="text1" w:themeTint="F2"/>
        </w:rPr>
      </w:pPr>
      <w:r w:rsidRPr="00B640D2">
        <w:t xml:space="preserve">Don’t let nitrogen acidify your soil </w:t>
      </w:r>
      <w:r w:rsidR="00C043A9" w:rsidRPr="008F02F0">
        <w:rPr>
          <w:color w:val="0D0D0D" w:themeColor="text1" w:themeTint="F2"/>
          <w:kern w:val="36"/>
        </w:rPr>
        <w:t xml:space="preserve">– </w:t>
      </w:r>
      <w:hyperlink r:id="rId13" w:history="1">
        <w:r w:rsidRPr="00F53CEB">
          <w:rPr>
            <w:rStyle w:val="Hyperlink"/>
            <w:rFonts w:cs="Arial"/>
            <w:szCs w:val="18"/>
          </w:rPr>
          <w:t>https://www.dpi.nsw.gov.au/agriculture /soils/ improvement/n-acidify</w:t>
        </w:r>
      </w:hyperlink>
    </w:p>
    <w:p w14:paraId="5CCC1185" w14:textId="5418F31C" w:rsidR="00732CE9" w:rsidRDefault="004A7E60" w:rsidP="006F5988">
      <w:pPr>
        <w:pStyle w:val="Agbulletlist"/>
      </w:pPr>
      <w:hyperlink r:id="rId14" w:history="1">
        <w:r w:rsidR="000202D6">
          <w:rPr>
            <w:rStyle w:val="Hyperlink"/>
          </w:rPr>
          <w:t>https://www.nachurs-alpine.com/</w:t>
        </w:r>
      </w:hyperlink>
    </w:p>
    <w:p w14:paraId="1699A10B" w14:textId="77777777" w:rsidR="006F5988" w:rsidRPr="00F53CEB" w:rsidRDefault="006F5988" w:rsidP="006F5988">
      <w:pPr>
        <w:pStyle w:val="Agbulletlist"/>
      </w:pPr>
      <w:r w:rsidRPr="00F53CEB">
        <w:t>NLWRA (National Land &amp; Water Resources Audit) (2001) Australian dryland salinity assessment 2000: extent, impacts, processes, monitoring and management options, NLWARA Canberra</w:t>
      </w:r>
    </w:p>
    <w:p w14:paraId="1EC3CEAF" w14:textId="77777777" w:rsidR="006F5988" w:rsidRPr="008F02F0" w:rsidRDefault="006F5988" w:rsidP="00B86CCA">
      <w:pPr>
        <w:pStyle w:val="Agbodytext"/>
      </w:pPr>
    </w:p>
    <w:p w14:paraId="6EF72B26" w14:textId="6B09BCD0" w:rsidR="00BE11C4" w:rsidRPr="00775781" w:rsidRDefault="00BE11C4" w:rsidP="00743D2B">
      <w:pPr>
        <w:pStyle w:val="Agbodytext"/>
        <w:spacing w:after="0"/>
      </w:pPr>
      <w:r>
        <w:t>Neville Fernando</w:t>
      </w:r>
      <w:r w:rsidR="007539FA">
        <w:t xml:space="preserve"> and John Bowman</w:t>
      </w:r>
    </w:p>
    <w:p w14:paraId="1B3F54E8" w14:textId="6F9D6C39" w:rsidR="00BE11C4" w:rsidRPr="00775781" w:rsidRDefault="00BE11C4" w:rsidP="00743D2B">
      <w:pPr>
        <w:pStyle w:val="Agbodytext"/>
        <w:spacing w:after="0"/>
      </w:pPr>
      <w:r w:rsidRPr="00775781">
        <w:t>Agriculture Victoria</w:t>
      </w:r>
    </w:p>
    <w:p w14:paraId="58DCBF14" w14:textId="77777777" w:rsidR="006F5988" w:rsidRPr="00540190" w:rsidRDefault="006F5988" w:rsidP="006F5988">
      <w:pPr>
        <w:pStyle w:val="normalbeforebullet"/>
        <w:shd w:val="clear" w:color="auto" w:fill="FFFFFF"/>
        <w:spacing w:before="168" w:beforeAutospacing="0" w:after="240" w:afterAutospacing="0" w:line="360" w:lineRule="auto"/>
        <w:ind w:left="284"/>
        <w:rPr>
          <w:rFonts w:asciiTheme="minorHAnsi" w:hAnsiTheme="minorHAnsi" w:cstheme="minorHAnsi"/>
          <w:sz w:val="22"/>
          <w:szCs w:val="22"/>
        </w:rPr>
      </w:pPr>
    </w:p>
    <w:p w14:paraId="26C65608" w14:textId="77777777" w:rsidR="00AE3162" w:rsidRDefault="00AE3162" w:rsidP="005A777D">
      <w:pPr>
        <w:pStyle w:val="Agbodytext"/>
      </w:pPr>
    </w:p>
    <w:p w14:paraId="1D4A5FAF" w14:textId="77777777" w:rsidR="00AE3162" w:rsidRPr="00D55D23" w:rsidRDefault="00AE3162" w:rsidP="00E053F5">
      <w:pPr>
        <w:pStyle w:val="Agbodytext"/>
      </w:pPr>
    </w:p>
    <w:sectPr w:rsidR="00AE3162" w:rsidRPr="00D55D23" w:rsidSect="00A9227D">
      <w:headerReference w:type="default" r:id="rId15"/>
      <w:headerReference w:type="first" r:id="rId16"/>
      <w:type w:val="continuous"/>
      <w:pgSz w:w="11900" w:h="16840"/>
      <w:pgMar w:top="2526" w:right="709" w:bottom="1701" w:left="709"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38EE0" w14:textId="77777777" w:rsidR="00375102" w:rsidRDefault="00375102" w:rsidP="008954B2">
      <w:r>
        <w:separator/>
      </w:r>
    </w:p>
  </w:endnote>
  <w:endnote w:type="continuationSeparator" w:id="0">
    <w:p w14:paraId="65E90C60" w14:textId="77777777" w:rsidR="00375102" w:rsidRDefault="00375102" w:rsidP="008954B2">
      <w:r>
        <w:continuationSeparator/>
      </w:r>
    </w:p>
  </w:endnote>
  <w:endnote w:type="continuationNotice" w:id="1">
    <w:p w14:paraId="083DEE74" w14:textId="77777777" w:rsidR="00375102" w:rsidRDefault="00375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D2747" w14:textId="77777777" w:rsidR="00375102" w:rsidRDefault="00375102" w:rsidP="008954B2">
      <w:r>
        <w:separator/>
      </w:r>
    </w:p>
  </w:footnote>
  <w:footnote w:type="continuationSeparator" w:id="0">
    <w:p w14:paraId="2F99F0C3" w14:textId="77777777" w:rsidR="00375102" w:rsidRDefault="00375102" w:rsidP="008954B2">
      <w:r>
        <w:continuationSeparator/>
      </w:r>
    </w:p>
  </w:footnote>
  <w:footnote w:type="continuationNotice" w:id="1">
    <w:p w14:paraId="4E7C3B22" w14:textId="77777777" w:rsidR="00375102" w:rsidRDefault="003751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7E8E" w14:textId="77777777" w:rsidR="00306B4E" w:rsidRDefault="00FF3B94" w:rsidP="00EF3DC4">
    <w:pPr>
      <w:pStyle w:val="Agtitle"/>
    </w:pPr>
    <w:r>
      <w:rPr>
        <w:noProof/>
      </w:rPr>
      <w:drawing>
        <wp:anchor distT="0" distB="0" distL="114300" distR="114300" simplePos="0" relativeHeight="251658241" behindDoc="1" locked="0" layoutInCell="1" allowOverlap="1" wp14:anchorId="7149980F" wp14:editId="6FC2C853">
          <wp:simplePos x="0" y="0"/>
          <wp:positionH relativeFrom="page">
            <wp:align>center</wp:align>
          </wp:positionH>
          <wp:positionV relativeFrom="page">
            <wp:align>top</wp:align>
          </wp:positionV>
          <wp:extent cx="7560000" cy="10685647"/>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10B9" w14:textId="77777777" w:rsidR="006F5988" w:rsidRDefault="00C35141" w:rsidP="006F5988">
    <w:pPr>
      <w:pStyle w:val="Agtitle"/>
    </w:pPr>
    <w:r>
      <w:rPr>
        <w:noProof/>
      </w:rPr>
      <w:drawing>
        <wp:anchor distT="0" distB="0" distL="114300" distR="114300" simplePos="0" relativeHeight="251658240" behindDoc="1" locked="0" layoutInCell="1" allowOverlap="1" wp14:anchorId="61C5421A" wp14:editId="1E8BFA50">
          <wp:simplePos x="0" y="0"/>
          <wp:positionH relativeFrom="page">
            <wp:align>center</wp:align>
          </wp:positionH>
          <wp:positionV relativeFrom="page">
            <wp:align>top</wp:align>
          </wp:positionV>
          <wp:extent cx="7558768" cy="10683905"/>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r w:rsidR="006F5988">
      <w:t xml:space="preserve">Effects of soil acidity on nutrient </w:t>
    </w:r>
  </w:p>
  <w:p w14:paraId="1445BCDF" w14:textId="2D9F3249" w:rsidR="006F5988" w:rsidRDefault="006F5988" w:rsidP="006F5988">
    <w:pPr>
      <w:pStyle w:val="Agtitle"/>
    </w:pPr>
    <w:r>
      <w:t xml:space="preserve">availability of grazing lands in </w:t>
    </w:r>
  </w:p>
  <w:p w14:paraId="106A8A20" w14:textId="66423059" w:rsidR="006F5988" w:rsidRDefault="006F5988" w:rsidP="006F5988">
    <w:pPr>
      <w:pStyle w:val="Agtitle"/>
    </w:pPr>
    <w:r>
      <w:t xml:space="preserve">South Eastern Victoria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9E68EA"/>
    <w:multiLevelType w:val="hybridMultilevel"/>
    <w:tmpl w:val="4210A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D514F7"/>
    <w:multiLevelType w:val="hybridMultilevel"/>
    <w:tmpl w:val="CD4EA2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99136F"/>
    <w:multiLevelType w:val="multilevel"/>
    <w:tmpl w:val="6CC2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6"/>
  </w:num>
  <w:num w:numId="14">
    <w:abstractNumId w:val="14"/>
  </w:num>
  <w:num w:numId="15">
    <w:abstractNumId w:val="1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88"/>
    <w:rsid w:val="00002759"/>
    <w:rsid w:val="000202D6"/>
    <w:rsid w:val="00021B8E"/>
    <w:rsid w:val="0002784E"/>
    <w:rsid w:val="000356FF"/>
    <w:rsid w:val="00044589"/>
    <w:rsid w:val="000479EE"/>
    <w:rsid w:val="00051E50"/>
    <w:rsid w:val="00055C19"/>
    <w:rsid w:val="00071937"/>
    <w:rsid w:val="00081FFD"/>
    <w:rsid w:val="000909F0"/>
    <w:rsid w:val="000A3248"/>
    <w:rsid w:val="000B2D3B"/>
    <w:rsid w:val="000C35AB"/>
    <w:rsid w:val="00133657"/>
    <w:rsid w:val="00134C95"/>
    <w:rsid w:val="00147114"/>
    <w:rsid w:val="001731CD"/>
    <w:rsid w:val="0018080B"/>
    <w:rsid w:val="00180AE6"/>
    <w:rsid w:val="001C74E3"/>
    <w:rsid w:val="001D09F1"/>
    <w:rsid w:val="001D199F"/>
    <w:rsid w:val="001D2031"/>
    <w:rsid w:val="00237CFC"/>
    <w:rsid w:val="0024731F"/>
    <w:rsid w:val="00257C7B"/>
    <w:rsid w:val="00261B4F"/>
    <w:rsid w:val="00262B0D"/>
    <w:rsid w:val="00275313"/>
    <w:rsid w:val="00283833"/>
    <w:rsid w:val="002973B1"/>
    <w:rsid w:val="002A514C"/>
    <w:rsid w:val="002B0C9A"/>
    <w:rsid w:val="00306B4E"/>
    <w:rsid w:val="00320B43"/>
    <w:rsid w:val="00321F07"/>
    <w:rsid w:val="00323A6A"/>
    <w:rsid w:val="0032520A"/>
    <w:rsid w:val="0032669C"/>
    <w:rsid w:val="00326FB7"/>
    <w:rsid w:val="00332A7E"/>
    <w:rsid w:val="00347F3F"/>
    <w:rsid w:val="00375102"/>
    <w:rsid w:val="003825E7"/>
    <w:rsid w:val="00385A69"/>
    <w:rsid w:val="00396312"/>
    <w:rsid w:val="00397B9B"/>
    <w:rsid w:val="003A0AFB"/>
    <w:rsid w:val="003A0C46"/>
    <w:rsid w:val="003A2768"/>
    <w:rsid w:val="003A2C8C"/>
    <w:rsid w:val="003A63C5"/>
    <w:rsid w:val="003B23B6"/>
    <w:rsid w:val="003B79F8"/>
    <w:rsid w:val="003C2E56"/>
    <w:rsid w:val="003C4A74"/>
    <w:rsid w:val="003D032C"/>
    <w:rsid w:val="003E59F9"/>
    <w:rsid w:val="003F24C6"/>
    <w:rsid w:val="00403238"/>
    <w:rsid w:val="00416217"/>
    <w:rsid w:val="00445648"/>
    <w:rsid w:val="00480133"/>
    <w:rsid w:val="00480769"/>
    <w:rsid w:val="00490981"/>
    <w:rsid w:val="004A0002"/>
    <w:rsid w:val="004A2968"/>
    <w:rsid w:val="004A7124"/>
    <w:rsid w:val="004A7E60"/>
    <w:rsid w:val="004B27D8"/>
    <w:rsid w:val="004C5198"/>
    <w:rsid w:val="004E7A15"/>
    <w:rsid w:val="00553AEC"/>
    <w:rsid w:val="005715B8"/>
    <w:rsid w:val="005822F6"/>
    <w:rsid w:val="00590E4A"/>
    <w:rsid w:val="005A0417"/>
    <w:rsid w:val="005A777D"/>
    <w:rsid w:val="005D35C4"/>
    <w:rsid w:val="005D37DA"/>
    <w:rsid w:val="005D47E6"/>
    <w:rsid w:val="005D6D23"/>
    <w:rsid w:val="005D735D"/>
    <w:rsid w:val="005E07E2"/>
    <w:rsid w:val="005E3722"/>
    <w:rsid w:val="005F753F"/>
    <w:rsid w:val="00606095"/>
    <w:rsid w:val="006210AB"/>
    <w:rsid w:val="00624BBC"/>
    <w:rsid w:val="006351F3"/>
    <w:rsid w:val="00651785"/>
    <w:rsid w:val="006522BA"/>
    <w:rsid w:val="0066292A"/>
    <w:rsid w:val="0066525E"/>
    <w:rsid w:val="00681280"/>
    <w:rsid w:val="006837BC"/>
    <w:rsid w:val="00694091"/>
    <w:rsid w:val="006A6409"/>
    <w:rsid w:val="006B4F74"/>
    <w:rsid w:val="006D07C3"/>
    <w:rsid w:val="006D60BF"/>
    <w:rsid w:val="006F5988"/>
    <w:rsid w:val="0070447E"/>
    <w:rsid w:val="00714F3E"/>
    <w:rsid w:val="007219EC"/>
    <w:rsid w:val="00732CE9"/>
    <w:rsid w:val="0073577E"/>
    <w:rsid w:val="0074385E"/>
    <w:rsid w:val="00743D2B"/>
    <w:rsid w:val="007539FA"/>
    <w:rsid w:val="00763A68"/>
    <w:rsid w:val="00766FE2"/>
    <w:rsid w:val="00775140"/>
    <w:rsid w:val="00775C11"/>
    <w:rsid w:val="0079054C"/>
    <w:rsid w:val="00792085"/>
    <w:rsid w:val="0079481F"/>
    <w:rsid w:val="007B43D8"/>
    <w:rsid w:val="007F610A"/>
    <w:rsid w:val="00804CDA"/>
    <w:rsid w:val="0081318E"/>
    <w:rsid w:val="00833E2D"/>
    <w:rsid w:val="00837336"/>
    <w:rsid w:val="0086129D"/>
    <w:rsid w:val="00863042"/>
    <w:rsid w:val="00865254"/>
    <w:rsid w:val="008772FE"/>
    <w:rsid w:val="00886DB5"/>
    <w:rsid w:val="008954B2"/>
    <w:rsid w:val="008A7B31"/>
    <w:rsid w:val="008B0925"/>
    <w:rsid w:val="008B3D9D"/>
    <w:rsid w:val="008B7B9E"/>
    <w:rsid w:val="008C3756"/>
    <w:rsid w:val="008C5966"/>
    <w:rsid w:val="008C6444"/>
    <w:rsid w:val="008D04F6"/>
    <w:rsid w:val="008D4A21"/>
    <w:rsid w:val="008E6297"/>
    <w:rsid w:val="00901EEA"/>
    <w:rsid w:val="00902466"/>
    <w:rsid w:val="0093666F"/>
    <w:rsid w:val="00937D1C"/>
    <w:rsid w:val="00980445"/>
    <w:rsid w:val="009A3F3E"/>
    <w:rsid w:val="009A6C18"/>
    <w:rsid w:val="009B6F3C"/>
    <w:rsid w:val="009D2F90"/>
    <w:rsid w:val="009D6336"/>
    <w:rsid w:val="009D7DA8"/>
    <w:rsid w:val="009E093A"/>
    <w:rsid w:val="009E646E"/>
    <w:rsid w:val="009F0CDC"/>
    <w:rsid w:val="00A038AC"/>
    <w:rsid w:val="00A1528A"/>
    <w:rsid w:val="00A25B3B"/>
    <w:rsid w:val="00A314C5"/>
    <w:rsid w:val="00A36D42"/>
    <w:rsid w:val="00A37FCA"/>
    <w:rsid w:val="00A47C38"/>
    <w:rsid w:val="00A63AFC"/>
    <w:rsid w:val="00A65166"/>
    <w:rsid w:val="00A661F1"/>
    <w:rsid w:val="00A676B7"/>
    <w:rsid w:val="00A80AF4"/>
    <w:rsid w:val="00A812C0"/>
    <w:rsid w:val="00A91191"/>
    <w:rsid w:val="00A9227D"/>
    <w:rsid w:val="00A93FB6"/>
    <w:rsid w:val="00A97142"/>
    <w:rsid w:val="00AB5432"/>
    <w:rsid w:val="00AB7D71"/>
    <w:rsid w:val="00AE3162"/>
    <w:rsid w:val="00AE78E9"/>
    <w:rsid w:val="00B01D4C"/>
    <w:rsid w:val="00B179B3"/>
    <w:rsid w:val="00B17B29"/>
    <w:rsid w:val="00B347F1"/>
    <w:rsid w:val="00B43DB8"/>
    <w:rsid w:val="00B47936"/>
    <w:rsid w:val="00B54184"/>
    <w:rsid w:val="00B67908"/>
    <w:rsid w:val="00B7028A"/>
    <w:rsid w:val="00B86CCA"/>
    <w:rsid w:val="00BC7343"/>
    <w:rsid w:val="00BD58AD"/>
    <w:rsid w:val="00BD5E36"/>
    <w:rsid w:val="00BD767D"/>
    <w:rsid w:val="00BE11C4"/>
    <w:rsid w:val="00BE2C54"/>
    <w:rsid w:val="00C01CFE"/>
    <w:rsid w:val="00C043A9"/>
    <w:rsid w:val="00C124F1"/>
    <w:rsid w:val="00C14E78"/>
    <w:rsid w:val="00C21C0E"/>
    <w:rsid w:val="00C35141"/>
    <w:rsid w:val="00C3618D"/>
    <w:rsid w:val="00C433B1"/>
    <w:rsid w:val="00C44299"/>
    <w:rsid w:val="00C45B22"/>
    <w:rsid w:val="00C73391"/>
    <w:rsid w:val="00C8212B"/>
    <w:rsid w:val="00C97C56"/>
    <w:rsid w:val="00CA63CF"/>
    <w:rsid w:val="00CD0EC4"/>
    <w:rsid w:val="00CD566D"/>
    <w:rsid w:val="00CF0624"/>
    <w:rsid w:val="00D33A77"/>
    <w:rsid w:val="00D35FD8"/>
    <w:rsid w:val="00D55D23"/>
    <w:rsid w:val="00D56E64"/>
    <w:rsid w:val="00D66BFE"/>
    <w:rsid w:val="00D87594"/>
    <w:rsid w:val="00DB160E"/>
    <w:rsid w:val="00DC3C90"/>
    <w:rsid w:val="00DD35EE"/>
    <w:rsid w:val="00DE2CFA"/>
    <w:rsid w:val="00DE4095"/>
    <w:rsid w:val="00DF01D4"/>
    <w:rsid w:val="00E053F5"/>
    <w:rsid w:val="00E21EE4"/>
    <w:rsid w:val="00E22887"/>
    <w:rsid w:val="00E25922"/>
    <w:rsid w:val="00E31E60"/>
    <w:rsid w:val="00E43197"/>
    <w:rsid w:val="00E55B1A"/>
    <w:rsid w:val="00E565FB"/>
    <w:rsid w:val="00E648B4"/>
    <w:rsid w:val="00E713AB"/>
    <w:rsid w:val="00E776E5"/>
    <w:rsid w:val="00E83119"/>
    <w:rsid w:val="00E833BA"/>
    <w:rsid w:val="00E9080D"/>
    <w:rsid w:val="00E917C1"/>
    <w:rsid w:val="00EC56EC"/>
    <w:rsid w:val="00EC7A31"/>
    <w:rsid w:val="00EF3DC4"/>
    <w:rsid w:val="00F069A0"/>
    <w:rsid w:val="00F15010"/>
    <w:rsid w:val="00F42050"/>
    <w:rsid w:val="00F42C67"/>
    <w:rsid w:val="00F47C7B"/>
    <w:rsid w:val="00F53CEB"/>
    <w:rsid w:val="00F6072B"/>
    <w:rsid w:val="00F63690"/>
    <w:rsid w:val="00F71FEF"/>
    <w:rsid w:val="00F722D7"/>
    <w:rsid w:val="00F7492C"/>
    <w:rsid w:val="00F8275D"/>
    <w:rsid w:val="00FA5D66"/>
    <w:rsid w:val="00FC4F23"/>
    <w:rsid w:val="00FD3AD5"/>
    <w:rsid w:val="00FE058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BB31A"/>
  <w15:docId w15:val="{1D61E3F0-644A-40F1-BC4B-7288D355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customStyle="1" w:styleId="normalbeforebullet">
    <w:name w:val="normalbeforebullet"/>
    <w:basedOn w:val="Normal"/>
    <w:rsid w:val="006F5988"/>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styleId="ListParagraph">
    <w:name w:val="List Paragraph"/>
    <w:basedOn w:val="Normal"/>
    <w:uiPriority w:val="34"/>
    <w:qFormat/>
    <w:rsid w:val="006F5988"/>
    <w:pPr>
      <w:spacing w:after="160" w:line="259" w:lineRule="auto"/>
      <w:ind w:left="720"/>
      <w:contextualSpacing/>
    </w:pPr>
    <w:rPr>
      <w:rFonts w:asciiTheme="minorHAnsi" w:hAnsiTheme="minorHAnsi" w:cstheme="minorBidi"/>
      <w:color w:val="auto"/>
      <w:sz w:val="22"/>
      <w:szCs w:val="22"/>
      <w:lang w:val="en-AU"/>
    </w:rPr>
  </w:style>
  <w:style w:type="character" w:styleId="Hyperlink">
    <w:name w:val="Hyperlink"/>
    <w:basedOn w:val="DefaultParagraphFont"/>
    <w:uiPriority w:val="99"/>
    <w:unhideWhenUsed/>
    <w:rsid w:val="006F5988"/>
    <w:rPr>
      <w:color w:val="0000FF"/>
      <w:u w:val="single"/>
    </w:rPr>
  </w:style>
  <w:style w:type="paragraph" w:styleId="BalloonText">
    <w:name w:val="Balloon Text"/>
    <w:basedOn w:val="Normal"/>
    <w:link w:val="BalloonTextChar"/>
    <w:uiPriority w:val="99"/>
    <w:semiHidden/>
    <w:unhideWhenUsed/>
    <w:rsid w:val="00E053F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053F5"/>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E31E60"/>
    <w:rPr>
      <w:sz w:val="16"/>
      <w:szCs w:val="16"/>
    </w:rPr>
  </w:style>
  <w:style w:type="paragraph" w:styleId="CommentText">
    <w:name w:val="annotation text"/>
    <w:basedOn w:val="Normal"/>
    <w:link w:val="CommentTextChar"/>
    <w:uiPriority w:val="99"/>
    <w:semiHidden/>
    <w:unhideWhenUsed/>
    <w:rsid w:val="00E31E60"/>
    <w:pPr>
      <w:spacing w:line="240" w:lineRule="auto"/>
    </w:pPr>
    <w:rPr>
      <w:sz w:val="20"/>
      <w:szCs w:val="20"/>
    </w:rPr>
  </w:style>
  <w:style w:type="character" w:customStyle="1" w:styleId="CommentTextChar">
    <w:name w:val="Comment Text Char"/>
    <w:basedOn w:val="DefaultParagraphFont"/>
    <w:link w:val="CommentText"/>
    <w:uiPriority w:val="99"/>
    <w:semiHidden/>
    <w:rsid w:val="00E31E60"/>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31E60"/>
    <w:rPr>
      <w:b/>
      <w:bCs/>
    </w:rPr>
  </w:style>
  <w:style w:type="character" w:customStyle="1" w:styleId="CommentSubjectChar">
    <w:name w:val="Comment Subject Char"/>
    <w:basedOn w:val="CommentTextChar"/>
    <w:link w:val="CommentSubject"/>
    <w:uiPriority w:val="99"/>
    <w:semiHidden/>
    <w:rsid w:val="00E31E60"/>
    <w:rPr>
      <w:rFonts w:ascii="Arial" w:hAnsi="Arial" w:cs="VIC-SemiBold"/>
      <w:b/>
      <w:bCs/>
      <w:color w:val="000000" w:themeColor="text1"/>
      <w:sz w:val="20"/>
      <w:szCs w:val="20"/>
    </w:rPr>
  </w:style>
  <w:style w:type="paragraph" w:styleId="Revision">
    <w:name w:val="Revision"/>
    <w:hidden/>
    <w:uiPriority w:val="99"/>
    <w:semiHidden/>
    <w:rsid w:val="00A37FCA"/>
    <w:rPr>
      <w:rFonts w:ascii="Arial" w:hAnsi="Arial" w:cs="VIC-SemiBold"/>
      <w:color w:val="000000" w:themeColor="text1"/>
      <w:sz w:val="1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i.nsw.gov.au/agriculture%20/soils/%20improvement/n-acidif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hurs-alp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anux\Downloads\Agriculture-Victoria_fact_sheet_narrow_header_green%20(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bg2">
                    <a:lumMod val="10000"/>
                  </a:schemeClr>
                </a:solidFill>
                <a:latin typeface="+mn-lt"/>
                <a:ea typeface="+mn-ea"/>
                <a:cs typeface="+mn-cs"/>
              </a:defRPr>
            </a:pPr>
            <a:r>
              <a:rPr lang="en-AU" sz="1200" b="1" i="0" baseline="0">
                <a:solidFill>
                  <a:schemeClr val="bg2">
                    <a:lumMod val="10000"/>
                  </a:schemeClr>
                </a:solidFill>
              </a:rPr>
              <a:t>Soil pH Vs Aluminium%</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bg2">
                  <a:lumMod val="10000"/>
                </a:schemeClr>
              </a:solidFill>
              <a:latin typeface="+mn-lt"/>
              <a:ea typeface="+mn-ea"/>
              <a:cs typeface="+mn-cs"/>
            </a:defRPr>
          </a:pPr>
          <a:endParaRPr lang="en-US"/>
        </a:p>
      </c:txPr>
    </c:title>
    <c:autoTitleDeleted val="0"/>
    <c:plotArea>
      <c:layout/>
      <c:barChart>
        <c:barDir val="col"/>
        <c:grouping val="clustered"/>
        <c:varyColors val="0"/>
        <c:ser>
          <c:idx val="1"/>
          <c:order val="1"/>
          <c:tx>
            <c:strRef>
              <c:f>'[Aluminium Vs acidity graph .xlsx]Sheet1'!$J$1</c:f>
              <c:strCache>
                <c:ptCount val="1"/>
                <c:pt idx="0">
                  <c:v>Al%</c:v>
                </c:pt>
              </c:strCache>
            </c:strRef>
          </c:tx>
          <c:spPr>
            <a:solidFill>
              <a:srgbClr val="FF0000"/>
            </a:solidFill>
            <a:ln>
              <a:noFill/>
            </a:ln>
            <a:effectLst/>
          </c:spPr>
          <c:invertIfNegative val="0"/>
          <c:val>
            <c:numRef>
              <c:f>'[Aluminium Vs acidity graph .xlsx]Sheet1'!$J$2:$J$92</c:f>
              <c:numCache>
                <c:formatCode>General</c:formatCode>
                <c:ptCount val="91"/>
                <c:pt idx="0">
                  <c:v>0</c:v>
                </c:pt>
                <c:pt idx="1">
                  <c:v>0.21</c:v>
                </c:pt>
                <c:pt idx="2">
                  <c:v>0.9</c:v>
                </c:pt>
                <c:pt idx="3">
                  <c:v>0.9</c:v>
                </c:pt>
                <c:pt idx="4">
                  <c:v>0</c:v>
                </c:pt>
                <c:pt idx="5">
                  <c:v>0</c:v>
                </c:pt>
                <c:pt idx="6">
                  <c:v>0</c:v>
                </c:pt>
                <c:pt idx="7">
                  <c:v>1</c:v>
                </c:pt>
                <c:pt idx="8">
                  <c:v>0.9</c:v>
                </c:pt>
                <c:pt idx="9">
                  <c:v>0.65</c:v>
                </c:pt>
                <c:pt idx="10">
                  <c:v>2</c:v>
                </c:pt>
                <c:pt idx="11">
                  <c:v>0</c:v>
                </c:pt>
                <c:pt idx="12">
                  <c:v>0.9</c:v>
                </c:pt>
                <c:pt idx="13">
                  <c:v>0</c:v>
                </c:pt>
                <c:pt idx="14">
                  <c:v>1</c:v>
                </c:pt>
                <c:pt idx="15">
                  <c:v>0.9</c:v>
                </c:pt>
                <c:pt idx="16">
                  <c:v>0</c:v>
                </c:pt>
                <c:pt idx="17">
                  <c:v>1.77</c:v>
                </c:pt>
                <c:pt idx="18">
                  <c:v>0.9</c:v>
                </c:pt>
                <c:pt idx="19">
                  <c:v>0.9</c:v>
                </c:pt>
                <c:pt idx="20">
                  <c:v>0</c:v>
                </c:pt>
                <c:pt idx="21">
                  <c:v>0.9</c:v>
                </c:pt>
                <c:pt idx="22">
                  <c:v>0</c:v>
                </c:pt>
                <c:pt idx="23">
                  <c:v>0</c:v>
                </c:pt>
                <c:pt idx="24">
                  <c:v>0</c:v>
                </c:pt>
                <c:pt idx="25">
                  <c:v>0</c:v>
                </c:pt>
                <c:pt idx="26">
                  <c:v>0.9</c:v>
                </c:pt>
                <c:pt idx="27">
                  <c:v>0.9</c:v>
                </c:pt>
                <c:pt idx="28">
                  <c:v>0.1</c:v>
                </c:pt>
                <c:pt idx="29">
                  <c:v>0.9</c:v>
                </c:pt>
                <c:pt idx="30">
                  <c:v>0</c:v>
                </c:pt>
                <c:pt idx="31">
                  <c:v>0</c:v>
                </c:pt>
                <c:pt idx="32">
                  <c:v>0.91</c:v>
                </c:pt>
                <c:pt idx="33">
                  <c:v>1</c:v>
                </c:pt>
                <c:pt idx="34">
                  <c:v>0</c:v>
                </c:pt>
                <c:pt idx="35">
                  <c:v>2</c:v>
                </c:pt>
                <c:pt idx="36">
                  <c:v>0</c:v>
                </c:pt>
                <c:pt idx="37">
                  <c:v>0.9</c:v>
                </c:pt>
                <c:pt idx="38">
                  <c:v>0.82</c:v>
                </c:pt>
                <c:pt idx="39">
                  <c:v>0.62</c:v>
                </c:pt>
                <c:pt idx="40">
                  <c:v>3</c:v>
                </c:pt>
                <c:pt idx="41">
                  <c:v>0</c:v>
                </c:pt>
                <c:pt idx="42">
                  <c:v>4</c:v>
                </c:pt>
                <c:pt idx="43">
                  <c:v>1.6</c:v>
                </c:pt>
                <c:pt idx="44">
                  <c:v>0</c:v>
                </c:pt>
                <c:pt idx="45">
                  <c:v>2.68</c:v>
                </c:pt>
                <c:pt idx="46">
                  <c:v>2.02</c:v>
                </c:pt>
                <c:pt idx="47">
                  <c:v>6.7</c:v>
                </c:pt>
                <c:pt idx="48">
                  <c:v>4.5999999999999996</c:v>
                </c:pt>
                <c:pt idx="49">
                  <c:v>7.13</c:v>
                </c:pt>
                <c:pt idx="50">
                  <c:v>2.4</c:v>
                </c:pt>
                <c:pt idx="51">
                  <c:v>4.8</c:v>
                </c:pt>
                <c:pt idx="52">
                  <c:v>3</c:v>
                </c:pt>
                <c:pt idx="54">
                  <c:v>1.2</c:v>
                </c:pt>
                <c:pt idx="55">
                  <c:v>4.93</c:v>
                </c:pt>
                <c:pt idx="56">
                  <c:v>7.7</c:v>
                </c:pt>
                <c:pt idx="57">
                  <c:v>0.51</c:v>
                </c:pt>
                <c:pt idx="58">
                  <c:v>2</c:v>
                </c:pt>
                <c:pt idx="59">
                  <c:v>4</c:v>
                </c:pt>
                <c:pt idx="60">
                  <c:v>8</c:v>
                </c:pt>
                <c:pt idx="62">
                  <c:v>2.9</c:v>
                </c:pt>
                <c:pt idx="63">
                  <c:v>4.4000000000000004</c:v>
                </c:pt>
                <c:pt idx="64">
                  <c:v>6.9</c:v>
                </c:pt>
                <c:pt idx="65">
                  <c:v>2.6</c:v>
                </c:pt>
                <c:pt idx="66">
                  <c:v>3.98</c:v>
                </c:pt>
                <c:pt idx="67">
                  <c:v>8.1</c:v>
                </c:pt>
                <c:pt idx="68">
                  <c:v>8.6</c:v>
                </c:pt>
                <c:pt idx="69">
                  <c:v>5.7</c:v>
                </c:pt>
                <c:pt idx="70">
                  <c:v>5.6</c:v>
                </c:pt>
                <c:pt idx="71">
                  <c:v>9.4499999999999993</c:v>
                </c:pt>
                <c:pt idx="72">
                  <c:v>5.7</c:v>
                </c:pt>
                <c:pt idx="73">
                  <c:v>8.9</c:v>
                </c:pt>
                <c:pt idx="74">
                  <c:v>11.31</c:v>
                </c:pt>
                <c:pt idx="75">
                  <c:v>13.2</c:v>
                </c:pt>
                <c:pt idx="76">
                  <c:v>6</c:v>
                </c:pt>
                <c:pt idx="77">
                  <c:v>13.4</c:v>
                </c:pt>
                <c:pt idx="78">
                  <c:v>12.7</c:v>
                </c:pt>
                <c:pt idx="79">
                  <c:v>31</c:v>
                </c:pt>
                <c:pt idx="80">
                  <c:v>18.7</c:v>
                </c:pt>
                <c:pt idx="81">
                  <c:v>20.7</c:v>
                </c:pt>
                <c:pt idx="82">
                  <c:v>13</c:v>
                </c:pt>
                <c:pt idx="83">
                  <c:v>13</c:v>
                </c:pt>
                <c:pt idx="84">
                  <c:v>22.9</c:v>
                </c:pt>
                <c:pt idx="85">
                  <c:v>7.9</c:v>
                </c:pt>
                <c:pt idx="86">
                  <c:v>11</c:v>
                </c:pt>
                <c:pt idx="87">
                  <c:v>7</c:v>
                </c:pt>
                <c:pt idx="88">
                  <c:v>16</c:v>
                </c:pt>
                <c:pt idx="89">
                  <c:v>20</c:v>
                </c:pt>
                <c:pt idx="90">
                  <c:v>17.2</c:v>
                </c:pt>
              </c:numCache>
            </c:numRef>
          </c:val>
          <c:extLst>
            <c:ext xmlns:c16="http://schemas.microsoft.com/office/drawing/2014/chart" uri="{C3380CC4-5D6E-409C-BE32-E72D297353CC}">
              <c16:uniqueId val="{00000000-E3D5-406C-8E10-1020EE608E0A}"/>
            </c:ext>
          </c:extLst>
        </c:ser>
        <c:dLbls>
          <c:showLegendKey val="0"/>
          <c:showVal val="0"/>
          <c:showCatName val="0"/>
          <c:showSerName val="0"/>
          <c:showPercent val="0"/>
          <c:showBubbleSize val="0"/>
        </c:dLbls>
        <c:gapWidth val="100"/>
        <c:axId val="718319432"/>
        <c:axId val="718317792"/>
      </c:barChart>
      <c:lineChart>
        <c:grouping val="standard"/>
        <c:varyColors val="0"/>
        <c:ser>
          <c:idx val="2"/>
          <c:order val="2"/>
          <c:tx>
            <c:strRef>
              <c:f>'[Aluminium Vs acidity graph .xlsx]Sheet1'!$K$1</c:f>
              <c:strCache>
                <c:ptCount val="1"/>
                <c:pt idx="0">
                  <c:v>Accpt. Level</c:v>
                </c:pt>
              </c:strCache>
            </c:strRef>
          </c:tx>
          <c:spPr>
            <a:ln w="12700" cap="rnd">
              <a:solidFill>
                <a:srgbClr val="7030A0"/>
              </a:solidFill>
              <a:prstDash val="sysDash"/>
              <a:round/>
            </a:ln>
            <a:effectLst/>
          </c:spPr>
          <c:marker>
            <c:symbol val="none"/>
          </c:marker>
          <c:val>
            <c:numRef>
              <c:f>'[Aluminium Vs acidity graph .xlsx]Sheet1'!$K$2:$K$92</c:f>
              <c:numCache>
                <c:formatCode>General</c:formatCode>
                <c:ptCount val="9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numCache>
            </c:numRef>
          </c:val>
          <c:smooth val="0"/>
          <c:extLst>
            <c:ext xmlns:c16="http://schemas.microsoft.com/office/drawing/2014/chart" uri="{C3380CC4-5D6E-409C-BE32-E72D297353CC}">
              <c16:uniqueId val="{00000001-E3D5-406C-8E10-1020EE608E0A}"/>
            </c:ext>
          </c:extLst>
        </c:ser>
        <c:dLbls>
          <c:showLegendKey val="0"/>
          <c:showVal val="0"/>
          <c:showCatName val="0"/>
          <c:showSerName val="0"/>
          <c:showPercent val="0"/>
          <c:showBubbleSize val="0"/>
        </c:dLbls>
        <c:marker val="1"/>
        <c:smooth val="0"/>
        <c:axId val="718319432"/>
        <c:axId val="718317792"/>
      </c:lineChart>
      <c:lineChart>
        <c:grouping val="standard"/>
        <c:varyColors val="0"/>
        <c:ser>
          <c:idx val="0"/>
          <c:order val="0"/>
          <c:tx>
            <c:strRef>
              <c:f>'[Aluminium Vs acidity graph .xlsx]Sheet1'!$I$1</c:f>
              <c:strCache>
                <c:ptCount val="1"/>
                <c:pt idx="0">
                  <c:v>pH(CaCl2)</c:v>
                </c:pt>
              </c:strCache>
            </c:strRef>
          </c:tx>
          <c:spPr>
            <a:ln w="19050" cap="rnd">
              <a:solidFill>
                <a:schemeClr val="accent1"/>
              </a:solidFill>
              <a:round/>
            </a:ln>
            <a:effectLst/>
          </c:spPr>
          <c:marker>
            <c:symbol val="none"/>
          </c:marker>
          <c:dPt>
            <c:idx val="43"/>
            <c:marker>
              <c:symbol val="none"/>
            </c:marker>
            <c:bubble3D val="0"/>
            <c:spPr>
              <a:ln w="19050" cap="rnd">
                <a:solidFill>
                  <a:schemeClr val="accent1">
                    <a:lumMod val="50000"/>
                  </a:schemeClr>
                </a:solidFill>
                <a:round/>
              </a:ln>
              <a:effectLst/>
            </c:spPr>
            <c:extLst>
              <c:ext xmlns:c16="http://schemas.microsoft.com/office/drawing/2014/chart" uri="{C3380CC4-5D6E-409C-BE32-E72D297353CC}">
                <c16:uniqueId val="{00000003-E3D5-406C-8E10-1020EE608E0A}"/>
              </c:ext>
            </c:extLst>
          </c:dPt>
          <c:val>
            <c:numRef>
              <c:f>'[Aluminium Vs acidity graph .xlsx]Sheet1'!$I$2:$I$92</c:f>
              <c:numCache>
                <c:formatCode>General</c:formatCode>
                <c:ptCount val="91"/>
                <c:pt idx="0">
                  <c:v>6.1</c:v>
                </c:pt>
                <c:pt idx="1">
                  <c:v>6</c:v>
                </c:pt>
                <c:pt idx="2">
                  <c:v>5.9</c:v>
                </c:pt>
                <c:pt idx="3">
                  <c:v>5.8</c:v>
                </c:pt>
                <c:pt idx="4">
                  <c:v>5.8</c:v>
                </c:pt>
                <c:pt idx="5">
                  <c:v>5.8</c:v>
                </c:pt>
                <c:pt idx="6">
                  <c:v>5.7</c:v>
                </c:pt>
                <c:pt idx="7">
                  <c:v>5.6</c:v>
                </c:pt>
                <c:pt idx="8">
                  <c:v>5.6</c:v>
                </c:pt>
                <c:pt idx="9">
                  <c:v>5.6</c:v>
                </c:pt>
                <c:pt idx="10">
                  <c:v>5.6</c:v>
                </c:pt>
                <c:pt idx="11">
                  <c:v>5.5</c:v>
                </c:pt>
                <c:pt idx="12">
                  <c:v>5.5</c:v>
                </c:pt>
                <c:pt idx="13">
                  <c:v>5.5</c:v>
                </c:pt>
                <c:pt idx="14">
                  <c:v>5.4</c:v>
                </c:pt>
                <c:pt idx="15">
                  <c:v>5.4</c:v>
                </c:pt>
                <c:pt idx="16">
                  <c:v>5.4</c:v>
                </c:pt>
                <c:pt idx="17">
                  <c:v>5.3</c:v>
                </c:pt>
                <c:pt idx="18">
                  <c:v>5.3</c:v>
                </c:pt>
                <c:pt idx="19">
                  <c:v>5.3</c:v>
                </c:pt>
                <c:pt idx="20">
                  <c:v>5.3</c:v>
                </c:pt>
                <c:pt idx="21">
                  <c:v>5.3</c:v>
                </c:pt>
                <c:pt idx="22">
                  <c:v>5.2</c:v>
                </c:pt>
                <c:pt idx="23">
                  <c:v>5.2</c:v>
                </c:pt>
                <c:pt idx="24">
                  <c:v>5.2</c:v>
                </c:pt>
                <c:pt idx="25">
                  <c:v>5.2</c:v>
                </c:pt>
                <c:pt idx="26">
                  <c:v>5.0999999999999996</c:v>
                </c:pt>
                <c:pt idx="27">
                  <c:v>5.0999999999999996</c:v>
                </c:pt>
                <c:pt idx="28">
                  <c:v>5.0999999999999996</c:v>
                </c:pt>
                <c:pt idx="29">
                  <c:v>5.0999999999999996</c:v>
                </c:pt>
                <c:pt idx="30">
                  <c:v>5.0999999999999996</c:v>
                </c:pt>
                <c:pt idx="31">
                  <c:v>5.0999999999999996</c:v>
                </c:pt>
                <c:pt idx="32">
                  <c:v>5</c:v>
                </c:pt>
                <c:pt idx="33">
                  <c:v>5</c:v>
                </c:pt>
                <c:pt idx="34">
                  <c:v>5</c:v>
                </c:pt>
                <c:pt idx="35">
                  <c:v>5</c:v>
                </c:pt>
                <c:pt idx="36">
                  <c:v>5</c:v>
                </c:pt>
                <c:pt idx="37">
                  <c:v>4.9000000000000004</c:v>
                </c:pt>
                <c:pt idx="38">
                  <c:v>4.9000000000000004</c:v>
                </c:pt>
                <c:pt idx="39">
                  <c:v>4.9000000000000004</c:v>
                </c:pt>
                <c:pt idx="40">
                  <c:v>4.9000000000000004</c:v>
                </c:pt>
                <c:pt idx="41">
                  <c:v>4.9000000000000004</c:v>
                </c:pt>
                <c:pt idx="42">
                  <c:v>4.9000000000000004</c:v>
                </c:pt>
                <c:pt idx="43">
                  <c:v>4.8</c:v>
                </c:pt>
                <c:pt idx="44">
                  <c:v>4.8</c:v>
                </c:pt>
                <c:pt idx="45">
                  <c:v>4.8</c:v>
                </c:pt>
                <c:pt idx="46">
                  <c:v>4.8</c:v>
                </c:pt>
                <c:pt idx="47">
                  <c:v>4.8</c:v>
                </c:pt>
                <c:pt idx="48">
                  <c:v>4.8</c:v>
                </c:pt>
                <c:pt idx="49">
                  <c:v>4.8</c:v>
                </c:pt>
                <c:pt idx="50">
                  <c:v>4.8</c:v>
                </c:pt>
                <c:pt idx="51">
                  <c:v>4.8</c:v>
                </c:pt>
                <c:pt idx="52">
                  <c:v>4.8</c:v>
                </c:pt>
                <c:pt idx="53">
                  <c:v>4.8</c:v>
                </c:pt>
                <c:pt idx="54">
                  <c:v>4.7</c:v>
                </c:pt>
                <c:pt idx="55">
                  <c:v>4.7</c:v>
                </c:pt>
                <c:pt idx="56">
                  <c:v>4.7</c:v>
                </c:pt>
                <c:pt idx="57">
                  <c:v>4.7</c:v>
                </c:pt>
                <c:pt idx="58">
                  <c:v>4.7</c:v>
                </c:pt>
                <c:pt idx="59">
                  <c:v>4.7</c:v>
                </c:pt>
                <c:pt idx="60">
                  <c:v>4.7</c:v>
                </c:pt>
                <c:pt idx="61">
                  <c:v>4.7</c:v>
                </c:pt>
                <c:pt idx="62">
                  <c:v>4.5999999999999996</c:v>
                </c:pt>
                <c:pt idx="63">
                  <c:v>4.5999999999999996</c:v>
                </c:pt>
                <c:pt idx="64">
                  <c:v>4.5999999999999996</c:v>
                </c:pt>
                <c:pt idx="65">
                  <c:v>4.5999999999999996</c:v>
                </c:pt>
                <c:pt idx="66">
                  <c:v>4.5999999999999996</c:v>
                </c:pt>
                <c:pt idx="67">
                  <c:v>4.5999999999999996</c:v>
                </c:pt>
                <c:pt idx="68">
                  <c:v>4.5999999999999996</c:v>
                </c:pt>
                <c:pt idx="69">
                  <c:v>4.5999999999999996</c:v>
                </c:pt>
                <c:pt idx="70">
                  <c:v>4.5999999999999996</c:v>
                </c:pt>
                <c:pt idx="71">
                  <c:v>4.5999999999999996</c:v>
                </c:pt>
                <c:pt idx="72">
                  <c:v>4.5</c:v>
                </c:pt>
                <c:pt idx="73">
                  <c:v>4.5</c:v>
                </c:pt>
                <c:pt idx="74">
                  <c:v>4.5</c:v>
                </c:pt>
                <c:pt idx="75">
                  <c:v>4.5</c:v>
                </c:pt>
                <c:pt idx="76">
                  <c:v>4.5</c:v>
                </c:pt>
                <c:pt idx="77">
                  <c:v>4.4000000000000004</c:v>
                </c:pt>
                <c:pt idx="78">
                  <c:v>4.4000000000000004</c:v>
                </c:pt>
                <c:pt idx="79">
                  <c:v>4.4000000000000004</c:v>
                </c:pt>
                <c:pt idx="80">
                  <c:v>4.3</c:v>
                </c:pt>
                <c:pt idx="81">
                  <c:v>4.3</c:v>
                </c:pt>
                <c:pt idx="82">
                  <c:v>4.3</c:v>
                </c:pt>
                <c:pt idx="83">
                  <c:v>4.3</c:v>
                </c:pt>
                <c:pt idx="84">
                  <c:v>4.2</c:v>
                </c:pt>
                <c:pt idx="85">
                  <c:v>4.2</c:v>
                </c:pt>
                <c:pt idx="86">
                  <c:v>4.2</c:v>
                </c:pt>
                <c:pt idx="87">
                  <c:v>4.2</c:v>
                </c:pt>
                <c:pt idx="88">
                  <c:v>4.0999999999999996</c:v>
                </c:pt>
                <c:pt idx="89">
                  <c:v>4.0999999999999996</c:v>
                </c:pt>
                <c:pt idx="90">
                  <c:v>4.0999999999999996</c:v>
                </c:pt>
              </c:numCache>
            </c:numRef>
          </c:val>
          <c:smooth val="0"/>
          <c:extLst>
            <c:ext xmlns:c16="http://schemas.microsoft.com/office/drawing/2014/chart" uri="{C3380CC4-5D6E-409C-BE32-E72D297353CC}">
              <c16:uniqueId val="{00000004-E3D5-406C-8E10-1020EE608E0A}"/>
            </c:ext>
          </c:extLst>
        </c:ser>
        <c:dLbls>
          <c:showLegendKey val="0"/>
          <c:showVal val="0"/>
          <c:showCatName val="0"/>
          <c:showSerName val="0"/>
          <c:showPercent val="0"/>
          <c:showBubbleSize val="0"/>
        </c:dLbls>
        <c:marker val="1"/>
        <c:smooth val="0"/>
        <c:axId val="730579400"/>
        <c:axId val="730579072"/>
      </c:lineChart>
      <c:dateAx>
        <c:axId val="718319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bg2">
                        <a:lumMod val="10000"/>
                      </a:schemeClr>
                    </a:solidFill>
                    <a:latin typeface="+mn-lt"/>
                    <a:ea typeface="+mn-ea"/>
                    <a:cs typeface="+mn-cs"/>
                  </a:defRPr>
                </a:pPr>
                <a:r>
                  <a:rPr lang="en-AU" baseline="0">
                    <a:solidFill>
                      <a:schemeClr val="bg2">
                        <a:lumMod val="10000"/>
                      </a:schemeClr>
                    </a:solidFill>
                  </a:rPr>
                  <a:t>Soil sample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bg2">
                      <a:lumMod val="10000"/>
                    </a:schemeClr>
                  </a:solidFill>
                  <a:latin typeface="+mn-lt"/>
                  <a:ea typeface="+mn-ea"/>
                  <a:cs typeface="+mn-cs"/>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bg2">
                    <a:lumMod val="10000"/>
                  </a:schemeClr>
                </a:solidFill>
                <a:latin typeface="+mn-lt"/>
                <a:ea typeface="+mn-ea"/>
                <a:cs typeface="+mn-cs"/>
              </a:defRPr>
            </a:pPr>
            <a:endParaRPr lang="en-US"/>
          </a:p>
        </c:txPr>
        <c:crossAx val="718317792"/>
        <c:crosses val="autoZero"/>
        <c:auto val="0"/>
        <c:lblOffset val="100"/>
        <c:baseTimeUnit val="days"/>
        <c:majorUnit val="4"/>
        <c:minorUnit val="4"/>
      </c:dateAx>
      <c:valAx>
        <c:axId val="718317792"/>
        <c:scaling>
          <c:orientation val="minMax"/>
          <c:max val="3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r>
                  <a:rPr lang="en-AU" baseline="0">
                    <a:solidFill>
                      <a:schemeClr val="tx1">
                        <a:lumMod val="95000"/>
                        <a:lumOff val="5000"/>
                      </a:schemeClr>
                    </a:solidFill>
                  </a:rPr>
                  <a:t>Aluminium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title>
        <c:numFmt formatCode="General" sourceLinked="1"/>
        <c:majorTickMark val="in"/>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n-US"/>
          </a:p>
        </c:txPr>
        <c:crossAx val="718319432"/>
        <c:crossesAt val="1"/>
        <c:crossBetween val="midCat"/>
        <c:majorUnit val="4"/>
        <c:minorUnit val="1"/>
      </c:valAx>
      <c:valAx>
        <c:axId val="730579072"/>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solidFill>
                      <a:sysClr val="windowText" lastClr="000000"/>
                    </a:solidFill>
                  </a:rPr>
                  <a:t>Soil pH (CaCl</a:t>
                </a:r>
                <a:r>
                  <a:rPr lang="en-AU" baseline="-25000">
                    <a:solidFill>
                      <a:sysClr val="windowText" lastClr="000000"/>
                    </a:solidFill>
                  </a:rPr>
                  <a:t>2</a:t>
                </a:r>
                <a:r>
                  <a:rPr lang="en-AU">
                    <a:solidFill>
                      <a:sysClr val="windowText" lastClr="000000"/>
                    </a:solidFill>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n-US"/>
          </a:p>
        </c:txPr>
        <c:crossAx val="730579400"/>
        <c:crosses val="max"/>
        <c:crossBetween val="between"/>
      </c:valAx>
      <c:catAx>
        <c:axId val="730579400"/>
        <c:scaling>
          <c:orientation val="minMax"/>
        </c:scaling>
        <c:delete val="1"/>
        <c:axPos val="b"/>
        <c:majorTickMark val="out"/>
        <c:minorTickMark val="none"/>
        <c:tickLblPos val="nextTo"/>
        <c:crossAx val="730579072"/>
        <c:crosses val="autoZero"/>
        <c:auto val="1"/>
        <c:lblAlgn val="ctr"/>
        <c:lblOffset val="100"/>
        <c:noMultiLvlLbl val="0"/>
      </c:catAx>
      <c:spPr>
        <a:noFill/>
        <a:ln>
          <a:noFill/>
        </a:ln>
        <a:effectLst/>
      </c:spPr>
    </c:plotArea>
    <c:legend>
      <c:legendPos val="b"/>
      <c:layout>
        <c:manualLayout>
          <c:xMode val="edge"/>
          <c:yMode val="edge"/>
          <c:x val="0.26230033540801806"/>
          <c:y val="0.87531601660888469"/>
          <c:w val="0.47818514715908061"/>
          <c:h val="6.70645213680268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0.18468</cdr:x>
      <cdr:y>0.65793</cdr:y>
    </cdr:from>
    <cdr:to>
      <cdr:x>0.35157</cdr:x>
      <cdr:y>0.69288</cdr:y>
    </cdr:to>
    <cdr:sp macro="" textlink="">
      <cdr:nvSpPr>
        <cdr:cNvPr id="3" name="TextBox 2">
          <a:extLst xmlns:a="http://schemas.openxmlformats.org/drawingml/2006/main">
            <a:ext uri="{FF2B5EF4-FFF2-40B4-BE49-F238E27FC236}">
              <a16:creationId xmlns:a16="http://schemas.microsoft.com/office/drawing/2014/main" id="{87D966DE-51C7-49F9-912F-E64DE4E52BD3}"/>
            </a:ext>
          </a:extLst>
        </cdr:cNvPr>
        <cdr:cNvSpPr txBox="1"/>
      </cdr:nvSpPr>
      <cdr:spPr>
        <a:xfrm xmlns:a="http://schemas.openxmlformats.org/drawingml/2006/main">
          <a:off x="1285876" y="2509839"/>
          <a:ext cx="1162050" cy="133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0.17803</cdr:x>
      <cdr:y>0.35988</cdr:y>
    </cdr:from>
    <cdr:to>
      <cdr:x>0.5</cdr:x>
      <cdr:y>0.47601</cdr:y>
    </cdr:to>
    <cdr:sp macro="" textlink="">
      <cdr:nvSpPr>
        <cdr:cNvPr id="5" name="Rectangle 4">
          <a:extLst xmlns:a="http://schemas.openxmlformats.org/drawingml/2006/main">
            <a:ext uri="{FF2B5EF4-FFF2-40B4-BE49-F238E27FC236}">
              <a16:creationId xmlns:a16="http://schemas.microsoft.com/office/drawing/2014/main" id="{B571BFD7-EE6B-4DD0-AB2D-2C3386D56C6B}"/>
            </a:ext>
          </a:extLst>
        </cdr:cNvPr>
        <cdr:cNvSpPr/>
      </cdr:nvSpPr>
      <cdr:spPr>
        <a:xfrm xmlns:a="http://schemas.openxmlformats.org/drawingml/2006/main">
          <a:off x="847867" y="928947"/>
          <a:ext cx="1533383" cy="299778"/>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1000" baseline="0">
              <a:solidFill>
                <a:sysClr val="windowText" lastClr="000000"/>
              </a:solidFill>
            </a:rPr>
            <a:t>Acceptable</a:t>
          </a:r>
          <a:r>
            <a:rPr lang="en-US">
              <a:solidFill>
                <a:schemeClr val="accent1"/>
              </a:solidFill>
            </a:rPr>
            <a:t> </a:t>
          </a:r>
          <a:r>
            <a:rPr lang="en-US">
              <a:solidFill>
                <a:schemeClr val="tx2">
                  <a:lumMod val="50000"/>
                </a:schemeClr>
              </a:solidFill>
            </a:rPr>
            <a:t>Al</a:t>
          </a:r>
          <a:r>
            <a:rPr lang="en-US" baseline="0">
              <a:solidFill>
                <a:schemeClr val="tx2">
                  <a:lumMod val="50000"/>
                </a:schemeClr>
              </a:solidFill>
            </a:rPr>
            <a:t> % is &lt; 1</a:t>
          </a:r>
          <a:endParaRPr lang="en-US">
            <a:solidFill>
              <a:schemeClr val="tx2">
                <a:lumMod val="50000"/>
              </a:schemeClr>
            </a:solidFill>
          </a:endParaRPr>
        </a:p>
      </cdr:txBody>
    </cdr:sp>
  </cdr:relSizeAnchor>
  <cdr:relSizeAnchor xmlns:cdr="http://schemas.openxmlformats.org/drawingml/2006/chartDrawing">
    <cdr:from>
      <cdr:x>0.31917</cdr:x>
      <cdr:y>0.45214</cdr:y>
    </cdr:from>
    <cdr:to>
      <cdr:x>0.32052</cdr:x>
      <cdr:y>0.65204</cdr:y>
    </cdr:to>
    <cdr:cxnSp macro="">
      <cdr:nvCxnSpPr>
        <cdr:cNvPr id="7" name="Straight Arrow Connector 6">
          <a:extLst xmlns:a="http://schemas.openxmlformats.org/drawingml/2006/main">
            <a:ext uri="{FF2B5EF4-FFF2-40B4-BE49-F238E27FC236}">
              <a16:creationId xmlns:a16="http://schemas.microsoft.com/office/drawing/2014/main" id="{2F40E554-5CC7-4672-929E-1EDB9AFF0E8E}"/>
            </a:ext>
          </a:extLst>
        </cdr:cNvPr>
        <cdr:cNvCxnSpPr/>
      </cdr:nvCxnSpPr>
      <cdr:spPr>
        <a:xfrm xmlns:a="http://schemas.openxmlformats.org/drawingml/2006/main">
          <a:off x="1520047" y="1167096"/>
          <a:ext cx="6430" cy="515997"/>
        </a:xfrm>
        <a:prstGeom xmlns:a="http://schemas.openxmlformats.org/drawingml/2006/main" prst="straightConnector1">
          <a:avLst/>
        </a:prstGeom>
        <a:ln xmlns:a="http://schemas.openxmlformats.org/drawingml/2006/main">
          <a:solidFill>
            <a:schemeClr val="tx2">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2" ma:contentTypeDescription="Create a new document." ma:contentTypeScope="" ma:versionID="f37ba318d86d2a3a9f591b4fbbe1ab54">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2a6e7c42d6cef2d3239065a1c439be72"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0859dcf-0dab-4099-a5d8-10172deb17e4">
      <UserInfo>
        <DisplayName>Jo K Cameron (DJPR)</DisplayName>
        <AccountId>150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820470-341C-4903-AB21-CCC6AECC5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01005-506B-440E-A439-EE7C2C704EC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859dcf-0dab-4099-a5d8-10172deb17e4"/>
    <ds:schemaRef ds:uri="http://purl.org/dc/elements/1.1/"/>
    <ds:schemaRef ds:uri="http://schemas.microsoft.com/office/2006/metadata/properties"/>
    <ds:schemaRef ds:uri="99843baf-4e1c-44b2-b53e-cdaaec604405"/>
    <ds:schemaRef ds:uri="http://www.w3.org/XML/1998/namespace"/>
    <ds:schemaRef ds:uri="http://purl.org/dc/dcmitype/"/>
  </ds:schemaRefs>
</ds:datastoreItem>
</file>

<file path=customXml/itemProps3.xml><?xml version="1.0" encoding="utf-8"?>
<ds:datastoreItem xmlns:ds="http://schemas.openxmlformats.org/officeDocument/2006/customXml" ds:itemID="{C295BDDA-07E0-43D7-B547-F71E3B4FE632}">
  <ds:schemaRefs>
    <ds:schemaRef ds:uri="http://schemas.microsoft.com/sharepoint/v3/contenttype/forms"/>
  </ds:schemaRefs>
</ds:datastoreItem>
</file>

<file path=customXml/itemProps4.xml><?xml version="1.0" encoding="utf-8"?>
<ds:datastoreItem xmlns:ds="http://schemas.openxmlformats.org/officeDocument/2006/customXml" ds:itemID="{3E0CA278-E504-4C5E-AE59-10D39CC0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Agriculture-Victoria_fact_sheet_narrow_header_green (6).dotx</Template>
  <TotalTime>152</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Davis (DEDJTR)</dc:creator>
  <cp:keywords/>
  <cp:lastModifiedBy>Amanda Davis (DJPR)</cp:lastModifiedBy>
  <cp:revision>6</cp:revision>
  <dcterms:created xsi:type="dcterms:W3CDTF">2020-09-02T23:16:00Z</dcterms:created>
  <dcterms:modified xsi:type="dcterms:W3CDTF">2020-09-03T02:30:00Z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ies>
</file>